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D4604F" w14:textId="77777777" w:rsidR="0062701F" w:rsidRDefault="008E6F28">
      <w:pPr>
        <w:pStyle w:val="PaperType"/>
        <w:rPr>
          <w:color w:val="auto"/>
        </w:rPr>
      </w:pPr>
      <w:commentRangeStart w:id="0"/>
      <w:r>
        <w:rPr>
          <w:color w:val="auto"/>
        </w:rPr>
        <w:t xml:space="preserve">Type of the Paper (Article, Review, Communication, </w:t>
      </w:r>
      <w:r>
        <w:rPr>
          <w:rFonts w:eastAsia="SimSun"/>
          <w:color w:val="auto"/>
          <w:lang w:eastAsia="zh-CN"/>
        </w:rPr>
        <w:t xml:space="preserve">Perspective, Editorial, </w:t>
      </w:r>
      <w:r>
        <w:rPr>
          <w:color w:val="auto"/>
        </w:rPr>
        <w:t>etc.)</w:t>
      </w:r>
      <w:commentRangeEnd w:id="0"/>
      <w:r>
        <w:rPr>
          <w:rStyle w:val="CommentReference"/>
          <w:color w:val="auto"/>
          <w:sz w:val="20"/>
          <w:szCs w:val="22"/>
        </w:rPr>
        <w:commentReference w:id="0"/>
      </w:r>
    </w:p>
    <w:p w14:paraId="1EA9D5BD" w14:textId="68B2A110" w:rsidR="00962BDF" w:rsidRDefault="00962BDF" w:rsidP="00962BDF">
      <w:pPr>
        <w:spacing w:after="200"/>
        <w:jc w:val="center"/>
      </w:pPr>
      <w:r>
        <w:rPr>
          <w:b/>
          <w:bCs/>
          <w:color w:val="1A1A2E"/>
          <w:sz w:val="44"/>
          <w:szCs w:val="44"/>
        </w:rPr>
        <w:t>Optimizing Energy Infrastructure for AI Data Centers</w:t>
      </w:r>
      <w:r w:rsidR="006C5722">
        <w:rPr>
          <w:b/>
          <w:bCs/>
          <w:color w:val="1A1A2E"/>
          <w:sz w:val="44"/>
          <w:szCs w:val="44"/>
        </w:rPr>
        <w:t>: Comprehensive Review Paper</w:t>
      </w:r>
    </w:p>
    <w:p w14:paraId="74796E07" w14:textId="77777777" w:rsidR="00962BDF" w:rsidRDefault="00962BDF" w:rsidP="00962BDF">
      <w:pPr>
        <w:spacing w:after="600"/>
        <w:jc w:val="center"/>
      </w:pPr>
      <w:r>
        <w:rPr>
          <w:color w:val="2E5090"/>
          <w:sz w:val="30"/>
          <w:szCs w:val="30"/>
        </w:rPr>
        <w:t>A Framework for Integrating Renewable Energy Sources</w:t>
      </w:r>
    </w:p>
    <w:p w14:paraId="7076A7B1" w14:textId="77777777" w:rsidR="0062701F" w:rsidRDefault="008E6F28">
      <w:pPr>
        <w:pStyle w:val="AuthorNames"/>
        <w:rPr>
          <w:color w:val="auto"/>
        </w:rPr>
      </w:pPr>
      <w:r>
        <w:rPr>
          <w:color w:val="auto"/>
        </w:rPr>
        <w:t xml:space="preserve">Firstname Lastname </w:t>
      </w:r>
      <w:r>
        <w:rPr>
          <w:color w:val="auto"/>
          <w:vertAlign w:val="superscript"/>
        </w:rPr>
        <w:t>1</w:t>
      </w:r>
      <w:r>
        <w:rPr>
          <w:color w:val="auto"/>
        </w:rPr>
        <w:t xml:space="preserve">, Firstname Lastname </w:t>
      </w:r>
      <w:r>
        <w:rPr>
          <w:color w:val="auto"/>
          <w:vertAlign w:val="superscript"/>
        </w:rPr>
        <w:t>2</w:t>
      </w:r>
      <w:r>
        <w:rPr>
          <w:color w:val="auto"/>
        </w:rPr>
        <w:t xml:space="preserve"> and Firstname Lastname </w:t>
      </w:r>
      <w:r>
        <w:rPr>
          <w:color w:val="auto"/>
          <w:vertAlign w:val="superscript"/>
        </w:rPr>
        <w:t>2,</w:t>
      </w:r>
      <w:r>
        <w:rPr>
          <w:color w:val="auto"/>
        </w:rPr>
        <w:t>*</w:t>
      </w:r>
    </w:p>
    <w:p w14:paraId="130C3241" w14:textId="77777777" w:rsidR="0062701F" w:rsidRPr="00962BDF" w:rsidRDefault="008E6F28">
      <w:pPr>
        <w:pStyle w:val="Affiliations"/>
        <w:rPr>
          <w:color w:val="auto"/>
          <w:lang w:val="fr-FR"/>
        </w:rPr>
      </w:pPr>
      <w:r w:rsidRPr="00962BDF">
        <w:rPr>
          <w:color w:val="auto"/>
          <w:vertAlign w:val="superscript"/>
          <w:lang w:val="fr-FR"/>
        </w:rPr>
        <w:t>1</w:t>
      </w:r>
      <w:r w:rsidRPr="00962BDF">
        <w:rPr>
          <w:color w:val="auto"/>
          <w:lang w:val="fr-FR"/>
        </w:rPr>
        <w:t xml:space="preserve"> Affiliation 1</w:t>
      </w:r>
    </w:p>
    <w:p w14:paraId="55F0B251" w14:textId="77777777" w:rsidR="0062701F" w:rsidRPr="00962BDF" w:rsidRDefault="008E6F28">
      <w:pPr>
        <w:pStyle w:val="Affiliations"/>
        <w:rPr>
          <w:color w:val="auto"/>
          <w:lang w:val="fr-FR"/>
        </w:rPr>
      </w:pPr>
      <w:r w:rsidRPr="00962BDF">
        <w:rPr>
          <w:color w:val="auto"/>
          <w:vertAlign w:val="superscript"/>
          <w:lang w:val="fr-FR"/>
        </w:rPr>
        <w:t>2</w:t>
      </w:r>
      <w:r w:rsidRPr="00962BDF">
        <w:rPr>
          <w:color w:val="auto"/>
          <w:lang w:val="fr-FR"/>
        </w:rPr>
        <w:t xml:space="preserve"> Affiliation 2</w:t>
      </w:r>
    </w:p>
    <w:p w14:paraId="0DF5AAF1" w14:textId="77777777" w:rsidR="0062701F" w:rsidRPr="00962BDF" w:rsidRDefault="008E6F28">
      <w:pPr>
        <w:pStyle w:val="Correspondence"/>
        <w:rPr>
          <w:color w:val="auto"/>
          <w:lang w:val="fr-FR"/>
        </w:rPr>
      </w:pPr>
      <w:r w:rsidRPr="00962BDF">
        <w:rPr>
          <w:b/>
          <w:color w:val="auto"/>
          <w:lang w:val="fr-FR"/>
        </w:rPr>
        <w:t>*</w:t>
      </w:r>
      <w:r w:rsidRPr="00962BDF">
        <w:rPr>
          <w:color w:val="auto"/>
          <w:lang w:val="fr-FR"/>
        </w:rPr>
        <w:t xml:space="preserve"> </w:t>
      </w:r>
      <w:r w:rsidRPr="00962BDF">
        <w:rPr>
          <w:rStyle w:val="Correspondence0"/>
          <w:color w:val="auto"/>
          <w:lang w:val="fr-FR"/>
        </w:rPr>
        <w:t>Correspondence</w:t>
      </w:r>
      <w:r w:rsidRPr="00962BDF">
        <w:rPr>
          <w:color w:val="auto"/>
          <w:lang w:val="fr-FR"/>
        </w:rPr>
        <w:t xml:space="preserve">: </w:t>
      </w:r>
      <w:r w:rsidRPr="00962BDF">
        <w:rPr>
          <w:color w:val="auto"/>
          <w:szCs w:val="24"/>
          <w:lang w:val="fr-FR"/>
        </w:rPr>
        <w:t>e-mail@e-mail.com</w:t>
      </w:r>
    </w:p>
    <w:p w14:paraId="24AB870A" w14:textId="25B3F00D" w:rsidR="0062701F" w:rsidRDefault="008E6F28" w:rsidP="00962BDF">
      <w:pPr>
        <w:pStyle w:val="Abstract"/>
      </w:pPr>
      <w:r>
        <w:rPr>
          <w:b/>
        </w:rPr>
        <w:t xml:space="preserve">Abstract: </w:t>
      </w:r>
      <w:r w:rsidR="00962BDF">
        <w:t xml:space="preserve">Intense growth of Artificial Intelligence (AI) workloads has driven the global data center electricity market to hit new highs with demand expected to rise to around 945 TWH in 2030 from a level of about 415 TWH currently. The challenge of the exponential growth path is to satisfy energy needs of AI infrastructure while also delivering climate goals and economic sustainability. The seven-component design framework introduced in this paper covers the technical, economic and regulatory dimensions of sustainable computing infrastructure. This framework combines site assessment, technology selection, electrical architecture design, hierarchical control strategies, flexibility of the workload on the demand side, economic viability analysis, and sustainability compliance. After conducting a comprehensive literature review which included more than 260 peer-reviewed articles, industry reports and policy documents, this study was synthesized combining current knowledge pertaining to renewables technologies, energy storage, power system modeling and operational strategies. It is supported in detail with case studies from a group of global technology companies that provide cost competitive electricity delivery at $35 – $100/MWh that align with reliability targets to &gt; 99.9%. One conclusion from the key findings is that lithium-ion battery prices are projected to fall to less than $108/ kWh in 2026, with the costs of solar PV installed showing a reduction of more than 90% since 2010, and wind-solar complementarity is expected to slash the need for storage capacity by 40 to 60% using geographic diversification. The paper shows detailed economic modelling including levelized cost of energy (LCOE) calculations, net present value (NPV) analysis and sensitivity assessments, proving pay back periods of 5-12 years with current tax incentives. A multi-year implementation plan has been outlined from 2024 to 2045, alongside the transition of 100% renewable-powered AI data centers into mainstream infrastructure. A </w:t>
      </w:r>
      <w:r w:rsidR="00962BDF">
        <w:lastRenderedPageBreak/>
        <w:t>multi-year implementation plan has been proposed, starting with demonstration projects, and a journey towards mainstream adoption of 100% renewable-powered AI data centers.</w:t>
      </w:r>
    </w:p>
    <w:p w14:paraId="00635F4A" w14:textId="77777777" w:rsidR="00962BDF" w:rsidRDefault="008E6F28" w:rsidP="00962BDF">
      <w:pPr>
        <w:spacing w:after="120"/>
        <w:ind w:firstLine="480"/>
      </w:pPr>
      <w:r>
        <w:rPr>
          <w:b/>
        </w:rPr>
        <w:t xml:space="preserve">Keywords: </w:t>
      </w:r>
      <w:r w:rsidR="00962BDF">
        <w:rPr>
          <w:szCs w:val="24"/>
        </w:rPr>
        <w:t>AI data centers, renewable energy integration, energy storage, microgrid optimization, power system modeling, demand-side management, carbon-free energy, levelized cost of energy</w:t>
      </w:r>
    </w:p>
    <w:p w14:paraId="354DF9DD" w14:textId="77777777" w:rsidR="0062701F" w:rsidRDefault="0062701F">
      <w:pPr>
        <w:pStyle w:val="SeparationLine"/>
        <w:rPr>
          <w:color w:val="auto"/>
        </w:rPr>
      </w:pPr>
    </w:p>
    <w:p w14:paraId="0B77724C" w14:textId="77777777" w:rsidR="0062701F" w:rsidRDefault="008E6F28">
      <w:pPr>
        <w:pStyle w:val="Heading10"/>
        <w:rPr>
          <w:color w:val="auto"/>
        </w:rPr>
      </w:pPr>
      <w:r>
        <w:rPr>
          <w:color w:val="auto"/>
          <w:lang w:eastAsia="zh-CN"/>
        </w:rPr>
        <w:t xml:space="preserve">1. </w:t>
      </w:r>
      <w:r>
        <w:rPr>
          <w:color w:val="auto"/>
        </w:rPr>
        <w:t>Introduction</w:t>
      </w:r>
    </w:p>
    <w:p w14:paraId="45343BCA" w14:textId="1E68054B" w:rsidR="00962BDF" w:rsidRDefault="00962BDF" w:rsidP="00962BDF">
      <w:pPr>
        <w:pStyle w:val="Heading20"/>
        <w:rPr>
          <w:color w:val="auto"/>
          <w:lang w:val="en-CA"/>
        </w:rPr>
      </w:pPr>
      <w:r w:rsidRPr="00962BDF">
        <w:rPr>
          <w:color w:val="auto"/>
          <w:lang w:val="en-CA"/>
        </w:rPr>
        <w:t>1.1. Global Data Center Energy Consumption an</w:t>
      </w:r>
      <w:r>
        <w:rPr>
          <w:color w:val="auto"/>
          <w:lang w:val="en-CA"/>
        </w:rPr>
        <w:t>d AI workload Growth</w:t>
      </w:r>
    </w:p>
    <w:p w14:paraId="178059AF" w14:textId="6232BD66" w:rsidR="00962BDF" w:rsidRPr="00962BDF" w:rsidRDefault="00962BDF" w:rsidP="00AE6A99">
      <w:pPr>
        <w:pStyle w:val="Text"/>
        <w:rPr>
          <w:color w:val="auto"/>
        </w:rPr>
      </w:pPr>
      <w:r w:rsidRPr="00962BDF">
        <w:rPr>
          <w:color w:val="auto"/>
        </w:rPr>
        <w:t xml:space="preserve">In the last ten years, the whole digital infrastructure has been revolutionized, and the main driver behind this is the explosion of applications based on Artificial Intelligence. The data </w:t>
      </w:r>
      <w:r w:rsidR="00561FEA" w:rsidRPr="00962BDF">
        <w:rPr>
          <w:color w:val="auto"/>
        </w:rPr>
        <w:t>centers</w:t>
      </w:r>
      <w:r w:rsidRPr="00962BDF">
        <w:rPr>
          <w:color w:val="auto"/>
        </w:rPr>
        <w:t xml:space="preserve"> alone were a huge component of this infrastructure and used about 415 TWh of electricity in 2024, which is about 1.5% of world</w:t>
      </w:r>
      <w:r w:rsidR="000C3F0F">
        <w:rPr>
          <w:color w:val="auto"/>
        </w:rPr>
        <w:fldChar w:fldCharType="begin"/>
      </w:r>
      <w:r w:rsidR="000C3F0F">
        <w:rPr>
          <w:color w:val="auto"/>
        </w:rPr>
        <w:instrText xml:space="preserve"> ADDIN ZOTERO_ITEM CSL_CITATION {"citationID":"FZ6OZSne","properties":{"formattedCitation":"[1], [2]","plainCitation":"[1], [2]","noteIndex":0},"citationItems":[{"id":1889,"uris":["http://zotero.org/users/9870935/items/TZ76RS7G"],"itemData":{"id":1889,"type":"post-weblog","title":"Data Centres and Data Transmission Networks","URL":"https://www.iea.org/energy-system/buildings/data-centres-and-data-transmission-networks","author":[{"family":"IEA","given":""}]}},{"id":1899,"uris":["http://zotero.org/users/9870935/items/DSZ4EYRB"],"itemData":{"id":1899,"type":"report","DOI":"10.2172/1372902","language":"en","number":"LBNL--1005775, 1372902","page":"LBNL--1005775, 1372902","source":"DOI.org (Crossref)","title":"United States Data Center Energy Usage Report","URL":"http://www.osti.gov/servlets/purl/1372902/","author":[{"family":"Shehabi","given":"Arman"},{"family":"Smith","given":"Sarah"},{"family":"Sartor","given":"Dale"},{"family":"Brown","given":"Richard"},{"family":"Herrlin","given":"Magnus"},{"family":"Koomey","given":"Jonathan"},{"family":"Masanet","given":"Eric"},{"family":"Horner","given":"Nathaniel"},{"family":"Azevedo","given":"Inês"},{"family":"Lintner","given":"William"}],"accessed":{"date-parts":[["2026",5,10]]},"issued":{"date-parts":[["2016",6,1]]}}}],"schema":"https://github.com/citation-style-language/schema/raw/master/csl-citation.json"} </w:instrText>
      </w:r>
      <w:r w:rsidR="000C3F0F">
        <w:rPr>
          <w:color w:val="auto"/>
        </w:rPr>
        <w:fldChar w:fldCharType="separate"/>
      </w:r>
      <w:r w:rsidR="000C3F0F" w:rsidRPr="000C3F0F">
        <w:t>[1], [2]</w:t>
      </w:r>
      <w:r w:rsidR="000C3F0F">
        <w:rPr>
          <w:color w:val="auto"/>
        </w:rPr>
        <w:fldChar w:fldCharType="end"/>
      </w:r>
      <w:r w:rsidRPr="00962BDF">
        <w:rPr>
          <w:color w:val="auto"/>
        </w:rPr>
        <w:t xml:space="preserve">. According to the International Energy Agency (IEA) this consumption may grow to 945 TWh by 2030 based on current growth rates, mainly due to training and inferring workloads of AI </w:t>
      </w:r>
      <w:bookmarkStart w:id="1" w:name="ZOTERO_BREF_H70vUx20hBhO"/>
      <w:r w:rsidR="001751D4" w:rsidRPr="00962BDF">
        <w:rPr>
          <w:color w:val="auto"/>
        </w:rPr>
        <w:t>models</w:t>
      </w:r>
      <w:bookmarkEnd w:id="1"/>
      <w:r w:rsidR="00AE6A99">
        <w:rPr>
          <w:color w:val="auto"/>
        </w:rPr>
        <w:fldChar w:fldCharType="begin"/>
      </w:r>
      <w:r w:rsidR="00AE6A99">
        <w:rPr>
          <w:color w:val="auto"/>
        </w:rPr>
        <w:instrText xml:space="preserve"> ADDIN ZOTERO_ITEM CSL_CITATION {"citationID":"FQVAVlET","properties":{"formattedCitation":"[3]","plainCitation":"[3]","noteIndex":0},"citationItems":[{"id":1891,"uris":["http://zotero.org/users/9870935/items/Y726ZSXQ"],"itemData":{"id":1891,"type":"post-weblog","title":"Energy and AI","URL":"https://www.iea.org/reports/energy-and-ai","author":[{"family":"IEA","given":""}],"accessed":{"date-parts":[["2025",4,10]]}}}],"schema":"https://github.com/citation-style-language/schema/raw/master/csl-citation.json"} </w:instrText>
      </w:r>
      <w:r w:rsidR="00AE6A99">
        <w:rPr>
          <w:color w:val="auto"/>
        </w:rPr>
        <w:fldChar w:fldCharType="separate"/>
      </w:r>
      <w:r w:rsidR="00AE6A99" w:rsidRPr="00AE6A99">
        <w:t>[3]</w:t>
      </w:r>
      <w:r w:rsidR="00AE6A99">
        <w:rPr>
          <w:color w:val="auto"/>
        </w:rPr>
        <w:fldChar w:fldCharType="end"/>
      </w:r>
      <w:r w:rsidRPr="00962BDF">
        <w:rPr>
          <w:color w:val="auto"/>
        </w:rPr>
        <w:t>. This is a staggering leap, feeding the electricity use of a power-hungry country the size of Japan into the global grid in just six years, and shows just how critical it is to move towards sustainable energy solutions in data center operations.</w:t>
      </w:r>
    </w:p>
    <w:p w14:paraId="69220D7F" w14:textId="06A838F7" w:rsidR="00962BDF" w:rsidRDefault="00962BDF" w:rsidP="00901B02">
      <w:pPr>
        <w:pStyle w:val="Text"/>
        <w:rPr>
          <w:color w:val="auto"/>
        </w:rPr>
      </w:pPr>
      <w:r w:rsidRPr="00962BDF">
        <w:rPr>
          <w:color w:val="auto"/>
        </w:rPr>
        <w:t>This challenge is starkly evident in the energy consumption of specific AI models. To train GPT-3, a 175-billion-parameter language model developed by OpenAI, it required the use of around 1,287 MWh of electricity, which corresponds to an estimated CO2 equivalent emission of 552 tonnes</w:t>
      </w:r>
      <w:r w:rsidR="00AA4E78">
        <w:rPr>
          <w:color w:val="auto"/>
        </w:rPr>
        <w:fldChar w:fldCharType="begin"/>
      </w:r>
      <w:r w:rsidR="00AA4E78">
        <w:rPr>
          <w:color w:val="auto"/>
        </w:rPr>
        <w:instrText xml:space="preserve"> ADDIN ZOTERO_ITEM CSL_CITATION {"citationID":"bMaUHCAr","properties":{"formattedCitation":"[4], [5]","plainCitation":"[4], [5]","noteIndex":0},"citationItems":[{"id":1900,"uris":["http://zotero.org/users/9870935/items/IDZTTL47"],"itemData":{"id":1900,"type":"article","abstract":"The computation demand for machine learning (ML) has grown rapidly recently, which comes with a number of costs. Estimating the energy cost helps measure its environmental impact and finding greener strategies, yet it is challenging without detailed information. We calculate the energy use and carbon footprint of several recent large models-T5, Meena, GShard, Switch Transformer, and GPT-3-and refine earlier estimates for the neural architecture search that found Evolved Transformer. We highlight the following opportunities to improve energy efficiency and CO2 equivalent emissions (CO2e): Large but sparsely activated DNNs can consume &amp;lt;1/10th the energy of large, dense DNNs without sacrificing accuracy despite using as many or even more parameters. Geographic location matters for ML workload scheduling since the fraction of carbon-free energy and resulting CO2e vary ~5X-10X, even within the same country and the same organization. We are now optimizing where and when large models are trained. Specific datacenter infrastructure matters, as Cloud datacenters can be ~1.4-2X more energy efficient than typical datacenters, and the ML-oriented accelerators inside them can be ~2-5X more effective than off-the-shelf systems. Remarkably, the choice of DNN, datacenter, and processor can reduce the carbon footprint up to ~100-1000X. These large factors also make retroactive estimates of energy cost difficult. To avoid miscalculations, we believe ML papers requiring large computational resources should make energy consumption and CO2e explicit when practical. We are working to be more transparent about energy use and CO2e in our future research. To help reduce the carbon footprint of ML, we believe energy usage and CO2e should be a key metric in evaluating models, and we are collaborating with MLPerf developers to include energy usage during training and inference in this industry standard benchmark.","DOI":"10.48550/ARXIV.2104.10350","license":"arXiv.org perpetual, non-exclusive license","note":"version: 3","publisher":"arXiv","source":"DOI.org (Datacite)","title":"Carbon Emissions and Large Neural Network Training","URL":"https://arxiv.org/abs/2104.10350","author":[{"family":"Patterson","given":"David"},{"family":"Gonzalez","given":"Joseph"},{"family":"Le","given":"Quoc"},{"family":"Liang","given":"Chen"},{"family":"Munguia","given":"Lluis-Miquel"},{"family":"Rothchild","given":"Daniel"},{"family":"So","given":"David"},{"family":"Texier","given":"Maud"},{"family":"Dean","given":"Jeff"}],"accessed":{"date-parts":[["2026",5,10]]},"issued":{"date-parts":[["2021"]]}}},{"id":1901,"uris":["http://zotero.org/users/9870935/items/TV95D224"],"itemData":{"id":1901,"type":"article","abstract":"Recent progress in hardware and methodology for training neural networks has ushered in a new generation of large networks trained on abundant data. These models have obtained notable gains in accuracy across many NLP tasks. However, these accuracy improvements depend on the availability of exceptionally large computational resources that necessitate similarly substantial energy consumption. As a result these models are costly to train and develop, both financially, due to the cost of hardware and electricity or cloud compute time, and environmentally, due to the carbon footprint required to fuel modern tensor processing hardware. In this paper we bring this issue to the attention of NLP researchers by quantifying the approximate financial and environmental costs of training a variety of recently successful neural network models for NLP. Based on these findings, we propose actionable recommendations to reduce costs and improve equity in NLP research and practice.","DOI":"10.48550/ARXIV.1906.02243","license":"arXiv.org perpetual, non-exclusive license","note":"version: 1","publisher":"arXiv","source":"DOI.org (Datacite)","title":"Energy and Policy Considerations for Deep Learning in NLP","URL":"https://arxiv.org/abs/1906.02243","author":[{"family":"Strubell","given":"Emma"},{"family":"Ganesh","given":"Ananya"},{"family":"McCallum","given":"Andrew"}],"accessed":{"date-parts":[["2026",5,10]]},"issued":{"date-parts":[["2019"]]}}}],"schema":"https://github.com/citation-style-language/schema/raw/master/csl-citation.json"} </w:instrText>
      </w:r>
      <w:r w:rsidR="00AA4E78">
        <w:rPr>
          <w:color w:val="auto"/>
        </w:rPr>
        <w:fldChar w:fldCharType="separate"/>
      </w:r>
      <w:r w:rsidR="00AA4E78" w:rsidRPr="00AA4E78">
        <w:t>[4], [5]</w:t>
      </w:r>
      <w:r w:rsidR="00AA4E78">
        <w:rPr>
          <w:color w:val="auto"/>
        </w:rPr>
        <w:fldChar w:fldCharType="end"/>
      </w:r>
      <w:r w:rsidRPr="00962BDF">
        <w:rPr>
          <w:color w:val="auto"/>
        </w:rPr>
        <w:t xml:space="preserve">. The next GPT, with significantly more parameters, would have had an even greater cost to energy. Exact numbers are still proprietary, but such a model would likely have been even more costly on a per-use basis. The model called </w:t>
      </w:r>
      <w:bookmarkStart w:id="2" w:name="ZOTERO_BREF_wu8OLmHyuqzg"/>
      <w:r w:rsidR="00F65F01" w:rsidRPr="00962BDF">
        <w:rPr>
          <w:color w:val="auto"/>
        </w:rPr>
        <w:t>BLOOM</w:t>
      </w:r>
      <w:r w:rsidR="00F65F01" w:rsidRPr="00F65F01">
        <w:t xml:space="preserve"> </w:t>
      </w:r>
      <w:bookmarkEnd w:id="2"/>
      <w:r w:rsidR="00F76513">
        <w:fldChar w:fldCharType="begin"/>
      </w:r>
      <w:r w:rsidR="00F76513">
        <w:instrText xml:space="preserve"> ADDIN ZOTERO_ITEM CSL_CITATION {"citationID":"c8vEVAQa","properties":{"formattedCitation":"[6]","plainCitation":"[6]","noteIndex":0},"citationItems":[{"id":1903,"uris":["http://zotero.org/users/9870935/items/QAA9ZM27"],"itemData":{"id":1903,"type":"article-journal","container-title":"Resources, Conservation and Recycling","DOI":"10.1016/j.resconrec.2025.108670","ISSN":"09213449","journalAbbreviation":"Resources, Conservation and Recycling","language":"en","page":"108670","source":"DOI.org (Crossref)","title":"Assessing the carbon footprint of language models: Towards sustainability in AI","title-short":"Assessing the carbon footprint of language models","volume":"226","author":[{"family":"Jeanquartier","given":"Fleur"},{"family":"Jean-Quartier","given":"Claire"},{"family":"Rieder","given":"Paul"},{"family":"Misirlić","given":"Vedad"},{"family":"Pasero","given":"Christian"},{"family":"Hohensinner","given":"Richard"},{"family":"Müller","given":"Heimo"},{"family":"Holzinger","given":"Andreas"}],"issued":{"date-parts":[["2026",2]]}}}],"schema":"https://github.com/citation-style-language/schema/raw/master/csl-citation.json"} </w:instrText>
      </w:r>
      <w:r w:rsidR="00F76513">
        <w:fldChar w:fldCharType="separate"/>
      </w:r>
      <w:r w:rsidR="00F76513" w:rsidRPr="00F76513">
        <w:t>[6]</w:t>
      </w:r>
      <w:r w:rsidR="00F76513">
        <w:fldChar w:fldCharType="end"/>
      </w:r>
      <w:r w:rsidR="007B76FF" w:rsidRPr="00962BDF">
        <w:rPr>
          <w:color w:val="auto"/>
        </w:rPr>
        <w:t xml:space="preserve"> is</w:t>
      </w:r>
      <w:r w:rsidRPr="00962BDF">
        <w:rPr>
          <w:color w:val="auto"/>
        </w:rPr>
        <w:t xml:space="preserve"> an open-source model consisting of 176 billion parameters that took around 433MWh in training. These are numbers of single training events; the total amount of energy used by constant inferences per year to serve billions of user queries is much higher than training energy. According to </w:t>
      </w:r>
      <w:r w:rsidR="00494A61" w:rsidRPr="00962BDF">
        <w:rPr>
          <w:color w:val="auto"/>
        </w:rPr>
        <w:t>research</w:t>
      </w:r>
      <w:r w:rsidRPr="00962BDF">
        <w:rPr>
          <w:color w:val="auto"/>
        </w:rPr>
        <w:t xml:space="preserve"> by Li, every inference query of GPT-3 consumes around 2.9 Wh of electricity and adds up to a massive amount with the millions of queries that take place every</w:t>
      </w:r>
      <w:r w:rsidR="00901B02">
        <w:rPr>
          <w:color w:val="auto"/>
        </w:rPr>
        <w:fldChar w:fldCharType="begin"/>
      </w:r>
      <w:r w:rsidR="00901B02">
        <w:rPr>
          <w:color w:val="auto"/>
        </w:rPr>
        <w:instrText xml:space="preserve"> ADDIN ZOTERO_ITEM CSL_CITATION {"citationID":"9bnS3cRe","properties":{"formattedCitation":"[7]","plainCitation":"[7]","noteIndex":0},"citationItems":[{"id":1904,"uris":["http://zotero.org/users/9870935/items/NXPFN7GH"],"itemData":{"id":1904,"type":"article","abstract":"Large Language Models (LLMs) have recently shown remarkable capabilities in various software engineering tasks, spurring the rapid growth of the Large Language Models for Software Engineering (LLM4SE) area. However, limited attention has been paid to developing efficient LLM4SE techniques that demand minimal computational cost, time, and memory resources, as well as green LLM4SE solutions that reduce energy consumption, water usage, and carbon emissions. This paper aims to redirect the focus of the research community towards the efficiency and greenness of LLM4SE, while also sharing potential research directions to achieve this goal. It commences with a brief overview of the significance of LLM4SE and highlights the need for efficient and green LLM4SE solutions. Subsequently, the paper presents a vision for a future where efficient and green LLM4SE revolutionizes the LLM-based software engineering tool landscape, benefiting various stakeholders, including industry, individual practitioners, and society. The paper then delineates a roadmap for future research, outlining specific research paths and potential solutions for the research community to pursue. While not intended to be a definitive guide, the paper aims to inspire further progress, with the ultimate goal of establishing efficient and green LLM4SE as a central element in the future of software engineering.","DOI":"10.48550/arXiv.2404.04566","note":"arXiv:2404.04566 [cs]","number":"arXiv:2404.04566","publisher":"arXiv","source":"arXiv.org","title":"Efficient and Green Large Language Models for Software Engineering: Literature Review, Vision, and the Road Ahead","title-short":"Efficient and Green Large Language Models for Software Engineering","URL":"http://arxiv.org/abs/2404.04566","author":[{"family":"Shi","given":"Jieke"},{"family":"Yang","given":"Zhou"},{"family":"Lo","given":"David"}],"accessed":{"date-parts":[["2026",5,10]]},"issued":{"date-parts":[["2024",12,4]]}}}],"schema":"https://github.com/citation-style-language/schema/raw/master/csl-citation.json"} </w:instrText>
      </w:r>
      <w:r w:rsidR="00901B02">
        <w:rPr>
          <w:color w:val="auto"/>
        </w:rPr>
        <w:fldChar w:fldCharType="separate"/>
      </w:r>
      <w:r w:rsidR="00901B02" w:rsidRPr="00901B02">
        <w:t>[7]</w:t>
      </w:r>
      <w:r w:rsidR="00901B02">
        <w:rPr>
          <w:color w:val="auto"/>
        </w:rPr>
        <w:fldChar w:fldCharType="end"/>
      </w:r>
      <w:r w:rsidRPr="00962BDF">
        <w:rPr>
          <w:color w:val="auto"/>
        </w:rPr>
        <w:t>.</w:t>
      </w:r>
    </w:p>
    <w:p w14:paraId="62417E6B" w14:textId="11A51339" w:rsidR="007B5EF9" w:rsidRPr="00962BDF" w:rsidRDefault="007B5EF9" w:rsidP="007F14EA">
      <w:pPr>
        <w:pStyle w:val="Text"/>
        <w:rPr>
          <w:color w:val="auto"/>
        </w:rPr>
      </w:pPr>
      <w:r w:rsidRPr="007B5EF9">
        <w:rPr>
          <w:color w:val="auto"/>
        </w:rPr>
        <w:t xml:space="preserve">One of the biggest tipping points in electricity demand growth since the electrification of industry will come with AI, when </w:t>
      </w:r>
      <w:r w:rsidR="00642719">
        <w:rPr>
          <w:color w:val="auto"/>
        </w:rPr>
        <w:t>This</w:t>
      </w:r>
      <w:r w:rsidRPr="007B5EF9">
        <w:rPr>
          <w:color w:val="auto"/>
        </w:rPr>
        <w:t xml:space="preserve"> Research</w:t>
      </w:r>
      <w:bookmarkStart w:id="3" w:name="ZOTERO_BREF_Z7nyIFJbMw7m"/>
      <w:r w:rsidR="00642719">
        <w:rPr>
          <w:color w:val="auto"/>
        </w:rPr>
        <w:t xml:space="preserve"> </w:t>
      </w:r>
      <w:bookmarkEnd w:id="3"/>
      <w:r w:rsidR="007F2B99">
        <w:rPr>
          <w:color w:val="auto"/>
        </w:rPr>
        <w:fldChar w:fldCharType="begin"/>
      </w:r>
      <w:r w:rsidR="007F2B99">
        <w:rPr>
          <w:color w:val="auto"/>
        </w:rPr>
        <w:instrText xml:space="preserve"> ADDIN ZOTERO_ITEM CSL_CITATION {"citationID":"rCwg3Daa","properties":{"formattedCitation":"[8]","plainCitation":"[8]","noteIndex":0},"citationItems":[{"id":1908,"uris":["http://zotero.org/users/9870935/items/5SZSS7UD"],"itemData":{"id":1908,"type":"article","abstract":"The rapid growth of artificial intelligence (AI) is driving an unprecedented increase in the electricity demand of AI data centers, raising emerging challenges for electric power grids. Understanding the characteristics of AI data center loads and their interactions with the grid is therefore critical for ensuring both reliable power system operation and sustainable AI development. This paper provides a comprehensive review and vision of this evolving landscape. Specifically, this paper (i) presents an overview of AI data center infrastructure and its key components, (ii) examines the key characteristics and patterns of electricity demand across the stages of model preparation, training, fine-tuning, and inference, (iii) analyzes the critical challenges that AI data center loads pose to power systems across three interrelated timescales, including long-term planning and interconnection, short-term operation and electricity markets, and real-time dynamics and stability, and (iv) discusses potential solutions from the perspectives of the grid, AI data centers, and AI end-users to address these challenges. By synthesizing current knowledge and outlining future directions, this review aims to guide research and development in support of the joint advancement of AI data centers and power systems toward reliable, efficient, and sustainable operation.","DOI":"10.48550/arXiv.2509.07218","note":"arXiv:2509.07218 [eess]","number":"arXiv:2509.07218","publisher":"arXiv","source":"arXiv.org","title":"Electricity Demand and Grid Impacts of AI Data Centers: Challenges and Prospects","title-short":"Electricity Demand and Grid Impacts of AI Data Centers","URL":"http://arxiv.org/abs/2509.07218","author":[{"family":"Chen","given":"Xin"},{"family":"Wang","given":"Xiaoyang"},{"family":"Colacelli","given":"Ana"},{"family":"Lee","given":"Matt"},{"family":"Xie","given":"Le"}],"accessed":{"date-parts":[["2026",5,10]]},"issued":{"date-parts":[["2025",11,26]]}}}],"schema":"https://github.com/citation-style-language/schema/raw/master/csl-citation.json"} </w:instrText>
      </w:r>
      <w:r w:rsidR="007F2B99">
        <w:rPr>
          <w:color w:val="auto"/>
        </w:rPr>
        <w:fldChar w:fldCharType="separate"/>
      </w:r>
      <w:r w:rsidR="007F2B99" w:rsidRPr="007F2B99">
        <w:t>[8]</w:t>
      </w:r>
      <w:r w:rsidR="007F2B99">
        <w:rPr>
          <w:color w:val="auto"/>
        </w:rPr>
        <w:fldChar w:fldCharType="end"/>
      </w:r>
      <w:r w:rsidRPr="007B5EF9">
        <w:rPr>
          <w:color w:val="auto"/>
        </w:rPr>
        <w:t xml:space="preserve"> division estimated power demand in data centers would grow at a 165</w:t>
      </w:r>
      <w:r w:rsidR="00452A11">
        <w:rPr>
          <w:color w:val="auto"/>
        </w:rPr>
        <w:t xml:space="preserve">% </w:t>
      </w:r>
      <w:r w:rsidRPr="007B5EF9">
        <w:rPr>
          <w:color w:val="auto"/>
        </w:rPr>
        <w:t>rate by 2030.</w:t>
      </w:r>
      <w:r w:rsidR="004A4722">
        <w:rPr>
          <w:color w:val="auto"/>
        </w:rPr>
        <w:t xml:space="preserve"> </w:t>
      </w:r>
      <w:r w:rsidRPr="007B5EF9">
        <w:rPr>
          <w:color w:val="auto"/>
        </w:rPr>
        <w:t>However, the Power Usage Effectiveness (PUE) of the surveyed locations did not see any significant gains in efficiency as measured by PUE,</w:t>
      </w:r>
      <w:r w:rsidR="005B20EC">
        <w:rPr>
          <w:color w:val="auto"/>
        </w:rPr>
        <w:t xml:space="preserve"> </w:t>
      </w:r>
      <w:r w:rsidRPr="007B5EF9">
        <w:rPr>
          <w:color w:val="auto"/>
        </w:rPr>
        <w:t xml:space="preserve">according to the Uptime Institute 2024 Global Data Center </w:t>
      </w:r>
      <w:bookmarkStart w:id="4" w:name="ZOTERO_BREF_VzOpl4gXp4N6"/>
      <w:r w:rsidR="00B23B6D" w:rsidRPr="007B5EF9">
        <w:rPr>
          <w:color w:val="auto"/>
        </w:rPr>
        <w:t>Survey</w:t>
      </w:r>
      <w:bookmarkEnd w:id="4"/>
      <w:r w:rsidR="00341E54">
        <w:rPr>
          <w:color w:val="auto"/>
        </w:rPr>
        <w:fldChar w:fldCharType="begin"/>
      </w:r>
      <w:r w:rsidR="00341E54">
        <w:rPr>
          <w:color w:val="auto"/>
        </w:rPr>
        <w:instrText xml:space="preserve"> ADDIN ZOTERO_ITEM CSL_CITATION {"citationID":"rwRbst5Q","properties":{"formattedCitation":"[9]","plainCitation":"[9]","noteIndex":0},"citationItems":[{"id":1912,"uris":["http://zotero.org/users/9870935/items/YDR6GAHQ"],"itemData":{"id":1912,"type":"article-journal","language":"en","source":"Zotero","title":"Uptime Institute Global Data Center Survey 2024","author":[{"family":"Donnellan","given":"Douglas"},{"family":"Lawrence","given":"Andy"},{"family":"Bizo","given":"Daniel"},{"family":"Judge","given":"Peter"},{"family":"O’Brien","given":"John"},{"family":"Davis","given":"Jacqueline"},{"family":"Smolaks","given":"Max"},{"family":"Williams-George","given":"Jabari"},{"family":"Weinschenk","given":"Rose"}],"issued":{"date-parts":[["2024"]]}}}],"schema":"https://github.com/citation-style-language/schema/raw/master/csl-citation.json"} </w:instrText>
      </w:r>
      <w:r w:rsidR="00341E54">
        <w:rPr>
          <w:color w:val="auto"/>
        </w:rPr>
        <w:fldChar w:fldCharType="separate"/>
      </w:r>
      <w:r w:rsidR="00341E54" w:rsidRPr="00341E54">
        <w:t>[9]</w:t>
      </w:r>
      <w:r w:rsidR="00341E54">
        <w:rPr>
          <w:color w:val="auto"/>
        </w:rPr>
        <w:fldChar w:fldCharType="end"/>
      </w:r>
      <w:r w:rsidRPr="007B5EF9">
        <w:rPr>
          <w:color w:val="auto"/>
        </w:rPr>
        <w:t xml:space="preserve">. </w:t>
      </w:r>
      <w:r w:rsidR="00653055" w:rsidRPr="00653055">
        <w:rPr>
          <w:color w:val="auto"/>
        </w:rPr>
        <w:t xml:space="preserve">Meanwhile, AI-specific accelerators such as the NVIDIA H100 GPU, with a thermal design power (TDP) of up to 700 watts per unit, are pushing compute density to levels that challenge conventional cooling and power delivery </w:t>
      </w:r>
      <w:bookmarkStart w:id="5" w:name="ZOTERO_BREF_Q2km8TRZH2ar"/>
      <w:r w:rsidR="00494A61" w:rsidRPr="00653055">
        <w:rPr>
          <w:color w:val="auto"/>
        </w:rPr>
        <w:t>architectures</w:t>
      </w:r>
      <w:bookmarkEnd w:id="5"/>
      <w:r w:rsidR="007F14EA">
        <w:rPr>
          <w:color w:val="auto"/>
        </w:rPr>
        <w:fldChar w:fldCharType="begin"/>
      </w:r>
      <w:r w:rsidR="007F14EA">
        <w:rPr>
          <w:color w:val="auto"/>
        </w:rPr>
        <w:instrText xml:space="preserve"> ADDIN ZOTERO_ITEM CSL_CITATION {"citationID":"02xLPkbf","properties":{"formattedCitation":"[10]","plainCitation":"[10]","noteIndex":0},"citationItems":[{"id":1914,"uris":["http://zotero.org/users/9870935/items/MRD83LE5"],"itemData":{"id":1914,"type":"article-journal","language":"en","source":"Zotero","title":"NVIDIA Hopper Architecture In-Depth","author":[{"family":"Andersch","given":"Michael"},{"family":"Palmer","given":"Greg"},{"family":"Krashinsky","given":"Ronny"},{"family":"Stam","given":"Nick"},{"family":"Mehta","given":"Vishal"},{"family":"Brito","given":"Gonzalo"},{"family":"Ramaswamy","given":"Sridhar"}]}}],"schema":"https://github.com/citation-style-language/schema/raw/master/csl-citation.json"} </w:instrText>
      </w:r>
      <w:r w:rsidR="007F14EA">
        <w:rPr>
          <w:color w:val="auto"/>
        </w:rPr>
        <w:fldChar w:fldCharType="separate"/>
      </w:r>
      <w:r w:rsidR="007F14EA" w:rsidRPr="007F14EA">
        <w:t>[10]</w:t>
      </w:r>
      <w:r w:rsidR="007F14EA">
        <w:rPr>
          <w:color w:val="auto"/>
        </w:rPr>
        <w:fldChar w:fldCharType="end"/>
      </w:r>
      <w:r w:rsidR="00653055" w:rsidRPr="00653055">
        <w:rPr>
          <w:color w:val="auto"/>
        </w:rPr>
        <w:t>.</w:t>
      </w:r>
    </w:p>
    <w:p w14:paraId="0C757415" w14:textId="77777777" w:rsidR="00962BDF" w:rsidRPr="00962BDF" w:rsidRDefault="00962BDF">
      <w:pPr>
        <w:pStyle w:val="Heading10"/>
        <w:rPr>
          <w:color w:val="auto"/>
          <w:lang w:val="en-CA"/>
        </w:rPr>
      </w:pPr>
    </w:p>
    <w:p w14:paraId="46F8C12D" w14:textId="77777777" w:rsidR="004B2DB1" w:rsidRDefault="00355C72" w:rsidP="004B2DB1">
      <w:pPr>
        <w:pStyle w:val="Heading10"/>
        <w:keepNext/>
        <w:jc w:val="center"/>
      </w:pPr>
      <w:r>
        <w:rPr>
          <w:noProof/>
        </w:rPr>
        <w:drawing>
          <wp:inline distT="0" distB="0" distL="0" distR="0" wp14:anchorId="672B7AAE" wp14:editId="0A0E408D">
            <wp:extent cx="4381500" cy="2743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381500" cy="2743200"/>
                    </a:xfrm>
                    <a:prstGeom prst="rect">
                      <a:avLst/>
                    </a:prstGeom>
                  </pic:spPr>
                </pic:pic>
              </a:graphicData>
            </a:graphic>
          </wp:inline>
        </w:drawing>
      </w:r>
    </w:p>
    <w:p w14:paraId="6B9292DC" w14:textId="579F67F3" w:rsidR="00355C72" w:rsidRDefault="004B2DB1" w:rsidP="004B2DB1">
      <w:pPr>
        <w:pStyle w:val="Caption"/>
        <w:jc w:val="center"/>
        <w:rPr>
          <w:color w:val="auto"/>
          <w:lang w:eastAsia="zh-CN"/>
        </w:rPr>
      </w:pPr>
      <w:r>
        <w:t xml:space="preserve">Figure </w:t>
      </w:r>
      <w:r w:rsidR="002462C2">
        <w:fldChar w:fldCharType="begin"/>
      </w:r>
      <w:r w:rsidR="002462C2">
        <w:instrText xml:space="preserve"> SEQ Figure \* ARABIC </w:instrText>
      </w:r>
      <w:r w:rsidR="002462C2">
        <w:fldChar w:fldCharType="separate"/>
      </w:r>
      <w:r w:rsidR="002462C2">
        <w:rPr>
          <w:noProof/>
        </w:rPr>
        <w:t>1</w:t>
      </w:r>
      <w:r w:rsidR="002462C2">
        <w:rPr>
          <w:noProof/>
        </w:rPr>
        <w:fldChar w:fldCharType="end"/>
      </w:r>
      <w:r>
        <w:t xml:space="preserve"> </w:t>
      </w:r>
      <w:r w:rsidRPr="008451C0">
        <w:t>Global data center electricity consumption and projections (2015-2030). Source: IEA, 2025</w:t>
      </w:r>
    </w:p>
    <w:p w14:paraId="3D8A14D7" w14:textId="5104F6D8" w:rsidR="004B2DB1" w:rsidRDefault="004B2DB1" w:rsidP="004B2DB1">
      <w:pPr>
        <w:pStyle w:val="Heading20"/>
        <w:rPr>
          <w:color w:val="auto"/>
          <w:lang w:val="en-CA"/>
        </w:rPr>
      </w:pPr>
      <w:r w:rsidRPr="00962BDF">
        <w:rPr>
          <w:color w:val="auto"/>
          <w:lang w:val="en-CA"/>
        </w:rPr>
        <w:t>1.</w:t>
      </w:r>
      <w:r>
        <w:rPr>
          <w:color w:val="auto"/>
          <w:lang w:val="en-CA"/>
        </w:rPr>
        <w:t>2</w:t>
      </w:r>
      <w:r w:rsidRPr="00962BDF">
        <w:rPr>
          <w:color w:val="auto"/>
          <w:lang w:val="en-CA"/>
        </w:rPr>
        <w:t xml:space="preserve">. </w:t>
      </w:r>
      <w:r>
        <w:rPr>
          <w:color w:val="auto"/>
          <w:lang w:val="en-CA"/>
        </w:rPr>
        <w:t>The Renewable Energy Imperative</w:t>
      </w:r>
    </w:p>
    <w:p w14:paraId="140E2957" w14:textId="667CA02A" w:rsidR="00ED0153" w:rsidRPr="00ED0153" w:rsidRDefault="00ED0153" w:rsidP="00A13CFF">
      <w:pPr>
        <w:pStyle w:val="Text"/>
        <w:rPr>
          <w:color w:val="auto"/>
        </w:rPr>
      </w:pPr>
      <w:r w:rsidRPr="00ED0153">
        <w:rPr>
          <w:color w:val="auto"/>
        </w:rPr>
        <w:t>Three simultaneous drivers, climate goals, cost trends and growing technical viability, are coming together in data center power systems for the integration of renewable energy sources. With over 130 countries aligning themselves to reach carbon zero emissions by 2050 under the Paris Agreement</w:t>
      </w:r>
      <w:r w:rsidR="00AC5FC4">
        <w:rPr>
          <w:color w:val="auto"/>
        </w:rPr>
        <w:t xml:space="preserve">, </w:t>
      </w:r>
      <w:r w:rsidR="00AC5FC4">
        <w:rPr>
          <w:szCs w:val="24"/>
        </w:rPr>
        <w:t>and the information technology sector has emerged as a critical focus area for decarbonization efforts</w:t>
      </w:r>
      <w:r w:rsidR="00380693">
        <w:rPr>
          <w:szCs w:val="24"/>
        </w:rPr>
        <w:fldChar w:fldCharType="begin"/>
      </w:r>
      <w:r w:rsidR="00380693">
        <w:rPr>
          <w:szCs w:val="24"/>
        </w:rPr>
        <w:instrText xml:space="preserve"> ADDIN ZOTERO_ITEM CSL_CITATION {"citationID":"sZccwHfz","properties":{"formattedCitation":"[11]","plainCitation":"[11]","noteIndex":0},"citationItems":[{"id":1916,"uris":["http://zotero.org/users/9870935/items/8YNRELWV"],"itemData":{"id":1916,"type":"report","abstract":"The Synthesis Report (SYR) is a stand-alone synthesis of the most policy-relevant evidence from the scientific, technical, and socio-economic literature assessed in the Sixth Assessment Report (AR6) of the Intergovernmental Panel on Climate Change (IPCC). The SYR distils and integrates the main findings of the three reports of the Working Groups of the IPCC during the AR6, and the three AR6 Special Reports into a concise document. It consists of a Summary for Policymakers and a longer report.","DOI":"10.59327/IPCC/AR6-9789291691647","language":"en","note":"edition: First","publisher":"Intergovernmental Panel on Climate Change (IPCC)","source":"DOI.org (Crossref)","title":"IPCC, 2023: Climate Change 2023: Synthesis Report. Contribution of Working Groups I, II and III to the Sixth Assessment Report of the Intergovernmental Panel on Climate Change [Core Writing Team, H. Lee and J. Romero (eds.)]. IPCC, Geneva, Switzerland.","title-short":"IPCC, 2023","URL":"https://www.ipcc.ch/report/ar6/syr/","contributor":[{"family":"Lee","given":"Hoesung"}],"author":[{"family":"Calvin","given":"Katherine"},{"family":"Dasgupta","given":"Dipak"},{"family":"Krinner","given":"Gerhard"},{"family":"Mukherji","given":"Aditi"},{"family":"Thorne","given":"Peter W."},{"family":"Trisos","given":"Christopher"},{"family":"Romero","given":"José"},{"family":"Aldunce","given":"Paulina"},{"family":"Barrett","given":"Ko"},{"family":"Blanco","given":"Gabriel"},{"family":"Cheung","given":"William W.L."},{"family":"Connors","given":"Sarah"},{"family":"Denton","given":"Fatima"},{"family":"Diongue-Niang","given":"Aïda"},{"family":"Dodman","given":"David"},{"family":"Garschagen","given":"Matthias"},{"family":"Geden","given":"Oliver"},{"family":"Hayward","given":"Bronwyn"},{"family":"Jones","given":"Christopher"},{"family":"Jotzo","given":"Frank"},{"family":"Krug","given":"Thelma"},{"family":"Lasco","given":"Rodel"},{"family":"Lee","given":"Yune-Yi"},{"family":"Masson-Delmotte","given":"Valérie"},{"family":"Meinshausen","given":"Malte"},{"family":"Mintenbeck","given":"Katja"},{"family":"Mokssit","given":"Abdalah"},{"family":"Otto","given":"Friederike E.L."},{"family":"Pathak","given":"Minal"},{"family":"Pirani","given":"Anna"},{"family":"Poloczanska","given":"Elvira"},{"family":"Pörtner","given":"Hans-Otto"},{"family":"Revi","given":"Aromar"},{"family":"Roberts","given":"Debra C."},{"family":"Roy","given":"Joyashree"},{"family":"Ruane","given":"Alex C."},{"family":"Skea","given":"Jim"},{"family":"Shukla","given":"Priyadarshi R."},{"family":"Slade","given":"Raphael"},{"family":"Slangen","given":"Aimée"},{"family":"Sokona","given":"Youba"},{"family":"Sörensson","given":"Anna A."},{"family":"Tignor","given":"Melinda"},{"family":"Van Vuuren","given":"Detlef"},{"family":"Wei","given":"Yi-Ming"},{"family":"Winkler","given":"Harald"},{"family":"Zhai","given":"Panmao"},{"family":"Zommers","given":"Zinta"},{"family":"Hourcade","given":"Jean-Charles"},{"family":"Johnson","given":"Francis X."},{"family":"Pachauri","given":"Shonali"},{"family":"Simpson","given":"Nicholas P."},{"family":"Singh","given":"Chandni"},{"family":"Thomas","given":"Adelle"},{"family":"Totin","given":"Edmond"},{"family":"Alegría","given":"Andrés"},{"family":"Armour","given":"Kyle"},{"family":"Bednar-Friedl","given":"Birgit"},{"family":"Blok","given":"Kornelis"},{"family":"Cissé","given":"Guéladio"},{"family":"Dentener","given":"Frank"},{"family":"Eriksen","given":"Siri"},{"family":"Fischer","given":"Erich"},{"family":"Garner","given":"Gregory"},{"family":"Guivarch","given":"Céline"},{"family":"Haasnoot","given":"Marjolijn"},{"family":"Hansen","given":"Gerrit"},{"family":"Hauser","given":"Mathias"},{"family":"Hawkins","given":"Ed"},{"family":"Hermans","given":"Tim"},{"family":"Kopp","given":"Robert"},{"family":"Leprince-Ringuet","given":"Noëmie"},{"family":"Lewis","given":"Jared"},{"family":"Ley","given":"Debora"},{"family":"Ludden","given":"Chloé"},{"family":"Niamir","given":"Leila"},{"family":"Nicholls","given":"Zebedee"},{"family":"Some","given":"Shreya"},{"family":"Szopa","given":"Sophie"},{"family":"Trewin","given":"Blair"},{"family":"Van Der Wijst","given":"Kaj-Ivar"},{"family":"Winter","given":"Gundula"},{"family":"Witting","given":"Maximilian"},{"family":"Birt","given":"Arlene"},{"family":"Ha","given":"Meeyoung"}],"editor":[{"family":"Arias","given":"Paola"},{"family":"Bustamante","given":"Mercedes"},{"family":"Elgizouli","given":"Ismail"},{"family":"Flato","given":"Gregory"},{"family":"Howden","given":"Mark"},{"family":"Méndez-Vallejo","given":"Carlos"},{"family":"Pereira","given":"Joy Jacqueline"},{"family":"Pichs-Madruga","given":"Ramón"},{"family":"Rose","given":"Steven K."},{"family":"Saheb","given":"Yamina"},{"family":"Sánchez Rodríguez","given":"Roberto"},{"family":"Ürge-Vorsatz","given":"Diana"},{"family":"Xiao","given":"Cunde"},{"family":"Yassaa","given":"Noureddine"},{"family":"Romero","given":"José"},{"family":"Kim","given":"Jinmi"},{"family":"Haites","given":"Erik F."},{"family":"Jung","given":"Yonghun"},{"family":"Stavins","given":"Robert"},{"family":"Birt","given":"Arlene"},{"family":"Ha","given":"Meeyoung"},{"family":"Orendain","given":"Dan Jezreel A."},{"family":"Ignon","given":"Lance"},{"family":"Park","given":"Semin"},{"family":"Park","given":"Youngin"},{"family":"Reisinger","given":"Andy"},{"family":"Cammaramo","given":"Diego"},{"family":"Fischlin","given":"Andreas"},{"family":"Fuglestvedt","given":"Jan S."},{"family":"Hansen","given":"Gerrit"},{"family":"Ludden","given":"Chloé"},{"family":"Masson-Delmotte","given":"Valérie"},{"family":"Matthews","given":"J.B. Robin"},{"family":"Mintenbeck","given":"Katja"},{"family":"Pirani","given":"Anna"},{"family":"Poloczanska","given":"Elvira"},{"family":"Leprince-Ringuet","given":"Noëmie"},{"family":"Péan","given":"Clotilde"}],"accessed":{"date-parts":[["2026",5,10]]},"issued":{"date-parts":[["2023",7,25]]}}}],"schema":"https://github.com/citation-style-language/schema/raw/master/csl-citation.json"} </w:instrText>
      </w:r>
      <w:r w:rsidR="00380693">
        <w:rPr>
          <w:szCs w:val="24"/>
        </w:rPr>
        <w:fldChar w:fldCharType="separate"/>
      </w:r>
      <w:r w:rsidR="00380693" w:rsidRPr="00380693">
        <w:t>[11]</w:t>
      </w:r>
      <w:r w:rsidR="00380693">
        <w:rPr>
          <w:szCs w:val="24"/>
        </w:rPr>
        <w:fldChar w:fldCharType="end"/>
      </w:r>
      <w:r w:rsidR="00462752">
        <w:rPr>
          <w:color w:val="auto"/>
        </w:rPr>
        <w:t xml:space="preserve">. </w:t>
      </w:r>
      <w:r w:rsidRPr="00ED0153">
        <w:rPr>
          <w:color w:val="auto"/>
        </w:rPr>
        <w:t>Major technology firms such as Google, Microsoft and Meta have all committed to running 24/7 carbon-free energy (CFE) operations by 2030 — a criterion that includes matching all hours of electricity use with clean generation, not accounting for it on an annual basis using renewable electricity certificates (RECs)</w:t>
      </w:r>
      <w:r w:rsidR="00A13CFF">
        <w:rPr>
          <w:color w:val="auto"/>
        </w:rPr>
        <w:fldChar w:fldCharType="begin"/>
      </w:r>
      <w:r w:rsidR="00A13CFF">
        <w:rPr>
          <w:color w:val="auto"/>
        </w:rPr>
        <w:instrText xml:space="preserve"> ADDIN ZOTERO_ITEM CSL_CITATION {"citationID":"RLy1z3N4","properties":{"formattedCitation":"[12]","plainCitation":"[12]","noteIndex":0},"citationItems":[{"id":1918,"uris":["http://zotero.org/users/9870935/items/RYFNBGUU"],"itemData":{"id":1918,"type":"post-weblog","title":"Driving sustainable innovation for society","URL":"https://datacenters.google/operating-sustainably/"}}],"schema":"https://github.com/citation-style-language/schema/raw/master/csl-citation.json"} </w:instrText>
      </w:r>
      <w:r w:rsidR="00A13CFF">
        <w:rPr>
          <w:color w:val="auto"/>
        </w:rPr>
        <w:fldChar w:fldCharType="separate"/>
      </w:r>
      <w:r w:rsidR="00A13CFF" w:rsidRPr="00A13CFF">
        <w:t>[12]</w:t>
      </w:r>
      <w:r w:rsidR="00A13CFF">
        <w:rPr>
          <w:color w:val="auto"/>
        </w:rPr>
        <w:fldChar w:fldCharType="end"/>
      </w:r>
      <w:r w:rsidRPr="00ED0153">
        <w:rPr>
          <w:color w:val="auto"/>
        </w:rPr>
        <w:t>.</w:t>
      </w:r>
    </w:p>
    <w:p w14:paraId="7E54A633" w14:textId="1A7020D3" w:rsidR="00ED0153" w:rsidRPr="00ED0153" w:rsidRDefault="00ED0153" w:rsidP="003F5F56">
      <w:pPr>
        <w:pStyle w:val="Text"/>
        <w:rPr>
          <w:color w:val="auto"/>
        </w:rPr>
      </w:pPr>
      <w:r w:rsidRPr="00ED0153">
        <w:rPr>
          <w:color w:val="auto"/>
        </w:rPr>
        <w:t>The price curve of renewable energy technologies has reshaped how data centers buy power. PV module prices dropped by more than 90</w:t>
      </w:r>
      <w:r w:rsidR="00FD76F5">
        <w:rPr>
          <w:color w:val="auto"/>
        </w:rPr>
        <w:t xml:space="preserve">% </w:t>
      </w:r>
      <w:r w:rsidRPr="00ED0153">
        <w:rPr>
          <w:color w:val="auto"/>
        </w:rPr>
        <w:t>since 2010, to about $0.15 to $0.25 per watt for commercial-grade modules in 2024, and PV system costs for ground mounted utility-scale systems are approximately $0.75 to $1.40 per watt</w:t>
      </w:r>
      <w:r w:rsidR="000D6850">
        <w:rPr>
          <w:color w:val="auto"/>
        </w:rPr>
        <w:fldChar w:fldCharType="begin"/>
      </w:r>
      <w:r w:rsidR="00665F0B">
        <w:rPr>
          <w:color w:val="auto"/>
        </w:rPr>
        <w:instrText xml:space="preserve"> ADDIN ZOTERO_ITEM CSL_CITATION {"citationID":"1RHMHOqW","properties":{"formattedCitation":"[13], [14]","plainCitation":"[13], [14]","noteIndex":0},"citationItems":[{"id":1920,"uris":["http://zotero.org/users/9870935/items/859TF279"],"itemData":{"id":1920,"type":"report","DOI":"10.2172/2376145","language":"en","number":"NREL/PR--7A40-90042, 2376145, MainId:91820","page":"NREL/PR--7A40-90042, 2376145, MainId:91820","source":"DOI.org (Crossref)","title":"Spring 2024 Solar Industry Update","URL":"https://www.osti.gov/servlets/purl/2376145/","author":[{"family":"Feldman","given":"David"},{"family":"Zuboy","given":"Jarett"},{"family":"Dummit","given":"Krysta"},{"family":"Stright","given":"Dana"},{"family":"Heine","given":"Matthew"},{"family":"Grossman","given":"Shayna"},{"family":"Margolis","given":"Robert"}],"accessed":{"date-parts":[["2026",5,10]]},"issued":{"date-parts":[["2024",5,14]]}}},{"id":1922,"uris":["http://zotero.org/users/9870935/items/MRZVWECC"],"itemData":{"id":1922,"type":"article-journal","language":"en","source":"Zotero","title":"Renewable power generation costs in 2023"}}],"schema":"https://github.com/citation-style-language/schema/raw/master/csl-citation.json"} </w:instrText>
      </w:r>
      <w:r w:rsidR="000D6850">
        <w:rPr>
          <w:color w:val="auto"/>
        </w:rPr>
        <w:fldChar w:fldCharType="separate"/>
      </w:r>
      <w:r w:rsidR="00665F0B" w:rsidRPr="00665F0B">
        <w:t>[13], [14]</w:t>
      </w:r>
      <w:r w:rsidR="000D6850">
        <w:rPr>
          <w:color w:val="auto"/>
        </w:rPr>
        <w:fldChar w:fldCharType="end"/>
      </w:r>
      <w:r w:rsidRPr="00ED0153">
        <w:rPr>
          <w:color w:val="auto"/>
        </w:rPr>
        <w:t>. Onshore wind has also performed well, giving capacity factors in the range of 25 to 40</w:t>
      </w:r>
      <w:r w:rsidR="00CC570B">
        <w:rPr>
          <w:color w:val="auto"/>
        </w:rPr>
        <w:t xml:space="preserve">% </w:t>
      </w:r>
      <w:r w:rsidRPr="00ED0153">
        <w:rPr>
          <w:color w:val="auto"/>
        </w:rPr>
        <w:t xml:space="preserve">and </w:t>
      </w:r>
      <w:r w:rsidR="00BE4166">
        <w:rPr>
          <w:color w:val="auto"/>
        </w:rPr>
        <w:t>Levelized Cost of Energy (</w:t>
      </w:r>
      <w:r w:rsidRPr="00ED0153">
        <w:rPr>
          <w:color w:val="auto"/>
        </w:rPr>
        <w:t>LCOE</w:t>
      </w:r>
      <w:r w:rsidR="00BE4166">
        <w:rPr>
          <w:color w:val="auto"/>
        </w:rPr>
        <w:t>)</w:t>
      </w:r>
      <w:r w:rsidRPr="00ED0153">
        <w:rPr>
          <w:color w:val="auto"/>
        </w:rPr>
        <w:t xml:space="preserve"> in the range of $25 to $45 per MWh, placing onshore wind among the most cost-competitive electricity generation technologies for the world</w:t>
      </w:r>
      <w:r w:rsidR="00AE55E1">
        <w:rPr>
          <w:color w:val="auto"/>
        </w:rPr>
        <w:fldChar w:fldCharType="begin"/>
      </w:r>
      <w:r w:rsidR="00BB1439">
        <w:rPr>
          <w:color w:val="auto"/>
        </w:rPr>
        <w:instrText xml:space="preserve"> ADDIN ZOTERO_ITEM CSL_CITATION {"citationID":"ViEJMM5V","properties":{"formattedCitation":"[15], [16]","plainCitation":"[15], [16]","noteIndex":0},"citationItems":[{"id":1892,"uris":["http://zotero.org/users/9870935/items/FF7QIGXZ"],"itemData":{"id":1892,"type":"post-weblog","title":"Wind","URL":"https://www.iea.org/energy-system/renewables/wind","author":[{"family":"IEA","given":""}],"accessed":{"date-parts":[["2025",2,25]]},"issued":{"date-parts":[["2025",2,25]]}}},{"id":1925,"uris":["http://zotero.org/users/9870935/items/ZT343IZI"],"itemData":{"id":1925,"type":"article-journal","language":"en","source":"Zotero","title":"Renewable power generation costs in 2024","URL":"https://www.rinnovabili.it/wp-content/uploads/2025/07/IRENA-RENEWABLE-POWER-GENERATION-COSTS-IN-2024.pdf"}}],"schema":"https://github.com/citation-style-language/schema/raw/master/csl-citation.json"} </w:instrText>
      </w:r>
      <w:r w:rsidR="00AE55E1">
        <w:rPr>
          <w:color w:val="auto"/>
        </w:rPr>
        <w:fldChar w:fldCharType="separate"/>
      </w:r>
      <w:r w:rsidR="003F5F56" w:rsidRPr="003F5F56">
        <w:t>[15], [16]</w:t>
      </w:r>
      <w:r w:rsidR="00AE55E1">
        <w:rPr>
          <w:color w:val="auto"/>
        </w:rPr>
        <w:fldChar w:fldCharType="end"/>
      </w:r>
      <w:r w:rsidRPr="00ED0153">
        <w:rPr>
          <w:color w:val="auto"/>
        </w:rPr>
        <w:t xml:space="preserve">. </w:t>
      </w:r>
      <w:r w:rsidR="00C55716">
        <w:rPr>
          <w:color w:val="auto"/>
        </w:rPr>
        <w:t>Bloomberg New Energy Finance (BNEF)</w:t>
      </w:r>
      <w:r w:rsidRPr="00ED0153">
        <w:rPr>
          <w:color w:val="auto"/>
        </w:rPr>
        <w:t xml:space="preserve"> estimates that battery energy storage system (BESS) prices dropped significantly from $300/kWh in 2020 to $108/kWh in 2025, according to its annual survey</w:t>
      </w:r>
      <w:r w:rsidR="000C2F0C">
        <w:rPr>
          <w:color w:val="auto"/>
        </w:rPr>
        <w:fldChar w:fldCharType="begin"/>
      </w:r>
      <w:r w:rsidR="003F5F56">
        <w:rPr>
          <w:color w:val="auto"/>
        </w:rPr>
        <w:instrText xml:space="preserve"> ADDIN ZOTERO_ITEM CSL_CITATION {"citationID":"m55nU3hq","properties":{"formattedCitation":"[17]","plainCitation":"[17]","noteIndex":0},"citationItems":[{"id":1923,"uris":["http://zotero.org/users/9870935/items/K5N743Z5"],"itemData":{"id":1923,"type":"post-weblog","title":"BNEF: Lithium-ion battery pack prices fall to $108/kWh, stationary storage becomes lowest price segment","URL":"https://www.ess-news.com/2025/12/09/bnef-lithium-ion-battery-pack-prices-fall-to-108-kwh-stationary-storage-becomes-lowest-price-segment/","author":[{"family":"BNEF","given":""}],"accessed":{"date-parts":[["2025",12,9]]}}}],"schema":"https://github.com/citation-style-language/schema/raw/master/csl-citation.json"} </w:instrText>
      </w:r>
      <w:r w:rsidR="000C2F0C">
        <w:rPr>
          <w:color w:val="auto"/>
        </w:rPr>
        <w:fldChar w:fldCharType="separate"/>
      </w:r>
      <w:r w:rsidR="003F5F56" w:rsidRPr="003F5F56">
        <w:t>[17]</w:t>
      </w:r>
      <w:r w:rsidR="000C2F0C">
        <w:rPr>
          <w:color w:val="auto"/>
        </w:rPr>
        <w:fldChar w:fldCharType="end"/>
      </w:r>
      <w:r w:rsidRPr="00ED0153">
        <w:rPr>
          <w:color w:val="auto"/>
        </w:rPr>
        <w:t>.</w:t>
      </w:r>
    </w:p>
    <w:p w14:paraId="78B11BF2" w14:textId="0379A45C" w:rsidR="004B2DB1" w:rsidRDefault="00ED0153" w:rsidP="00624913">
      <w:pPr>
        <w:pStyle w:val="Text"/>
        <w:rPr>
          <w:color w:val="auto"/>
        </w:rPr>
      </w:pPr>
      <w:r w:rsidRPr="00ED0153">
        <w:rPr>
          <w:color w:val="auto"/>
        </w:rPr>
        <w:t xml:space="preserve">Advances in inverter technology, grid-forming control algorithms and advanced energy management systems have made technical feasibility a lot stronger. Nonetheless, non-synchronous generator grid forming inverters can now offer synthetic inertia, voltage and frequency regulation functions previously available only from synchronous generators, allowing for an increased penetration level of </w:t>
      </w:r>
      <w:r w:rsidR="00FB1BE5">
        <w:rPr>
          <w:color w:val="auto"/>
        </w:rPr>
        <w:t>Variable Renewable Energy (VRE)</w:t>
      </w:r>
      <w:r w:rsidRPr="00ED0153">
        <w:rPr>
          <w:color w:val="auto"/>
        </w:rPr>
        <w:t xml:space="preserve"> to ensure </w:t>
      </w:r>
      <w:r w:rsidRPr="00ED0153">
        <w:rPr>
          <w:color w:val="auto"/>
        </w:rPr>
        <w:lastRenderedPageBreak/>
        <w:t>grid stability without compromising the inherent benefits of VRE</w:t>
      </w:r>
      <w:r w:rsidR="002272B2">
        <w:rPr>
          <w:color w:val="auto"/>
        </w:rPr>
        <w:fldChar w:fldCharType="begin"/>
      </w:r>
      <w:r w:rsidR="002272B2">
        <w:rPr>
          <w:color w:val="auto"/>
        </w:rPr>
        <w:instrText xml:space="preserve"> ADDIN ZOTERO_ITEM CSL_CITATION {"citationID":"6SsBicdT","properties":{"formattedCitation":"[18]","plainCitation":"[18]","noteIndex":0},"citationItems":[{"id":1927,"uris":["http://zotero.org/users/9870935/items/PZK7R79L"],"itemData":{"id":1927,"type":"article-journal","abstract":"The penetration of distributed energy resources in electrical grids has been steadily increasing in an effort to reduce greenhouse gas emissions. Inverters, as interfaces between distributed energy resources and grids, have become critical assets in modern power systems. In recent years, the development and application of grid-forming inverters have gained significant traction due to their capability of supporting power grid operations. A comprehensive review of grid-forming inverters is presented for power system applications. A comparison between grid-forming inverters and grid-following inverters is conducted in terms of their functionalities to highlight the potential of grid-forming inverter technologies in support of power system stability and resiliency. In addition, advanced control strategies integrated into grid-forming inverters under various operation conditions are presented through reviewing the innovations introduced in recent literature and in industrial applications. This paper is intended to provide an updated reference regarding grid-forming inverters for power system applications to researchers and practitioners in the field of power electronics.","container-title":"Chinese Journal of Electrical Engineering","DOI":"10.23919/CJEE.2022.000001","ISSN":"2096-1529","issue":"1","journalAbbreviation":"Chin. J. Electr. Eng.","language":"en","page":"1-15","source":"DOI.org (Crossref)","title":"Review of Grid-forming Inverters in Support of Power System Operation","volume":"8","author":[{"family":"Song","given":"Guanhong"},{"family":"Cao","given":"Bo"},{"family":"Chang","given":"Liuchen"}],"issued":{"date-parts":[["2022",3]]}}}],"schema":"https://github.com/citation-style-language/schema/raw/master/csl-citation.json"} </w:instrText>
      </w:r>
      <w:r w:rsidR="002272B2">
        <w:rPr>
          <w:color w:val="auto"/>
        </w:rPr>
        <w:fldChar w:fldCharType="separate"/>
      </w:r>
      <w:r w:rsidR="002272B2" w:rsidRPr="002272B2">
        <w:t>[18]</w:t>
      </w:r>
      <w:r w:rsidR="002272B2">
        <w:rPr>
          <w:color w:val="auto"/>
        </w:rPr>
        <w:fldChar w:fldCharType="end"/>
      </w:r>
      <w:r w:rsidRPr="00ED0153">
        <w:rPr>
          <w:color w:val="auto"/>
        </w:rPr>
        <w:t>. At the same time, the rise and development of advanced load management strategies, such as AI workload scheduling and demand response participation, offer new tools for managing load and demand in real-time</w:t>
      </w:r>
      <w:r w:rsidR="00624913">
        <w:rPr>
          <w:color w:val="auto"/>
        </w:rPr>
        <w:fldChar w:fldCharType="begin"/>
      </w:r>
      <w:r w:rsidR="00624913">
        <w:rPr>
          <w:color w:val="auto"/>
        </w:rPr>
        <w:instrText xml:space="preserve"> ADDIN ZOTERO_ITEM CSL_CITATION {"citationID":"ooxH8Xz9","properties":{"formattedCitation":"[19]","plainCitation":"[19]","noteIndex":0},"citationItems":[{"id":1928,"uris":["http://zotero.org/users/9870935/items/S33CS4FH"],"itemData":{"id":1928,"type":"article-journal","container-title":"Renewable and Sustainable Energy Reviews","DOI":"10.1016/j.rser.2021.111787","ISSN":"13640321","journalAbbreviation":"Renewable and Sustainable Energy Reviews","language":"en","page":"111787","source":"DOI.org (Crossref)","title":"A survey of challenges and solutions for the integration of renewable energy in datacenters","volume":"155","author":[{"family":"Rostirolla","given":"G."},{"family":"Grange","given":"L."},{"family":"Minh-Thuyen","given":"T."},{"family":"Stolf","given":"P."},{"family":"Pierson","given":"J.M."},{"family":"Da Costa","given":"G."},{"family":"Baudic","given":"G."},{"family":"Haddad","given":"M."},{"family":"Kassab","given":"A."},{"family":"Nicod","given":"J.M."},{"family":"Philippe","given":"L."},{"family":"Rehn-Sonigo","given":"V."},{"family":"Roche","given":"R."},{"family":"Celik","given":"B."},{"family":"Caux","given":"S."},{"family":"Lecuivre","given":"J."}],"issued":{"date-parts":[["2022",3]]}}}],"schema":"https://github.com/citation-style-language/schema/raw/master/csl-citation.json"} </w:instrText>
      </w:r>
      <w:r w:rsidR="00624913">
        <w:rPr>
          <w:color w:val="auto"/>
        </w:rPr>
        <w:fldChar w:fldCharType="separate"/>
      </w:r>
      <w:r w:rsidR="00624913" w:rsidRPr="00624913">
        <w:t>[19]</w:t>
      </w:r>
      <w:r w:rsidR="00624913">
        <w:rPr>
          <w:color w:val="auto"/>
        </w:rPr>
        <w:fldChar w:fldCharType="end"/>
      </w:r>
      <w:r w:rsidRPr="00ED0153">
        <w:rPr>
          <w:color w:val="auto"/>
        </w:rPr>
        <w:t>.</w:t>
      </w:r>
    </w:p>
    <w:p w14:paraId="52E830AB" w14:textId="4358FE03" w:rsidR="009E3649" w:rsidRPr="009E3649" w:rsidRDefault="009E3649" w:rsidP="009E3649">
      <w:pPr>
        <w:pStyle w:val="Heading20"/>
        <w:rPr>
          <w:color w:val="auto"/>
          <w:lang w:val="en-CA"/>
        </w:rPr>
      </w:pPr>
      <w:r w:rsidRPr="00962BDF">
        <w:rPr>
          <w:color w:val="auto"/>
          <w:lang w:val="en-CA"/>
        </w:rPr>
        <w:t>1.</w:t>
      </w:r>
      <w:r w:rsidR="003D3FE4">
        <w:rPr>
          <w:color w:val="auto"/>
          <w:lang w:val="en-CA"/>
        </w:rPr>
        <w:t>3</w:t>
      </w:r>
      <w:r w:rsidRPr="00962BDF">
        <w:rPr>
          <w:color w:val="auto"/>
          <w:lang w:val="en-CA"/>
        </w:rPr>
        <w:t xml:space="preserve">. </w:t>
      </w:r>
      <w:r>
        <w:rPr>
          <w:color w:val="auto"/>
          <w:lang w:val="en-CA"/>
        </w:rPr>
        <w:t>Core Challenges in Renewable Integration</w:t>
      </w:r>
    </w:p>
    <w:p w14:paraId="16642655" w14:textId="02C0BDD3" w:rsidR="009E3649" w:rsidRPr="009E3649" w:rsidRDefault="005957BD" w:rsidP="00266ECA">
      <w:pPr>
        <w:pStyle w:val="Text"/>
        <w:rPr>
          <w:color w:val="auto"/>
        </w:rPr>
      </w:pPr>
      <w:r>
        <w:rPr>
          <w:szCs w:val="24"/>
        </w:rPr>
        <w:t>Despite favorable economic and technological trends, significant challenges remain in achieving reliable, renewable-powered data center operations</w:t>
      </w:r>
      <w:r w:rsidR="009E3649" w:rsidRPr="009E3649">
        <w:rPr>
          <w:color w:val="auto"/>
        </w:rPr>
        <w:t>. Solar and wind generation has inherent intermittency that makes it difficult to match up the supply and demand at the transmission level; managing this mismatch combines energy storage, demand flexibility, and expansion of the grid</w:t>
      </w:r>
      <w:r w:rsidR="00465E05">
        <w:rPr>
          <w:color w:val="auto"/>
        </w:rPr>
        <w:fldChar w:fldCharType="begin"/>
      </w:r>
      <w:r w:rsidR="00465E05">
        <w:rPr>
          <w:color w:val="auto"/>
        </w:rPr>
        <w:instrText xml:space="preserve"> ADDIN ZOTERO_ITEM CSL_CITATION {"citationID":"1FDqwgbX","properties":{"formattedCitation":"[20]","plainCitation":"[20]","noteIndex":0},"citationItems":[{"id":1929,"uris":["http://zotero.org/users/9870935/items/E595FMYI"],"itemData":{"id":1929,"type":"article-journal","container-title":"Renewable Energy","DOI":"10.1016/j.renene.2022.10.060","ISSN":"09601481","journalAbbreviation":"Renewable Energy","language":"en","page":"111-123","source":"DOI.org (Crossref)","title":"Temporal complementarity and value of wind-PV hybrid systems across the United States","volume":"201","author":[{"family":"Harrison-Atlas","given":"Dylan"},{"family":"Murphy","given":"Caitlin"},{"family":"Schleifer","given":"Anna"},{"family":"Grue","given":"Nicholas"}],"issued":{"date-parts":[["2022",12]]}}}],"schema":"https://github.com/citation-style-language/schema/raw/master/csl-citation.json"} </w:instrText>
      </w:r>
      <w:r w:rsidR="00465E05">
        <w:rPr>
          <w:color w:val="auto"/>
        </w:rPr>
        <w:fldChar w:fldCharType="separate"/>
      </w:r>
      <w:r w:rsidR="00465E05" w:rsidRPr="00465E05">
        <w:t>[20]</w:t>
      </w:r>
      <w:r w:rsidR="00465E05">
        <w:rPr>
          <w:color w:val="auto"/>
        </w:rPr>
        <w:fldChar w:fldCharType="end"/>
      </w:r>
      <w:r w:rsidR="009E3649" w:rsidRPr="009E3649">
        <w:rPr>
          <w:color w:val="auto"/>
        </w:rPr>
        <w:t>. Rapid variations in solar power due to cloud cover can mean that it drops by 60-90</w:t>
      </w:r>
      <w:r w:rsidR="00D9450C">
        <w:rPr>
          <w:color w:val="auto"/>
        </w:rPr>
        <w:t xml:space="preserve">% </w:t>
      </w:r>
      <w:r w:rsidR="009E3649" w:rsidRPr="009E3649">
        <w:rPr>
          <w:color w:val="auto"/>
        </w:rPr>
        <w:t>in just a few minutes; similarly hourly changes in wind generation could be 30-50</w:t>
      </w:r>
      <w:r w:rsidR="00D9450C">
        <w:rPr>
          <w:color w:val="auto"/>
        </w:rPr>
        <w:t xml:space="preserve">% </w:t>
      </w:r>
      <w:r w:rsidR="009E3649" w:rsidRPr="009E3649">
        <w:rPr>
          <w:color w:val="auto"/>
        </w:rPr>
        <w:t>without wind interruptions</w:t>
      </w:r>
      <w:r w:rsidR="00266ECA">
        <w:rPr>
          <w:color w:val="auto"/>
        </w:rPr>
        <w:fldChar w:fldCharType="begin"/>
      </w:r>
      <w:r w:rsidR="00266ECA">
        <w:rPr>
          <w:color w:val="auto"/>
        </w:rPr>
        <w:instrText xml:space="preserve"> ADDIN ZOTERO_ITEM CSL_CITATION {"citationID":"rCqKCj7x","properties":{"formattedCitation":"[21]","plainCitation":"[21]","noteIndex":0},"citationItems":[{"id":1930,"uris":["http://zotero.org/users/9870935/items/C89D8944"],"itemData":{"id":1930,"type":"article-journal","abstract":"Abstract\n            \n              The inherent intermittency of solar power due to diurnal and seasonal cycles has usually resulted in the need for alternative generation sources thereby increasing system operation costs. However, when solar power is spread over a large geographical area with significant time differences, the  intermittency can be significantly reduced and also the electricity market balancing cost. The aim of this article is to address the fundamental scientific question on how the intermittency of solar power generation is affected by aggregation, which is of great interest in the wider power and energy community and would have profound impacts on the solar energy integration into the energy supply and Net-Zero Implementation. This article goes beyond the typical regional analysis by investigating solar power intermittency at 5 aggregation levels from a global perspective based on global 7 year hourly meteorological re-analysis data with a fine spatial resolution of\n              \n                \n                  $${0.25}^{\\circ }\\times {0.25}^{\\circ } (\\sim 28 \\; \\mathrm{km} \\times 28 \\; \\mathrm{km})$$\n                  \n                    \n                      \n                        \n                          0.25\n                        \n                        </w:instrText>
      </w:r>
      <w:r w:rsidR="00266ECA">
        <w:rPr>
          <w:rFonts w:ascii="Cambria Math" w:hAnsi="Cambria Math" w:cs="Cambria Math"/>
          <w:color w:val="auto"/>
        </w:rPr>
        <w:instrText>∘</w:instrText>
      </w:r>
      <w:r w:rsidR="00266ECA">
        <w:rPr>
          <w:color w:val="auto"/>
        </w:rPr>
        <w:instrText xml:space="preserve">\n                      \n                      ×\n                      \n                        \n                          0.25\n                        \n                        </w:instrText>
      </w:r>
      <w:r w:rsidR="00266ECA">
        <w:rPr>
          <w:rFonts w:ascii="Cambria Math" w:hAnsi="Cambria Math" w:cs="Cambria Math"/>
          <w:color w:val="auto"/>
        </w:rPr>
        <w:instrText>∘</w:instrText>
      </w:r>
      <w:r w:rsidR="00266ECA">
        <w:rPr>
          <w:color w:val="auto"/>
        </w:rPr>
        <w:instrText xml:space="preserve">\n                      \n                      \n                        (\n                        </w:instrText>
      </w:r>
      <w:r w:rsidR="00266ECA">
        <w:rPr>
          <w:rFonts w:ascii="Cambria Math" w:hAnsi="Cambria Math" w:cs="Cambria Math"/>
          <w:color w:val="auto"/>
        </w:rPr>
        <w:instrText>∼</w:instrText>
      </w:r>
      <w:r w:rsidR="00266ECA">
        <w:rPr>
          <w:color w:val="auto"/>
        </w:rPr>
        <w:instrText xml:space="preserve">\n                        28\n                        \n                        km\n                        ×\n                        28\n                        \n                        km\n                        )\n                      \n                    \n                  \n                \n              \n              . In the proposed assessment framework, a coefficient of variation (CV) is used to quantify solar power intermittency and hence characterize the potential benefits of wide area solar power aggregation. A duration curve is used to characterize the intermittency in terms of power availability and a probability density function is further employed to investigate the dispersion and scaling behavior of CV at different aggregation levels. The findings indicate that the CV of solar power generation of ‘Inner Mongolia’ in China drops from 129.65 to 105.65% in the level of ‘Asia’ (by 24% decrease), to 56.11% in ‘Asia-North_America’ (by 73.54% decrease) and to the smallest 43.50% in ‘Global’ (by 86.15% decrease), nearly 3.5 times of that in ‘Asia’; (b) the availability of solar power generation increases from 52.17% in Germany, to 73.30% in ‘Europe_EU_plus’, to 77.82% in ‘Europe’, to 98.59% in ‘Europe-North_America’ (80.60% in ‘Europe-Africa’, 96.90% in ‘Europe-Asia’), to 100% in ‘Global’. Finally, conclusions and recommendations are provided to support a Net-Zero strategy.","container-title":"Scientific Reports","DOI":"10.1038/s41598-022-05247-2","ISSN":"2045-2322","issue":"1","journalAbbreviation":"Sci Rep","language":"en","page":"1363","source":"DOI.org (Crossref)","title":"Solar power generation intermittency and aggregation","volume":"12","author":[{"family":"Wu","given":"Cong"},{"family":"Zhang","given":"Xiao-Ping"},{"family":"Sterling","given":"Michael"}],"issued":{"date-parts":[["2022",1,25]]}}}],"schema":"https://github.com/citation-style-language/schema/raw/master/csl-citation.json"} </w:instrText>
      </w:r>
      <w:r w:rsidR="00266ECA">
        <w:rPr>
          <w:color w:val="auto"/>
        </w:rPr>
        <w:fldChar w:fldCharType="separate"/>
      </w:r>
      <w:r w:rsidR="00266ECA" w:rsidRPr="00266ECA">
        <w:t>[21]</w:t>
      </w:r>
      <w:r w:rsidR="00266ECA">
        <w:rPr>
          <w:color w:val="auto"/>
        </w:rPr>
        <w:fldChar w:fldCharType="end"/>
      </w:r>
      <w:r w:rsidR="009E3649" w:rsidRPr="009E3649">
        <w:rPr>
          <w:color w:val="auto"/>
        </w:rPr>
        <w:t>.</w:t>
      </w:r>
      <w:r w:rsidR="00D9450C">
        <w:rPr>
          <w:color w:val="auto"/>
        </w:rPr>
        <w:t xml:space="preserve"> </w:t>
      </w:r>
      <w:r w:rsidR="009E3649" w:rsidRPr="009E3649">
        <w:rPr>
          <w:color w:val="auto"/>
        </w:rPr>
        <w:t>These variability patterns need storage systems to span gaps of hours depending on resource profile and load requirements.</w:t>
      </w:r>
    </w:p>
    <w:p w14:paraId="2F61A54F" w14:textId="77777777" w:rsidR="00D746B6" w:rsidRDefault="009E3649" w:rsidP="00D746B6">
      <w:pPr>
        <w:spacing w:after="120"/>
        <w:ind w:firstLine="480"/>
      </w:pPr>
      <w:r w:rsidRPr="009E3649">
        <w:rPr>
          <w:color w:val="auto"/>
        </w:rPr>
        <w:t>Another key issue is power quality. A high amount of harmonic distortion is produced by data centre loads, especially for computing loads employing switched-mode power supplies (SMPS). The number of modern nonlinear loads, such as the variable frequency drive (VFD) for cooling system, and LED lights, adds to the total harmonic distortion (THD) which should not exceed 5</w:t>
      </w:r>
      <w:r w:rsidR="00786534">
        <w:rPr>
          <w:color w:val="auto"/>
        </w:rPr>
        <w:t xml:space="preserve">% </w:t>
      </w:r>
      <w:r w:rsidRPr="009E3649">
        <w:rPr>
          <w:color w:val="auto"/>
        </w:rPr>
        <w:t>based on IEEE 519 standards</w:t>
      </w:r>
      <w:r w:rsidR="006C04AA">
        <w:rPr>
          <w:color w:val="auto"/>
        </w:rPr>
        <w:fldChar w:fldCharType="begin"/>
      </w:r>
      <w:r w:rsidR="006C04AA">
        <w:rPr>
          <w:color w:val="auto"/>
        </w:rPr>
        <w:instrText xml:space="preserve"> ADDIN ZOTERO_ITEM CSL_CITATION {"citationID":"2jvlTvRp","properties":{"formattedCitation":"[22]","plainCitation":"[22]","noteIndex":0},"citationItems":[{"id":1944,"uris":["http://zotero.org/users/9870935/items/XZS2JQRQ"],"itemData":{"id":1944,"type":"standard","DOI":"10.1109/IEEESTD.2022.9848440","ISBN":"978-1-5044-8727-6","license":"https://doi.org/10.15223/policy-029","publisher":"IEEE","source":"DOI.org (Crossref)","title":"IEEE Standard for Harmonic Control in Electric Power Systems","URL":"https://ieeexplore.ieee.org/document/9848440/","accessed":{"date-parts":[["2026",5,10]]}}}],"schema":"https://github.com/citation-style-language/schema/raw/master/csl-citation.json"} </w:instrText>
      </w:r>
      <w:r w:rsidR="006C04AA">
        <w:rPr>
          <w:color w:val="auto"/>
        </w:rPr>
        <w:fldChar w:fldCharType="separate"/>
      </w:r>
      <w:r w:rsidR="006C04AA" w:rsidRPr="006C04AA">
        <w:t>[22]</w:t>
      </w:r>
      <w:r w:rsidR="006C04AA">
        <w:rPr>
          <w:color w:val="auto"/>
        </w:rPr>
        <w:fldChar w:fldCharType="end"/>
      </w:r>
      <w:r w:rsidRPr="009E3649">
        <w:rPr>
          <w:color w:val="auto"/>
        </w:rPr>
        <w:t xml:space="preserve">. </w:t>
      </w:r>
      <w:r w:rsidR="00D746B6">
        <w:rPr>
          <w:szCs w:val="24"/>
        </w:rPr>
        <w:t>The addition of inverter-based renewable energy sources introduces additional harmonic sources, requiring careful design of filtering and power conditioning systems to maintain compliance with power quality standards.</w:t>
      </w:r>
    </w:p>
    <w:p w14:paraId="19CB40B7" w14:textId="1ADE3C9E" w:rsidR="009E3649" w:rsidRDefault="009E3649" w:rsidP="002E2886">
      <w:pPr>
        <w:pStyle w:val="Text"/>
        <w:rPr>
          <w:color w:val="auto"/>
        </w:rPr>
      </w:pPr>
      <w:r w:rsidRPr="009E3649">
        <w:rPr>
          <w:color w:val="auto"/>
        </w:rPr>
        <w:t xml:space="preserve">More complex grid interconnection is an enormous hindrance to deployment. However, for congested grid areas like those currently experiencing queues of 3-5 years for studies with $50,000 to $500,000 and grid upgrades potentially running into the $10 million range, as is currently the case with </w:t>
      </w:r>
      <w:r w:rsidR="00C6437B">
        <w:rPr>
          <w:color w:val="auto"/>
        </w:rPr>
        <w:t xml:space="preserve">(California ISO) </w:t>
      </w:r>
      <w:r w:rsidRPr="009E3649">
        <w:rPr>
          <w:color w:val="auto"/>
        </w:rPr>
        <w:t xml:space="preserve">CAISO and </w:t>
      </w:r>
      <w:r w:rsidR="00531B55" w:rsidRPr="00531B55">
        <w:rPr>
          <w:color w:val="auto"/>
        </w:rPr>
        <w:t xml:space="preserve">Pennsylvania-New Jersey-Maryland Interconnection </w:t>
      </w:r>
      <w:r w:rsidR="00531B55">
        <w:rPr>
          <w:color w:val="auto"/>
        </w:rPr>
        <w:t xml:space="preserve">(PJM) </w:t>
      </w:r>
      <w:r w:rsidRPr="009E3649">
        <w:rPr>
          <w:color w:val="auto"/>
        </w:rPr>
        <w:t>in the United States</w:t>
      </w:r>
      <w:r w:rsidR="00D233EF">
        <w:rPr>
          <w:color w:val="auto"/>
        </w:rPr>
        <w:fldChar w:fldCharType="begin"/>
      </w:r>
      <w:r w:rsidR="00D233EF">
        <w:rPr>
          <w:color w:val="auto"/>
        </w:rPr>
        <w:instrText xml:space="preserve"> ADDIN ZOTERO_ITEM CSL_CITATION {"citationID":"CVOYVTOr","properties":{"formattedCitation":"[23]","plainCitation":"[23]","noteIndex":0},"citationItems":[{"id":1946,"uris":["http://zotero.org/users/9870935/items/HLXVEVRX"],"itemData":{"id":1946,"type":"article-journal","abstract":"Data Centers and Their Energy Consumption: Frequently Asked Questions In its simplest form, a data center is a physical facility that houses and runs large computer systems. U.S. data center annual energy use in 2023 (not accounting for cryptocurrency) was approximately 176 terawatt-hours (TWh), approximately 4.4% of U.S. annual electricity consumption that year, according to a report by Lawrence Berkeley National Laboratory. A data center typically contains multiple computer servers, data storage devices, and network equipment that can provide information technology (IT) infrastructure service for organizations to store, manage, process, and transmit large amounts of data. Some projections show that data center energy consumption could double or triple by 2028, accounting for up to 12% of U.S. electricity use.","language":"en","source":"Zotero","title":"Data Centers and Their Energy Consumption: Frequently Asked Questions","author":[{"family":"Offutt","given":"Martin C"},{"family":"Zhu","given":"Ling"}]}}],"schema":"https://github.com/citation-style-language/schema/raw/master/csl-citation.json"} </w:instrText>
      </w:r>
      <w:r w:rsidR="00D233EF">
        <w:rPr>
          <w:color w:val="auto"/>
        </w:rPr>
        <w:fldChar w:fldCharType="separate"/>
      </w:r>
      <w:r w:rsidR="00D233EF" w:rsidRPr="00D233EF">
        <w:t>[23]</w:t>
      </w:r>
      <w:r w:rsidR="00D233EF">
        <w:rPr>
          <w:color w:val="auto"/>
        </w:rPr>
        <w:fldChar w:fldCharType="end"/>
      </w:r>
      <w:r w:rsidRPr="009E3649">
        <w:rPr>
          <w:color w:val="auto"/>
        </w:rPr>
        <w:t xml:space="preserve">. In July 2023, </w:t>
      </w:r>
      <w:r w:rsidR="00531B55" w:rsidRPr="00531B55">
        <w:rPr>
          <w:color w:val="auto"/>
        </w:rPr>
        <w:t xml:space="preserve">Federal Energy Regulatory Commission </w:t>
      </w:r>
      <w:r w:rsidR="00531B55">
        <w:rPr>
          <w:color w:val="auto"/>
        </w:rPr>
        <w:t>(</w:t>
      </w:r>
      <w:r w:rsidRPr="009E3649">
        <w:rPr>
          <w:color w:val="auto"/>
        </w:rPr>
        <w:t>FERC</w:t>
      </w:r>
      <w:r w:rsidR="00531B55">
        <w:rPr>
          <w:color w:val="auto"/>
        </w:rPr>
        <w:t>)</w:t>
      </w:r>
      <w:r w:rsidRPr="009E3649">
        <w:rPr>
          <w:color w:val="auto"/>
        </w:rPr>
        <w:t xml:space="preserve"> issued Order 2023 to streamline the interconnection process for inverter-based resources by establishing standardized procedures and timelines for interconnection </w:t>
      </w:r>
      <w:r w:rsidR="00363AE3" w:rsidRPr="009E3649">
        <w:rPr>
          <w:color w:val="auto"/>
        </w:rPr>
        <w:t xml:space="preserve">applications </w:t>
      </w:r>
      <w:r w:rsidR="002E2886">
        <w:rPr>
          <w:color w:val="auto"/>
        </w:rPr>
        <w:fldChar w:fldCharType="begin"/>
      </w:r>
      <w:r w:rsidR="00E342F7">
        <w:rPr>
          <w:color w:val="auto"/>
        </w:rPr>
        <w:instrText xml:space="preserve"> ADDIN ZOTERO_ITEM CSL_CITATION {"citationID":"6q9bQTl0","properties":{"formattedCitation":"[24]","plainCitation":"[24]","noteIndex":0},"citationItems":[{"id":1948,"uris":["http://zotero.org/users/9870935/items/H8VJGQHI"],"itemData":{"id":1948,"type":"post-weblog","title":"Improvements to Generator Interconnection Procedures and Agreements","URL":"https://www.federalregister.gov/documents/2023/09/06/2023-16628/improvements-to-generator-interconnection-procedures-and-agreements","accessed":{"date-parts":[["2023",9,6]]}}}],"schema":"https://github.com/citation-style-language/schema/raw/master/csl-citation.json"} </w:instrText>
      </w:r>
      <w:r w:rsidR="002E2886">
        <w:rPr>
          <w:color w:val="auto"/>
        </w:rPr>
        <w:fldChar w:fldCharType="separate"/>
      </w:r>
      <w:r w:rsidR="002E2886" w:rsidRPr="002E2886">
        <w:t>[24]</w:t>
      </w:r>
      <w:r w:rsidR="002E2886">
        <w:rPr>
          <w:color w:val="auto"/>
        </w:rPr>
        <w:fldChar w:fldCharType="end"/>
      </w:r>
      <w:r w:rsidR="003B1D88">
        <w:rPr>
          <w:color w:val="auto"/>
        </w:rPr>
        <w:t xml:space="preserve"> </w:t>
      </w:r>
      <w:r w:rsidR="00363AE3">
        <w:rPr>
          <w:color w:val="auto"/>
        </w:rPr>
        <w:t>where</w:t>
      </w:r>
      <w:r w:rsidR="00A1253B">
        <w:rPr>
          <w:color w:val="auto"/>
        </w:rPr>
        <w:t xml:space="preserve"> its i</w:t>
      </w:r>
      <w:r w:rsidRPr="009E3649">
        <w:rPr>
          <w:color w:val="auto"/>
        </w:rPr>
        <w:t>mplementation of the Order will take several years.</w:t>
      </w:r>
    </w:p>
    <w:p w14:paraId="5277EAED" w14:textId="2A2A9E78" w:rsidR="003B1D88" w:rsidRDefault="003B1D88" w:rsidP="003B1D88">
      <w:pPr>
        <w:pStyle w:val="Heading20"/>
        <w:rPr>
          <w:color w:val="auto"/>
          <w:lang w:val="en-CA"/>
        </w:rPr>
      </w:pPr>
      <w:r w:rsidRPr="00962BDF">
        <w:rPr>
          <w:color w:val="auto"/>
          <w:lang w:val="en-CA"/>
        </w:rPr>
        <w:t>1.</w:t>
      </w:r>
      <w:r w:rsidR="00E342F7">
        <w:rPr>
          <w:color w:val="auto"/>
          <w:lang w:val="en-CA"/>
        </w:rPr>
        <w:t>5</w:t>
      </w:r>
      <w:r w:rsidRPr="00962BDF">
        <w:rPr>
          <w:color w:val="auto"/>
          <w:lang w:val="en-CA"/>
        </w:rPr>
        <w:t xml:space="preserve">. </w:t>
      </w:r>
      <w:r>
        <w:rPr>
          <w:color w:val="auto"/>
          <w:lang w:val="en-CA"/>
        </w:rPr>
        <w:t>Research Gap and Paper Statement</w:t>
      </w:r>
    </w:p>
    <w:p w14:paraId="4C9220B6" w14:textId="6401EE5F" w:rsidR="00070841" w:rsidRPr="00070841" w:rsidRDefault="00070841" w:rsidP="00A8646E">
      <w:pPr>
        <w:pStyle w:val="Text"/>
        <w:rPr>
          <w:color w:val="auto"/>
        </w:rPr>
      </w:pPr>
      <w:r w:rsidRPr="00070841">
        <w:rPr>
          <w:color w:val="auto"/>
        </w:rPr>
        <w:t xml:space="preserve">Although there are numerous works on individual aspects of renewable electricity integration, in practical terms, a considerable lack of comprehensive studies exists that account for all aspects of the process of designing and operating a data center with renewable power. </w:t>
      </w:r>
      <w:r w:rsidR="00E342F7" w:rsidRPr="00070841">
        <w:rPr>
          <w:color w:val="auto"/>
        </w:rPr>
        <w:t>Most of the</w:t>
      </w:r>
      <w:r w:rsidRPr="00070841">
        <w:rPr>
          <w:color w:val="auto"/>
        </w:rPr>
        <w:t xml:space="preserve"> published literature has concentrated in one of two ways: either on the technical side of power systems or the economic side of energy procurement with no attempt to integrate both which is </w:t>
      </w:r>
      <w:r w:rsidR="00E342F7" w:rsidRPr="00070841">
        <w:rPr>
          <w:color w:val="auto"/>
        </w:rPr>
        <w:t>often</w:t>
      </w:r>
      <w:r w:rsidRPr="00070841">
        <w:rPr>
          <w:color w:val="auto"/>
        </w:rPr>
        <w:t xml:space="preserve"> </w:t>
      </w:r>
      <w:r w:rsidR="00E342F7" w:rsidRPr="00070841">
        <w:rPr>
          <w:color w:val="auto"/>
        </w:rPr>
        <w:t>absenting</w:t>
      </w:r>
      <w:r w:rsidRPr="00070841">
        <w:rPr>
          <w:color w:val="auto"/>
        </w:rPr>
        <w:t xml:space="preserve"> any single framework</w:t>
      </w:r>
      <w:r w:rsidR="00E342F7">
        <w:rPr>
          <w:color w:val="auto"/>
        </w:rPr>
        <w:fldChar w:fldCharType="begin"/>
      </w:r>
      <w:r w:rsidR="00E342F7">
        <w:rPr>
          <w:color w:val="auto"/>
        </w:rPr>
        <w:instrText xml:space="preserve"> ADDIN ZOTERO_ITEM CSL_CITATION {"citationID":"LVVwUwTx","properties":{"formattedCitation":"[25]","plainCitation":"[25]","noteIndex":0},"citationItems":[{"id":1949,"uris":["http://zotero.org/users/9870935/items/D2SVF9GW"],"itemData":{"id":1949,"type":"article-journal","container-title":"Energy and Built Environment","DOI":"10.1016/j.enbenv.2024.08.009","ISSN":"26661233","issue":"1","journalAbbreviation":"Energy and Built Environment","language":"en","page":"206-226","source":"DOI.org (Crossref)","title":"Towards energy-efficient data centers: A comprehensive review of passive and active cooling strategies","title-short":"Towards energy-efficient data centers","volume":"7","author":[{"family":"Cai","given":"Senhong"},{"family":"Gou","given":"Zhonghua"}],"issued":{"date-parts":[["2026",2]]}}}],"schema":"https://github.com/citation-style-language/schema/raw/master/csl-citation.json"} </w:instrText>
      </w:r>
      <w:r w:rsidR="00E342F7">
        <w:rPr>
          <w:color w:val="auto"/>
        </w:rPr>
        <w:fldChar w:fldCharType="separate"/>
      </w:r>
      <w:r w:rsidR="00E342F7" w:rsidRPr="00E342F7">
        <w:t>[25]</w:t>
      </w:r>
      <w:r w:rsidR="00E342F7">
        <w:rPr>
          <w:color w:val="auto"/>
        </w:rPr>
        <w:fldChar w:fldCharType="end"/>
      </w:r>
      <w:r w:rsidRPr="00070841">
        <w:rPr>
          <w:color w:val="auto"/>
        </w:rPr>
        <w:t xml:space="preserve">. Further, the dynamic nature of AI workloads, with small shifts to ever more power dense accelerators, necessitates </w:t>
      </w:r>
      <w:r w:rsidRPr="00070841">
        <w:rPr>
          <w:color w:val="auto"/>
        </w:rPr>
        <w:lastRenderedPageBreak/>
        <w:t>analysis that is in line with the latest hardware capabilities and their impact on creating effective infrastructure implementations</w:t>
      </w:r>
      <w:r w:rsidR="00A8646E">
        <w:rPr>
          <w:color w:val="auto"/>
        </w:rPr>
        <w:fldChar w:fldCharType="begin"/>
      </w:r>
      <w:r w:rsidR="00A8646E">
        <w:rPr>
          <w:color w:val="auto"/>
        </w:rPr>
        <w:instrText xml:space="preserve"> ADDIN ZOTERO_ITEM CSL_CITATION {"citationID":"SsyN2B2u","properties":{"formattedCitation":"[26]","plainCitation":"[26]","noteIndex":0},"citationItems":[{"id":1951,"uris":["http://zotero.org/users/9870935/items/IURTR4AQ"],"itemData":{"id":1951,"type":"article-journal","language":"en","source":"Zotero","title":"AI, Data Centers, and the U.S. Electric Grid: A Watershed Moment","author":[{"family":"Mural","given":"Rachel"},{"family":"Pherwani","given":"Dipesh"},{"family":"Gupta","given":"Chaitanya"},{"family":"Yu","given":"Yiqi"},{"family":"Takahashi","given":"Ai"},{"family":"Kim","given":"Dongjoo"},{"family":"Majumder","given":"Subir"},{"family":"Lee","given":"Henry"},{"family":"Yu","given":"Minlan"},{"family":"Xie","given":"Le"}]}}],"schema":"https://github.com/citation-style-language/schema/raw/master/csl-citation.json"} </w:instrText>
      </w:r>
      <w:r w:rsidR="00A8646E">
        <w:rPr>
          <w:color w:val="auto"/>
        </w:rPr>
        <w:fldChar w:fldCharType="separate"/>
      </w:r>
      <w:r w:rsidR="00A8646E" w:rsidRPr="00A8646E">
        <w:t>[26]</w:t>
      </w:r>
      <w:r w:rsidR="00A8646E">
        <w:rPr>
          <w:color w:val="auto"/>
        </w:rPr>
        <w:fldChar w:fldCharType="end"/>
      </w:r>
      <w:r w:rsidRPr="00070841">
        <w:rPr>
          <w:color w:val="auto"/>
        </w:rPr>
        <w:t>.</w:t>
      </w:r>
    </w:p>
    <w:p w14:paraId="75673E3A" w14:textId="77777777" w:rsidR="00332576" w:rsidRDefault="00070841" w:rsidP="00070841">
      <w:pPr>
        <w:pStyle w:val="Text"/>
        <w:rPr>
          <w:color w:val="auto"/>
        </w:rPr>
      </w:pPr>
      <w:r w:rsidRPr="00070841">
        <w:rPr>
          <w:color w:val="auto"/>
        </w:rPr>
        <w:t xml:space="preserve">The gap mentioned above is addressed in this paper by proposing and testing a seven-components framework for designing, deploying, and deploying renewable powered AI data centers. The framework covers the following: </w:t>
      </w:r>
    </w:p>
    <w:p w14:paraId="51F4D71C" w14:textId="77777777" w:rsidR="00332576" w:rsidRDefault="00070841" w:rsidP="00070841">
      <w:pPr>
        <w:pStyle w:val="Text"/>
        <w:rPr>
          <w:color w:val="auto"/>
        </w:rPr>
      </w:pPr>
      <w:r w:rsidRPr="00070841">
        <w:rPr>
          <w:color w:val="auto"/>
        </w:rPr>
        <w:t xml:space="preserve">(1) Site assessment and resource evaluation, </w:t>
      </w:r>
    </w:p>
    <w:p w14:paraId="7C7D1594" w14:textId="77777777" w:rsidR="00332576" w:rsidRDefault="00070841" w:rsidP="00070841">
      <w:pPr>
        <w:pStyle w:val="Text"/>
        <w:rPr>
          <w:color w:val="auto"/>
        </w:rPr>
      </w:pPr>
      <w:r w:rsidRPr="00070841">
        <w:rPr>
          <w:color w:val="auto"/>
        </w:rPr>
        <w:t xml:space="preserve">(2) Technology mix optimization, </w:t>
      </w:r>
    </w:p>
    <w:p w14:paraId="70583D88" w14:textId="77777777" w:rsidR="00332576" w:rsidRDefault="00070841" w:rsidP="00070841">
      <w:pPr>
        <w:pStyle w:val="Text"/>
        <w:rPr>
          <w:color w:val="auto"/>
        </w:rPr>
      </w:pPr>
      <w:r w:rsidRPr="00070841">
        <w:rPr>
          <w:color w:val="auto"/>
        </w:rPr>
        <w:t xml:space="preserve">(3) Electrical architecture and integration design, </w:t>
      </w:r>
    </w:p>
    <w:p w14:paraId="469F8424" w14:textId="77777777" w:rsidR="00332576" w:rsidRDefault="00070841" w:rsidP="00070841">
      <w:pPr>
        <w:pStyle w:val="Text"/>
        <w:rPr>
          <w:color w:val="auto"/>
        </w:rPr>
      </w:pPr>
      <w:r w:rsidRPr="00070841">
        <w:rPr>
          <w:color w:val="auto"/>
        </w:rPr>
        <w:t xml:space="preserve">(4) Hierarchical control and dispatch strategies, </w:t>
      </w:r>
    </w:p>
    <w:p w14:paraId="5BB9BBE4" w14:textId="77777777" w:rsidR="00332576" w:rsidRDefault="00070841" w:rsidP="00070841">
      <w:pPr>
        <w:pStyle w:val="Text"/>
        <w:rPr>
          <w:color w:val="auto"/>
        </w:rPr>
      </w:pPr>
      <w:r w:rsidRPr="00070841">
        <w:rPr>
          <w:color w:val="auto"/>
        </w:rPr>
        <w:t xml:space="preserve">(5) Demand-side workload flexibility, </w:t>
      </w:r>
    </w:p>
    <w:p w14:paraId="2316C65C" w14:textId="77777777" w:rsidR="00332576" w:rsidRDefault="00070841" w:rsidP="00070841">
      <w:pPr>
        <w:pStyle w:val="Text"/>
        <w:rPr>
          <w:color w:val="auto"/>
        </w:rPr>
      </w:pPr>
      <w:r w:rsidRPr="00070841">
        <w:rPr>
          <w:color w:val="auto"/>
        </w:rPr>
        <w:t xml:space="preserve">(6) Economic viability modelling, and </w:t>
      </w:r>
    </w:p>
    <w:p w14:paraId="79CFC504" w14:textId="77777777" w:rsidR="00332576" w:rsidRDefault="00070841" w:rsidP="00070841">
      <w:pPr>
        <w:pStyle w:val="Text"/>
        <w:rPr>
          <w:color w:val="auto"/>
        </w:rPr>
      </w:pPr>
      <w:r w:rsidRPr="00070841">
        <w:rPr>
          <w:color w:val="auto"/>
        </w:rPr>
        <w:t xml:space="preserve">(7) Resilience and sustainability compliance. </w:t>
      </w:r>
    </w:p>
    <w:p w14:paraId="1CFDCC8C" w14:textId="3BC46E7F" w:rsidR="00070841" w:rsidRPr="00070841" w:rsidRDefault="00070841" w:rsidP="00070841">
      <w:pPr>
        <w:pStyle w:val="Text"/>
        <w:rPr>
          <w:color w:val="auto"/>
        </w:rPr>
      </w:pPr>
      <w:r w:rsidRPr="00070841">
        <w:rPr>
          <w:color w:val="auto"/>
        </w:rPr>
        <w:t>The main argument is that hybrid systems integrating renewable energy generation, energy storage, power grid interconnection, and demand-side flexibility can enable economically sustainable, environmentally friendly, and highly reliable operation of AI data centres in various geographical and climatic settings.</w:t>
      </w:r>
    </w:p>
    <w:p w14:paraId="25A18BF4" w14:textId="4F9CD5F3" w:rsidR="003B1D88" w:rsidRPr="00070841" w:rsidRDefault="00070841" w:rsidP="00070841">
      <w:pPr>
        <w:pStyle w:val="Text"/>
        <w:rPr>
          <w:color w:val="auto"/>
        </w:rPr>
      </w:pPr>
      <w:r w:rsidRPr="00070841">
        <w:rPr>
          <w:color w:val="auto"/>
        </w:rPr>
        <w:t>Chapter 2 includes a detailed review of the state of the art, Chapter 3 covers the fundamentals of electricity, Chapter 4 covers the characterisation of renewable energy resources, Chapter 5 deals with energy storage technologies, Chapter 6 with power system modeling and simulation, Chapter 8 with case studies, Chapter 9 with technical challenges and Chapter 10 with economics analysis, Chapter 11 with operational strategies and Chapter 12 with regulatory considerations, Chapter 13 with future research directions and Chapter 14 summarises the conclusions and recommendations.</w:t>
      </w:r>
    </w:p>
    <w:p w14:paraId="46046574" w14:textId="70D2A6D0" w:rsidR="0062701F" w:rsidRDefault="008E6F28">
      <w:pPr>
        <w:pStyle w:val="Heading10"/>
        <w:rPr>
          <w:color w:val="auto"/>
        </w:rPr>
      </w:pPr>
      <w:r>
        <w:rPr>
          <w:color w:val="auto"/>
          <w:lang w:eastAsia="zh-CN"/>
        </w:rPr>
        <w:t xml:space="preserve">2. </w:t>
      </w:r>
      <w:r w:rsidR="00AB2163">
        <w:rPr>
          <w:color w:val="auto"/>
        </w:rPr>
        <w:t>Literature Review and State-of-the-Art</w:t>
      </w:r>
    </w:p>
    <w:p w14:paraId="6DB18E50" w14:textId="77777777" w:rsidR="00367A03" w:rsidRDefault="00367A03" w:rsidP="00367A03">
      <w:pPr>
        <w:spacing w:after="120"/>
        <w:ind w:firstLine="480"/>
      </w:pPr>
      <w:r>
        <w:rPr>
          <w:szCs w:val="24"/>
        </w:rPr>
        <w:t>This chapter synthesizes the existing body of knowledge across five domains critical to renewable-powered AI data centers: data center power consumption, renewable energy technologies, energy storage systems, microgrid and grid integration, and industry case studies. The review draws upon over 160 sources published between 2015 and 2025, with emphasis on the most recent and impactful contributions.</w:t>
      </w:r>
    </w:p>
    <w:p w14:paraId="071660AC" w14:textId="2E11A46D" w:rsidR="0062701F" w:rsidRDefault="008E6F28">
      <w:pPr>
        <w:pStyle w:val="Heading20"/>
        <w:rPr>
          <w:color w:val="auto"/>
        </w:rPr>
      </w:pPr>
      <w:r>
        <w:rPr>
          <w:color w:val="auto"/>
        </w:rPr>
        <w:t xml:space="preserve">2.1. </w:t>
      </w:r>
      <w:r w:rsidR="00367A03">
        <w:rPr>
          <w:color w:val="auto"/>
        </w:rPr>
        <w:t>AI Data Center Power Consumption</w:t>
      </w:r>
    </w:p>
    <w:p w14:paraId="57C69CD7" w14:textId="560072E5" w:rsidR="00684620" w:rsidRPr="00684620" w:rsidRDefault="00684620" w:rsidP="00A47543">
      <w:pPr>
        <w:spacing w:after="120"/>
        <w:ind w:firstLine="480"/>
        <w:rPr>
          <w:szCs w:val="24"/>
        </w:rPr>
      </w:pPr>
      <w:r w:rsidRPr="00684620">
        <w:rPr>
          <w:szCs w:val="24"/>
        </w:rPr>
        <w:t xml:space="preserve">Unlike traditional enterprise data centers, AI data centers have different power consumption characteristics because the workloads on GPUs and TPUs are of a high intensity and concentrated nature. Unlike older AI accelerators, such as the NVIDIA H100 Tensor Core GPU, which come in a variety of thermal envelope sizes, ranging from 350W to 700W per unit, the SXM is significantly more power-hungry than the PCIe version </w:t>
      </w:r>
      <w:r w:rsidR="00D546F1">
        <w:rPr>
          <w:szCs w:val="24"/>
        </w:rPr>
        <w:fldChar w:fldCharType="begin"/>
      </w:r>
      <w:r w:rsidR="00B56A24">
        <w:rPr>
          <w:szCs w:val="24"/>
        </w:rPr>
        <w:instrText xml:space="preserve"> ADDIN ZOTERO_ITEM CSL_CITATION {"citationID":"ZFTw5Hk5","properties":{"formattedCitation":"[10], [27]","plainCitation":"[10], [27]","noteIndex":0},"citationItems":[{"id":1914,"uris":["http://zotero.org/users/9870935/items/MRD83LE5"],"itemData":{"id":1914,"type":"article-journal","language":"en","source":"Zotero","title":"NVIDIA Hopper Architecture In-Depth","author":[{"family":"Andersch","given":"Michael"},{"family":"Palmer","given":"Greg"},{"family":"Krashinsky","given":"Ronny"},{"family":"Stam","given":"Nick"},{"family":"Mehta","given":"Vishal"},{"family":"Brito","given":"Gonzalo"},{"family":"Ramaswamy","given":"Sridhar"}]}},{"id":1954,"uris":["http://zotero.org/users/9870935/items/PCATWEQE"],"itemData":{"id":1954,"type":"article-journal","container-title":"IEEE Transactions on Parallel and Distributed Systems","DOI":"10.1109/TPDS.2021.3115630","ISSN":"1045-9219, 1558-2183, 2161-9883","issue":"6","journalAbbreviation":"IEEE Trans. Parallel Distrib. Syst.","license":"https://ieeexplore.ieee.org/Xplorehelp/downloads/license-information/IEEE.html","page":"1451-1463","source":"DOI.org (Crossref)","title":"A Survey of GPU Multitasking Methods Supported by Hardware Architecture","volume":"33","author":[{"family":"Zhao","given":"Chen"},{"family":"Gao","given":"Wu"},{"family":"Nie","given":"Feiping"},{"family":"Zhou","given":"Huiyang"}],"issued":{"date-parts":[["2022",6,1]]}}}],"schema":"https://github.com/citation-style-language/schema/raw/master/csl-citation.json"} </w:instrText>
      </w:r>
      <w:r w:rsidR="00D546F1">
        <w:rPr>
          <w:szCs w:val="24"/>
        </w:rPr>
        <w:fldChar w:fldCharType="separate"/>
      </w:r>
      <w:r w:rsidR="00B56A24" w:rsidRPr="00B56A24">
        <w:t>[10], [27]</w:t>
      </w:r>
      <w:r w:rsidR="00D546F1">
        <w:rPr>
          <w:szCs w:val="24"/>
        </w:rPr>
        <w:fldChar w:fldCharType="end"/>
      </w:r>
      <w:r w:rsidR="008B1FE8">
        <w:rPr>
          <w:szCs w:val="24"/>
        </w:rPr>
        <w:t xml:space="preserve">. </w:t>
      </w:r>
      <w:r w:rsidRPr="00684620">
        <w:rPr>
          <w:szCs w:val="24"/>
        </w:rPr>
        <w:t>Power densities can reach 30 kW on the rack with eight GPUs per server and multiple servers per rack, whereas typical enterprise computing rack power densities are 5 to 10 kW</w:t>
      </w:r>
      <w:r w:rsidR="00A47543">
        <w:rPr>
          <w:szCs w:val="24"/>
        </w:rPr>
        <w:fldChar w:fldCharType="begin"/>
      </w:r>
      <w:r w:rsidR="00A47543">
        <w:rPr>
          <w:szCs w:val="24"/>
        </w:rPr>
        <w:instrText xml:space="preserve"> ADDIN ZOTERO_ITEM CSL_CITATION {"citationID":"fI33HUPr","properties":{"formattedCitation":"[28]","plainCitation":"[28]","noteIndex":0},"citationItems":[{"id":1956,"uris":["http://zotero.org/users/9870935/items/LXX5NDM3"],"itemData":{"id":1956,"type":"article-journal","language":"en","source":"Zotero","title":"How 6 AI Attributes Change Data Center Design","author":[{"family":"Avelar","given":"Victor"},{"family":"Donovan","given":"Patrick"}]}}],"schema":"https://github.com/citation-style-language/schema/raw/master/csl-citation.json"} </w:instrText>
      </w:r>
      <w:r w:rsidR="00A47543">
        <w:rPr>
          <w:szCs w:val="24"/>
        </w:rPr>
        <w:fldChar w:fldCharType="separate"/>
      </w:r>
      <w:r w:rsidR="00A47543" w:rsidRPr="00A47543">
        <w:t>[28]</w:t>
      </w:r>
      <w:r w:rsidR="00A47543">
        <w:rPr>
          <w:szCs w:val="24"/>
        </w:rPr>
        <w:fldChar w:fldCharType="end"/>
      </w:r>
      <w:r w:rsidRPr="00684620">
        <w:rPr>
          <w:szCs w:val="24"/>
        </w:rPr>
        <w:t>. This significant increase in compute density has far-reaching impacts on power delivery infrastructure, cooling system design and facility power usage.</w:t>
      </w:r>
    </w:p>
    <w:p w14:paraId="797BBC98" w14:textId="06030B6F" w:rsidR="00684620" w:rsidRPr="00684620" w:rsidRDefault="00684620" w:rsidP="00363763">
      <w:pPr>
        <w:spacing w:after="120"/>
        <w:ind w:firstLine="480"/>
        <w:rPr>
          <w:szCs w:val="24"/>
        </w:rPr>
      </w:pPr>
      <w:r w:rsidRPr="00684620">
        <w:rPr>
          <w:szCs w:val="24"/>
        </w:rPr>
        <w:lastRenderedPageBreak/>
        <w:t>The intensity and timing of training varies from inference. Training is designed to use high and near maximum power for hours to weeks and has little or no "idle" time between computation cycles</w:t>
      </w:r>
      <w:r w:rsidR="005D66E7">
        <w:rPr>
          <w:szCs w:val="24"/>
        </w:rPr>
        <w:fldChar w:fldCharType="begin"/>
      </w:r>
      <w:r w:rsidR="005B5BA4">
        <w:rPr>
          <w:szCs w:val="24"/>
        </w:rPr>
        <w:instrText xml:space="preserve"> ADDIN ZOTERO_ITEM CSL_CITATION {"citationID":"JIAomyCW","properties":{"formattedCitation":"[4], [29]","plainCitation":"[4], [29]","noteIndex":0},"citationItems":[{"id":1900,"uris":["http://zotero.org/users/9870935/items/IDZTTL47"],"itemData":{"id":1900,"type":"article","abstract":"The computation demand for machine learning (ML) has grown rapidly recently, which comes with a number of costs. Estimating the energy cost helps measure its environmental impact and finding greener strategies, yet it is challenging without detailed information. We calculate the energy use and carbon footprint of several recent large models-T5, Meena, GShard, Switch Transformer, and GPT-3-and refine earlier estimates for the neural architecture search that found Evolved Transformer. We highlight the following opportunities to improve energy efficiency and CO2 equivalent emissions (CO2e): Large but sparsely activated DNNs can consume &amp;lt;1/10th the energy of large, dense DNNs without sacrificing accuracy despite using as many or even more parameters. Geographic location matters for ML workload scheduling since the fraction of carbon-free energy and resulting CO2e vary ~5X-10X, even within the same country and the same organization. We are now optimizing where and when large models are trained. Specific datacenter infrastructure matters, as Cloud datacenters can be ~1.4-2X more energy efficient than typical datacenters, and the ML-oriented accelerators inside them can be ~2-5X more effective than off-the-shelf systems. Remarkably, the choice of DNN, datacenter, and processor can reduce the carbon footprint up to ~100-1000X. These large factors also make retroactive estimates of energy cost difficult. To avoid miscalculations, we believe ML papers requiring large computational resources should make energy consumption and CO2e explicit when practical. We are working to be more transparent about energy use and CO2e in our future research. To help reduce the carbon footprint of ML, we believe energy usage and CO2e should be a key metric in evaluating models, and we are collaborating with MLPerf developers to include energy usage during training and inference in this industry standard benchmark.","DOI":"10.48550/ARXIV.2104.10350","license":"arXiv.org perpetual, non-exclusive license","note":"version: 3","publisher":"arXiv","source":"DOI.org (Datacite)","title":"Carbon Emissions and Large Neural Network Training","URL":"https://arxiv.org/abs/2104.10350","author":[{"family":"Patterson","given":"David"},{"family":"Gonzalez","given":"Joseph"},{"family":"Le","given":"Quoc"},{"family":"Liang","given":"Chen"},{"family":"Munguia","given":"Lluis-Miquel"},{"family":"Rothchild","given":"Daniel"},{"family":"So","given":"David"},{"family":"Texier","given":"Maud"},{"family":"Dean","given":"Jeff"}],"accessed":{"date-parts":[["2026",5,10]]},"issued":{"date-parts":[["2021"]]}}},{"id":1957,"uris":["http://zotero.org/users/9870935/items/93BT8GDX"],"itemData":{"id":1957,"type":"article","abstract":"Recent work has demonstrated substantial gains on many NLP tasks and benchmarks by pre-training on a large corpus of text followed by fine-tuning on a specific task. While typically task-agnostic in architecture, this method still requires task-specific fine-tuning datasets of thousands or tens of thousands of examples. By contrast, humans can generally perform a new language task from only a few examples or from simple instructions - something which current NLP systems still largely struggle to do. Here we show that scaling up language models greatly improves task-agnostic, few-shot performance, sometimes even reaching competitiveness with prior state-of-the-art fine-tuning approaches. Specifically, we train GPT-3, an autoregressive language model with 175 billion parameters, 10x more than any previous non-sparse language model, and test its performance in the few-shot setting. For all tasks, GPT-3 is applied without any gradient updates or fine-tuning, with tasks and few-shot demonstrations specified purely via text interaction with the model. GPT-3 achieves strong performance on many NLP datasets, including translation, question-answering, and cloze tasks, as well as several tasks that require on-the-fly reasoning or domain adaptation, such as unscrambling words, using a novel word in a sentence, or performing 3-digit arithmetic. At the same time, we also identify some datasets where GPT-3's few-shot learning still struggles, as well as some datasets where GPT-3 faces methodological issues related to training on large web corpora. Finally, we find that GPT-3 can generate samples of news articles which human evaluators have difficulty distinguishing from articles written by humans. We discuss broader societal impacts of this finding and of GPT-3 in general.","DOI":"10.48550/ARXIV.2005.14165","license":"arXiv.org perpetual, non-exclusive license","note":"version: 4","publisher":"arXiv","source":"DOI.org (Datacite)","title":"Language Models are Few-Shot Learners","URL":"https://arxiv.org/abs/2005.14165","author":[{"family":"Brown","given":"Tom B."},{"family":"Mann","given":"Benjamin"},{"family":"Ryder","given":"Nick"},{"family":"Subbiah","given":"Melanie"},{"family":"Kaplan","given":"Jared"},{"family":"Dhariwal","given":"Prafulla"},{"family":"Neelakantan","given":"Arvind"},{"family":"Shyam","given":"Pranav"},{"family":"Sastry","given":"Girish"},{"family":"Askell","given":"Amanda"},{"family":"Agarwal","given":"Sandhini"},{"family":"Herbert-Voss","given":"Ariel"},{"family":"Krueger","given":"Gretchen"},{"family":"Henighan","given":"Tom"},{"family":"Child","given":"Rewon"},{"family":"Ramesh","given":"Aditya"},{"family":"Ziegler","given":"Daniel M."},{"family":"Wu","given":"Jeffrey"},{"family":"Winter","given":"Clemens"},{"family":"Hesse","given":"Christopher"},{"family":"Chen","given":"Mark"},{"family":"Sigler","given":"Eric"},{"family":"Litwin","given":"Mateusz"},{"family":"Gray","given":"Scott"},{"family":"Chess","given":"Benjamin"},{"family":"Clark","given":"Jack"},{"family":"Berner","given":"Christopher"},{"family":"McCandlish","given":"Sam"},{"family":"Radford","given":"Alec"},{"family":"Sutskever","given":"Ilya"},{"family":"Amodei","given":"Dario"}],"accessed":{"date-parts":[["2026",5,10]]},"issued":{"date-parts":[["2020"]]}}}],"schema":"https://github.com/citation-style-language/schema/raw/master/csl-citation.json"} </w:instrText>
      </w:r>
      <w:r w:rsidR="005D66E7">
        <w:rPr>
          <w:szCs w:val="24"/>
        </w:rPr>
        <w:fldChar w:fldCharType="separate"/>
      </w:r>
      <w:r w:rsidR="005B5BA4" w:rsidRPr="005B5BA4">
        <w:t>[4], [29]</w:t>
      </w:r>
      <w:r w:rsidR="005D66E7">
        <w:rPr>
          <w:szCs w:val="24"/>
        </w:rPr>
        <w:fldChar w:fldCharType="end"/>
      </w:r>
      <w:r w:rsidR="005D66E7">
        <w:rPr>
          <w:szCs w:val="24"/>
        </w:rPr>
        <w:t xml:space="preserve">. </w:t>
      </w:r>
      <w:r w:rsidRPr="00684620">
        <w:rPr>
          <w:szCs w:val="24"/>
        </w:rPr>
        <w:t xml:space="preserve">Inference workloads are more variable in that power consumption can vary depending on the number of requests, model complexity, and the batch size. Research shows that training loads generally use 80-95% of the peak GPU power, and inferences use 40-70% of the peak GPU power, depending on the application and traffic </w:t>
      </w:r>
      <w:r w:rsidR="00363763">
        <w:rPr>
          <w:szCs w:val="24"/>
        </w:rPr>
        <w:fldChar w:fldCharType="begin"/>
      </w:r>
      <w:r w:rsidR="00363763">
        <w:rPr>
          <w:szCs w:val="24"/>
        </w:rPr>
        <w:instrText xml:space="preserve"> ADDIN ZOTERO_ITEM CSL_CITATION {"citationID":"oHiR4RkN","properties":{"formattedCitation":"[30]","plainCitation":"[30]","noteIndex":0},"citationItems":[{"id":1960,"uris":["http://zotero.org/users/9870935/items/PYZHUHRC"],"itemData":{"id":1960,"type":"article-journal","abstract":"Training large language models (LLMs) consumes vast energy and produces substantial carbon emissions, yet this impact remains largely invisible due to limited transparency. We compile reported and estimated training emissions (2018–2024) for 13 state-of-the-art models and reframe them through human-friendly comparisons, such as trees required for absorption, and per-capita footprints, via our interactive demo. Our findings highlight both the alarming scale of emissions and the lack of standardized reporting. We position this work as a contribution to Creative Practices, advancing public awareness and encouraging model reporting transparency of generative AI (GenAI). Our demo is available: https://neurips-c02-viz.vercel.app/.","language":"en","source":"Zotero","title":"Carbon Literacy for Generative AI: Visualizing Training Emissions Through Human-Scale Equivalents","author":[{"family":"Raza","given":"Mahveen"}]}}],"schema":"https://github.com/citation-style-language/schema/raw/master/csl-citation.json"} </w:instrText>
      </w:r>
      <w:r w:rsidR="00363763">
        <w:rPr>
          <w:szCs w:val="24"/>
        </w:rPr>
        <w:fldChar w:fldCharType="separate"/>
      </w:r>
      <w:r w:rsidR="00363763" w:rsidRPr="00363763">
        <w:t>[30]</w:t>
      </w:r>
      <w:r w:rsidR="00363763">
        <w:rPr>
          <w:szCs w:val="24"/>
        </w:rPr>
        <w:fldChar w:fldCharType="end"/>
      </w:r>
      <w:r w:rsidRPr="00684620">
        <w:rPr>
          <w:szCs w:val="24"/>
        </w:rPr>
        <w:t>. The temporal pattern of load has important implications for integration planning for renewable energy, as the length of time they are stored and dispatched will depend on this.</w:t>
      </w:r>
    </w:p>
    <w:p w14:paraId="1AFF00EB" w14:textId="11D5367B" w:rsidR="00684620" w:rsidRPr="00684620" w:rsidRDefault="00684620" w:rsidP="00436DD1">
      <w:pPr>
        <w:spacing w:after="120"/>
        <w:ind w:firstLine="480"/>
        <w:rPr>
          <w:szCs w:val="24"/>
        </w:rPr>
      </w:pPr>
      <w:r w:rsidRPr="00684620">
        <w:rPr>
          <w:szCs w:val="24"/>
        </w:rPr>
        <w:t>The most widely used measure for the energy efficiency of a data center is called Power Usage Effectiveness (PUE), which is calculated as the ratio of total facility power to IT equipment power. The Uptime Institute 2024 Global Data Center Survey, which drew results from almost 900 operators around the world, found an industry average PUE of 1.56, and facilities with the lowest scores had a PUE of 1.06 [9]. The survey, however, found that there has been little improvement in PUE in the last five years, as the overall average value has not significantly changed since 2019. The plateau is blamed on rising power needs of these accelerators, as efficiency advances in power distribution and cooling have failed to keep up. Generally, Google's plants have been at the forefront of the PUE front, with a trailing 12-month average of 1.10 across the worldwide fleet of the company, thanks to the use of advanced cooling systems, custom server design and AI-based temperature management</w:t>
      </w:r>
      <w:r w:rsidR="00436DD1">
        <w:rPr>
          <w:szCs w:val="24"/>
        </w:rPr>
        <w:fldChar w:fldCharType="begin"/>
      </w:r>
      <w:r w:rsidR="00436DD1">
        <w:rPr>
          <w:szCs w:val="24"/>
        </w:rPr>
        <w:instrText xml:space="preserve"> ADDIN ZOTERO_ITEM CSL_CITATION {"citationID":"kJk7hCJe","properties":{"unsorted":false,"formattedCitation":"[31]","plainCitation":"[31]","noteIndex":0},"citationItems":[{"id":1961,"uris":["http://zotero.org/users/9870935/items/RMS65YHB"],"itemData":{"id":1961,"type":"post-weblog","title":"Growing the internet while reducing energy consumption","URL":"Growing the internet while reducing energy consumption","author":[{"family":"Google","given":""}]}}],"schema":"https://github.com/citation-style-language/schema/raw/master/csl-citation.json"} </w:instrText>
      </w:r>
      <w:r w:rsidR="00436DD1">
        <w:rPr>
          <w:szCs w:val="24"/>
        </w:rPr>
        <w:fldChar w:fldCharType="separate"/>
      </w:r>
      <w:r w:rsidR="00436DD1" w:rsidRPr="00436DD1">
        <w:t>[31]</w:t>
      </w:r>
      <w:r w:rsidR="00436DD1">
        <w:rPr>
          <w:szCs w:val="24"/>
        </w:rPr>
        <w:fldChar w:fldCharType="end"/>
      </w:r>
      <w:r w:rsidRPr="00684620">
        <w:rPr>
          <w:szCs w:val="24"/>
        </w:rPr>
        <w:t>.</w:t>
      </w:r>
    </w:p>
    <w:p w14:paraId="0C1D851F" w14:textId="3608DC06" w:rsidR="00684620" w:rsidRPr="00684620" w:rsidRDefault="00684620" w:rsidP="008A2F4C">
      <w:pPr>
        <w:spacing w:after="120"/>
        <w:ind w:firstLine="480"/>
        <w:rPr>
          <w:szCs w:val="24"/>
        </w:rPr>
      </w:pPr>
      <w:r w:rsidRPr="00684620">
        <w:rPr>
          <w:szCs w:val="24"/>
        </w:rPr>
        <w:t>The second most energy intensive energy consumer in data centres is the cooling system consuming between 30</w:t>
      </w:r>
      <w:r w:rsidR="00EC024C">
        <w:rPr>
          <w:szCs w:val="24"/>
        </w:rPr>
        <w:t xml:space="preserve">-50% </w:t>
      </w:r>
      <w:r w:rsidRPr="00684620">
        <w:rPr>
          <w:szCs w:val="24"/>
        </w:rPr>
        <w:t>of the total energy used by the data centre facility</w:t>
      </w:r>
      <w:r w:rsidR="00A675D8">
        <w:rPr>
          <w:szCs w:val="24"/>
        </w:rPr>
        <w:fldChar w:fldCharType="begin"/>
      </w:r>
      <w:r w:rsidR="00AE143F">
        <w:rPr>
          <w:szCs w:val="24"/>
        </w:rPr>
        <w:instrText xml:space="preserve"> ADDIN ZOTERO_ITEM CSL_CITATION {"citationID":"CnjmtKzh","properties":{"unsorted":false,"formattedCitation":"[32], [33]","plainCitation":"[32], [33]","noteIndex":0},"citationItems":[{"id":1962,"uris":["http://zotero.org/users/9870935/items/CJR355SS"],"itemData":{"id":1962,"type":"article-journal","container-title":"Sustainable Energy Technologies and Assessments","DOI":"10.1016/j.seta.2025.104511","ISSN":"22131388","journalAbbreviation":"Sustainable Energy Technologies and Assessments","language":"en","page":"104511","source":"DOI.org (Crossref)","title":"AI-driven cooling technologies for high-performance data centres: state-of-the-art review and future directions","title-short":"AI-driven cooling technologies for high-performance data centres","volume":"82","author":[{"family":"Al Kez","given":"Dlzar"},{"family":"Foley","given":"Aoife M"},{"family":"Hasan Wong","given":"Fadhli Wong B.M."},{"family":"Dolfi","given":"Andrea"},{"family":"Srinivasan","given":"Geetha"}],"issued":{"date-parts":[["2025",10]]}}},{"id":1963,"uris":["http://zotero.org/users/9870935/items/KNQTTPD2"],"itemData":{"id":1963,"type":"article-journal","container-title":"Energy Procedia","DOI":"10.1016/j.egypro.2017.03.581","ISSN":"18766102","journalAbbreviation":"Energy Procedia","language":"en","page":"2047-2052","source":"DOI.org (Crossref)","title":"Cooling Energy Consumption Investigation of Data Center IT Room with Vertical Placed Server","volume":"105","author":[{"family":"Zhang","given":"X."},{"family":"Lindberg","given":"T."},{"family":"Xiong","given":"N."},{"family":"Vyatkin","given":"V."},{"family":"Mousavi","given":"A."}],"issued":{"date-parts":[["2017",5]]}}}],"schema":"https://github.com/citation-style-language/schema/raw/master/csl-citation.json"} </w:instrText>
      </w:r>
      <w:r w:rsidR="00A675D8">
        <w:rPr>
          <w:szCs w:val="24"/>
        </w:rPr>
        <w:fldChar w:fldCharType="separate"/>
      </w:r>
      <w:r w:rsidR="00AE143F" w:rsidRPr="00AE143F">
        <w:t>[32], [33]</w:t>
      </w:r>
      <w:r w:rsidR="00A675D8">
        <w:rPr>
          <w:szCs w:val="24"/>
        </w:rPr>
        <w:fldChar w:fldCharType="end"/>
      </w:r>
      <w:r w:rsidRPr="00684620">
        <w:rPr>
          <w:szCs w:val="24"/>
        </w:rPr>
        <w:t xml:space="preserve">. The classic way of cooling has its limitations in high density AI deployments where the heat generation per square meter can surpass what can be achieved by using a conventional computer room air conditioning (CRAC) system. Liquid cooling is a technology that can provide significant efficiency gains, down </w:t>
      </w:r>
      <w:r w:rsidR="004450CF">
        <w:rPr>
          <w:szCs w:val="24"/>
        </w:rPr>
        <w:t>to 40%</w:t>
      </w:r>
      <w:r w:rsidRPr="00684620">
        <w:rPr>
          <w:szCs w:val="24"/>
        </w:rPr>
        <w:t xml:space="preserve"> of cooling energy compared to air-based cooling</w:t>
      </w:r>
      <w:r w:rsidR="001C1DB8">
        <w:rPr>
          <w:szCs w:val="24"/>
        </w:rPr>
        <w:t xml:space="preserve"> </w:t>
      </w:r>
      <w:r w:rsidR="001C1DB8">
        <w:rPr>
          <w:szCs w:val="24"/>
        </w:rPr>
        <w:fldChar w:fldCharType="begin"/>
      </w:r>
      <w:r w:rsidR="001C1DB8">
        <w:rPr>
          <w:szCs w:val="24"/>
        </w:rPr>
        <w:instrText xml:space="preserve"> ADDIN ZOTERO_ITEM CSL_CITATION {"citationID":"vtXS9ZhK","properties":{"unsorted":false,"formattedCitation":"[34]","plainCitation":"[34]","noteIndex":0},"citationItems":[{"id":1964,"uris":["http://zotero.org/users/9870935/items/97W4FH39"],"itemData":{"id":1964,"type":"article-journal","container-title":"Applied Thermal Engineering","DOI":"10.1016/j.applthermaleng.2024.123112","ISSN":"13594311","journalAbbreviation":"Applied Thermal Engineering","language":"en","page":"123112","source":"DOI.org (Crossref)","title":"Liquid cooling of data centers: A necessity facing challenges","title-short":"Liquid cooling of data centers","volume":"247","author":[{"family":"Azarifar","given":"Mohammad"},{"family":"Arik","given":"Mehmet"},{"family":"Chang","given":"Je-Young"}],"issued":{"date-parts":[["2024",6]]}}}],"schema":"https://github.com/citation-style-language/schema/raw/master/csl-citation.json"} </w:instrText>
      </w:r>
      <w:r w:rsidR="001C1DB8">
        <w:rPr>
          <w:szCs w:val="24"/>
        </w:rPr>
        <w:fldChar w:fldCharType="separate"/>
      </w:r>
      <w:r w:rsidR="001C1DB8" w:rsidRPr="001C1DB8">
        <w:t>[34]</w:t>
      </w:r>
      <w:r w:rsidR="001C1DB8">
        <w:rPr>
          <w:szCs w:val="24"/>
        </w:rPr>
        <w:fldChar w:fldCharType="end"/>
      </w:r>
      <w:r w:rsidRPr="00684620">
        <w:rPr>
          <w:szCs w:val="24"/>
        </w:rPr>
        <w:t>. The next-generation data center designs by Microsoft use no water to cool the data center, and are at the forefront of cooling technology for AI workloads</w:t>
      </w:r>
      <w:r w:rsidR="008A2F4C">
        <w:rPr>
          <w:szCs w:val="24"/>
        </w:rPr>
        <w:fldChar w:fldCharType="begin"/>
      </w:r>
      <w:r w:rsidR="008A2F4C">
        <w:rPr>
          <w:szCs w:val="24"/>
        </w:rPr>
        <w:instrText xml:space="preserve"> ADDIN ZOTERO_ITEM CSL_CITATION {"citationID":"1bmuswBt","properties":{"unsorted":false,"formattedCitation":"[35]","plainCitation":"[35]","noteIndex":0},"citationItems":[{"id":1965,"uris":["http://zotero.org/users/9870935/items/NFH32ZLK"],"itemData":{"id":1965,"type":"article-journal","container-title":"Technology Review for Carbon Neutrality","DOI":"10.26599/TRCN.2025.9550014","ISSN":"3007-6544, 3007-3944","language":"en","page":"9550014","source":"DOI.org (Crossref)","title":"Accelerating liquid cooling adoption in data centers: necessity, challenges and solutions","title-short":"Accelerating liquid cooling adoption in data centers","author":[{"family":"Zhou","given":"David"},{"family":"Du","given":"Liguang"},{"family":"Xu","given":"Ran"},{"family":"Song","given":"Jiqiang"},{"family":"Chen","given":"Na"},{"family":"Zheng","given":"Shanshan"},{"family":"Fan","given":"Yuehong"}],"issued":{"date-parts":[["2025",12]]}}}],"schema":"https://github.com/citation-style-language/schema/raw/master/csl-citation.json"} </w:instrText>
      </w:r>
      <w:r w:rsidR="008A2F4C">
        <w:rPr>
          <w:szCs w:val="24"/>
        </w:rPr>
        <w:fldChar w:fldCharType="separate"/>
      </w:r>
      <w:r w:rsidR="008A2F4C" w:rsidRPr="008A2F4C">
        <w:t>[35]</w:t>
      </w:r>
      <w:r w:rsidR="008A2F4C">
        <w:rPr>
          <w:szCs w:val="24"/>
        </w:rPr>
        <w:fldChar w:fldCharType="end"/>
      </w:r>
      <w:r w:rsidRPr="00684620">
        <w:rPr>
          <w:szCs w:val="24"/>
        </w:rPr>
        <w:t>.</w:t>
      </w:r>
    </w:p>
    <w:p w14:paraId="61E0795B" w14:textId="0AD56A21" w:rsidR="00A32DE7" w:rsidRDefault="00A32DE7" w:rsidP="00A32DE7">
      <w:pPr>
        <w:pStyle w:val="Heading20"/>
        <w:rPr>
          <w:color w:val="auto"/>
        </w:rPr>
      </w:pPr>
      <w:r>
        <w:rPr>
          <w:color w:val="auto"/>
        </w:rPr>
        <w:t>2.</w:t>
      </w:r>
      <w:r w:rsidR="00832BD4">
        <w:rPr>
          <w:color w:val="auto"/>
        </w:rPr>
        <w:t>2</w:t>
      </w:r>
      <w:r>
        <w:rPr>
          <w:color w:val="auto"/>
        </w:rPr>
        <w:t>. Renewable Energy Technologies</w:t>
      </w:r>
    </w:p>
    <w:p w14:paraId="2560C2EB" w14:textId="042EF66F" w:rsidR="005C62D0" w:rsidRPr="005C62D0" w:rsidRDefault="00967457" w:rsidP="005108FD">
      <w:pPr>
        <w:spacing w:after="120"/>
        <w:ind w:firstLine="480"/>
        <w:rPr>
          <w:szCs w:val="24"/>
        </w:rPr>
      </w:pPr>
      <w:r w:rsidRPr="00967457">
        <w:rPr>
          <w:szCs w:val="24"/>
        </w:rPr>
        <w:t xml:space="preserve">In the last 10 years, solar PV technology has experienced an incredible cost and performance shift. The efficiencies of mainstream commercial modules have increased from </w:t>
      </w:r>
      <w:r w:rsidRPr="00571D9E">
        <w:rPr>
          <w:szCs w:val="24"/>
        </w:rPr>
        <w:t>15</w:t>
      </w:r>
      <w:r w:rsidR="00571D9E">
        <w:rPr>
          <w:szCs w:val="24"/>
        </w:rPr>
        <w:t>-</w:t>
      </w:r>
      <w:r w:rsidRPr="00571D9E">
        <w:rPr>
          <w:szCs w:val="24"/>
        </w:rPr>
        <w:t>17</w:t>
      </w:r>
      <w:r w:rsidR="00571D9E">
        <w:rPr>
          <w:szCs w:val="24"/>
        </w:rPr>
        <w:t xml:space="preserve">% </w:t>
      </w:r>
      <w:r w:rsidRPr="00571D9E">
        <w:rPr>
          <w:szCs w:val="24"/>
        </w:rPr>
        <w:t>in 2016</w:t>
      </w:r>
      <w:r w:rsidRPr="00967457">
        <w:rPr>
          <w:szCs w:val="24"/>
        </w:rPr>
        <w:t xml:space="preserve"> to </w:t>
      </w:r>
      <w:r w:rsidRPr="00571D9E">
        <w:rPr>
          <w:szCs w:val="24"/>
        </w:rPr>
        <w:t>21</w:t>
      </w:r>
      <w:r w:rsidR="00571D9E">
        <w:rPr>
          <w:szCs w:val="24"/>
        </w:rPr>
        <w:t>-</w:t>
      </w:r>
      <w:r w:rsidRPr="00571D9E">
        <w:rPr>
          <w:szCs w:val="24"/>
        </w:rPr>
        <w:t>23</w:t>
      </w:r>
      <w:r w:rsidR="00571D9E">
        <w:rPr>
          <w:szCs w:val="24"/>
        </w:rPr>
        <w:t>%</w:t>
      </w:r>
      <w:r w:rsidRPr="00571D9E">
        <w:rPr>
          <w:szCs w:val="24"/>
        </w:rPr>
        <w:t xml:space="preserve"> in 2026</w:t>
      </w:r>
      <w:r w:rsidRPr="00967457">
        <w:rPr>
          <w:szCs w:val="24"/>
        </w:rPr>
        <w:t xml:space="preserve">, with efficiencies of </w:t>
      </w:r>
      <w:r w:rsidRPr="00571D9E">
        <w:rPr>
          <w:szCs w:val="24"/>
        </w:rPr>
        <w:t>24</w:t>
      </w:r>
      <w:r w:rsidR="001C2BF8">
        <w:rPr>
          <w:szCs w:val="24"/>
        </w:rPr>
        <w:t>-</w:t>
      </w:r>
      <w:r w:rsidRPr="00571D9E">
        <w:rPr>
          <w:szCs w:val="24"/>
        </w:rPr>
        <w:t xml:space="preserve"> 25</w:t>
      </w:r>
      <w:r w:rsidR="001C2BF8">
        <w:rPr>
          <w:szCs w:val="24"/>
        </w:rPr>
        <w:t xml:space="preserve">% </w:t>
      </w:r>
      <w:r w:rsidRPr="00571D9E">
        <w:rPr>
          <w:szCs w:val="24"/>
        </w:rPr>
        <w:t>for premium modules</w:t>
      </w:r>
      <w:r w:rsidRPr="00967457">
        <w:rPr>
          <w:szCs w:val="24"/>
        </w:rPr>
        <w:t xml:space="preserve"> achieved by advanced </w:t>
      </w:r>
      <w:r w:rsidRPr="00571D9E">
        <w:rPr>
          <w:szCs w:val="24"/>
        </w:rPr>
        <w:t>TOPCon, Heterojunction (HJT), and Back Contact (BC)</w:t>
      </w:r>
      <w:r w:rsidRPr="00967457">
        <w:rPr>
          <w:szCs w:val="24"/>
        </w:rPr>
        <w:t xml:space="preserve"> cell architectures</w:t>
      </w:r>
      <w:r w:rsidR="001B2A37">
        <w:rPr>
          <w:szCs w:val="24"/>
        </w:rPr>
        <w:fldChar w:fldCharType="begin"/>
      </w:r>
      <w:r w:rsidR="001B2A37">
        <w:rPr>
          <w:szCs w:val="24"/>
        </w:rPr>
        <w:instrText xml:space="preserve"> ADDIN ZOTERO_ITEM CSL_CITATION {"citationID":"UthNAGrE","properties":{"unsorted":false,"formattedCitation":"[36]","plainCitation":"[36]","noteIndex":0},"citationItems":[{"id":1967,"uris":["http://zotero.org/users/9870935/items/AQSZGCZJ"],"itemData":{"id":1967,"type":"article-journal","abstract":"Perovskite–TOPCon\n              2\n              tandem solar cells reaching 31.3% efficiency on front-textured devices, enabled by an optimized AlO\n              \n                x\n              \n              -based hydrogenation process that provides high passivation quality.\n            \n          , \n            \n              We demonstrate high-efficiency perovskite–silicon tandem solar cells using double-sided tunnel oxide passivated contacts (TOPCon\n              2\n              ) bottom cells, achieving 30.2% efficiency on both-sides flat and 31.3% on front-textured devices. The former is enabled by high passivation quality on flat surfaces and the latter by enhanced optical performance. These results highlight that TOPCon\n              2\n              is a promising platform for scalable tandem integration beyond silicon heterojunction-based bottom cells.","container-title":"EES Solar","DOI":"10.1039/D5EL00105F","ISSN":"3033-4063","issue":"5","journalAbbreviation":"EES Sol.","language":"en","page":"732-735","source":"DOI.org (Crossref)","title":"Over 31%-efficient perovskite–TOPCon solar cells enabled by AlO&lt;sub&gt; &lt;i&gt;x&lt;/i&gt; &lt;/sub&gt; -based hydrogenation and front sub-micron texturing","volume":"1","author":[{"family":"Hurni","given":"Julien"},{"family":"Artuk","given":"Kerem"},{"family":"Schaller","given":"Thibault"},{"family":"Austin","given":"Jonathan S."},{"family":"Sakakibara","given":"Reyu"},{"family":"Paviet-Salomon","given":"Bertrand"},{"family":"Morisset","given":"Audrey"},{"family":"Fu","given":"Fan"},{"family":"Ballif","given":"Christophe"},{"family":"Wolff","given":"Christian M."},{"family":"Haug","given":"Franz-Josef"}],"issued":{"date-parts":[["2025"]]}}}],"schema":"https://github.com/citation-style-language/schema/raw/master/csl-citation.json"} </w:instrText>
      </w:r>
      <w:r w:rsidR="001B2A37">
        <w:rPr>
          <w:szCs w:val="24"/>
        </w:rPr>
        <w:fldChar w:fldCharType="separate"/>
      </w:r>
      <w:r w:rsidR="001B2A37" w:rsidRPr="001B2A37">
        <w:t>[36]</w:t>
      </w:r>
      <w:r w:rsidR="001B2A37">
        <w:rPr>
          <w:szCs w:val="24"/>
        </w:rPr>
        <w:fldChar w:fldCharType="end"/>
      </w:r>
      <w:r w:rsidR="005C62D0" w:rsidRPr="005C62D0">
        <w:rPr>
          <w:szCs w:val="24"/>
        </w:rPr>
        <w:t>. The efficiency of the inverter has also improved, and modern string and central inverters can achieve 95-98.5% weighted efficiency under different load conditions</w:t>
      </w:r>
      <w:r w:rsidR="00905B51">
        <w:rPr>
          <w:szCs w:val="24"/>
        </w:rPr>
        <w:fldChar w:fldCharType="begin"/>
      </w:r>
      <w:r w:rsidR="00905B51">
        <w:rPr>
          <w:szCs w:val="24"/>
        </w:rPr>
        <w:instrText xml:space="preserve"> ADDIN ZOTERO_ITEM CSL_CITATION {"citationID":"PZTT6vfG","properties":{"unsorted":false,"formattedCitation":"[37]","plainCitation":"[37]","noteIndex":0},"citationItems":[{"id":1969,"uris":["http://zotero.org/users/9870935/items/BE7V2SLT"],"itemData":{"id":1969,"type":"article-journal","abstract":"This review analyzes the transition from silicon to wide-bandgap (WBG) and ultrawide-bandgap (UWBG) semiconductor materials for power electronics, focusing on Silicon Carbide (SiC) and Gallium Nitride (GaN) technologies. Following a PRISMA-based systematic review methodology, we analyzed 94 peer-reviewed publications spanning device technology, converter architectures, and system applications. We employ a bottom-up approach, progressing from fundamental material properties through device architectures and converter topologies to system-level implications. We examine how intrinsic material properties enable operation at elevated temperatures, voltages, and frequencies while minimizing losses. Through analysis of Figures of Merit and system-level Key Performance Indicators, we quantify WBG benefits across automotive, industrial, renewable energy, and consumer electronics sectors, demonstrating 3–5× power density improvements and 20–40% cost reductions. The review presents emerging device technologies, including vertical GaN for medium-voltage applications and monolithic bidirectional switches (BDSs), enabling single-stage power conversion. We provide the first comprehensive topology-level comparison of emerging vertical GaN and monolithic bidirectional switches against established SiC solutions, identifying specific applications where each technology offers advantages. A comprehensive topology-by-topology comparison between SiC and GaN is provided, offering design guidelines for device selection. The review addresses practical constraints, including dynamic on-resistance degradation, threshold voltage instability, and electromagnetic interference challenges for both SiC and GaN. Finally, we examine emerging UWBG materials (β-Ga2O3, AlN, c-BN, Diamond) and their development status, manufacturing challenges, supply chain considerations, and commercialization prospects for ultra-high-voltage applications.","container-title":"Electronics","DOI":"10.3390/electronics15040835","ISSN":"2079-9292","issue":"4","journalAbbreviation":"Electronics","language":"en","page":"835","source":"DOI.org (Crossref)","title":"Wide and Ultrawide Bandgap Power Semiconductors: A Comprehensive System-Level Review","title-short":"Wide and Ultrawide Bandgap Power Semiconductors","volume":"15","author":[{"family":"Galioto","given":"Giuseppe"},{"family":"Vitale","given":"Gianpaolo"},{"family":"Sferlazza","given":"Antonino"},{"family":"Lullo","given":"Giuseppe"},{"family":"Giaconia","given":"Giuseppe Costantino"}],"issued":{"date-parts":[["2026",2,15]]}}}],"schema":"https://github.com/citation-style-language/schema/raw/master/csl-citation.json"} </w:instrText>
      </w:r>
      <w:r w:rsidR="00905B51">
        <w:rPr>
          <w:szCs w:val="24"/>
        </w:rPr>
        <w:fldChar w:fldCharType="separate"/>
      </w:r>
      <w:r w:rsidR="00905B51" w:rsidRPr="00905B51">
        <w:t>[37]</w:t>
      </w:r>
      <w:r w:rsidR="00905B51">
        <w:rPr>
          <w:szCs w:val="24"/>
        </w:rPr>
        <w:fldChar w:fldCharType="end"/>
      </w:r>
      <w:r w:rsidR="005C62D0" w:rsidRPr="005C62D0">
        <w:rPr>
          <w:szCs w:val="24"/>
        </w:rPr>
        <w:t>. The levelized cost of electricity for utility scale solar PV has dropped to $30 to $50/MWh in high resource areas and is the lowest cost source of new electricity generation in most markets globally</w:t>
      </w:r>
      <w:r w:rsidR="00004098">
        <w:rPr>
          <w:szCs w:val="24"/>
        </w:rPr>
        <w:fldChar w:fldCharType="begin"/>
      </w:r>
      <w:r w:rsidR="005108FD">
        <w:rPr>
          <w:szCs w:val="24"/>
        </w:rPr>
        <w:instrText xml:space="preserve"> ADDIN ZOTERO_ITEM CSL_CITATION {"citationID":"tTrONRbG","properties":{"unsorted":false,"formattedCitation":"[38], [39]","plainCitation":"[38], [39]","noteIndex":0},"citationItems":[{"id":1971,"uris":["http://zotero.org/users/9870935/items/5GP7ICS4"],"itemData":{"id":1971,"type":"article-journal","abstract":"This study analyzes the record electricity consumption in Croatia during the July 2024 heatwave and evaluates how the increased deployment of onshore wind and solar photovoltaics (PV) could mitigate a similar event in the future. Electricity demand and generation patterns under current (2024) and projected (2030) scenarios have been simulated using a sub-hourly power system model. The findings show that during the July 2024 heatwave, Croatia imported 35% of the electricity, with prices exceeding 400 €/MWh during peak hours. By 2030, the expanded wind and solar PV sectors (1.5 GW each) will increase the renewable share from 38.8% in July 2024 to 54.7% in July 2030. On the annual level, renewable energy generation increases from 53.8% in 2024 up to 66.9% in 2030. As result, the carbon intensity of the power sector will reduce from 223 gCO2eq/kWhel in 2024 to 197 gCO2eq/kWhel in 2030. The share of fossil fuel generation will increase slightly, from 19.7% in 2024 to 22% in 2030, but more significantly in the summer to meet the heatwave-induced electricity demand. Besides that, short-term energy storage of 2 GWh (400 MW discharge over 5 h) could effectively manage evening peak demands after solar PV ceases production.","container-title":"Applied Sciences","DOI":"10.3390/app15126440","ISSN":"2076-3417","issue":"12","journalAbbreviation":"Applied Sciences","language":"en","page":"6440","source":"DOI.org (Crossref)","title":"Resilience Under Heatwaves: Croatia’s Power System During the July 2024 Heatwave and the Role of Variable Renewable Energy by 2030","title-short":"Resilience Under Heatwaves","volume":"15","author":[{"family":"Blecich","given":"Paolo"},{"family":"Bonefačić","given":"Igor"},{"family":"Senčić","given":"Tomislav"},{"family":"Wolf","given":"Igor"}],"issued":{"date-parts":[["2025",6,7]]}}},{"id":1972,"uris":["http://zotero.org/users/9870935/items/9RNMIIGK"],"itemData":{"id":1972,"type":"article-journal","abstract":"Societies need a practical way to assess total costs of future energy mixes in complex power systems. To demonstrate such an approach, we assess the cost of electricity in the ERCOT system across two distinct generation mix scenarios, varying mostly by wind, solar and gas-fired generation, between 2023 and 2050. We use commercial software, also used by system operators and power plant developers, to ensure that evolving generation mixes in both scenarios can meet electricity demands at all times at all nodes. Such jurisdiction-specific, hourly nodal dispatch modeling is recognized as necessary for more accurate representation of costs to maintain reliable operations in complex electricity systems. We capture generation and some system costs, which we call consumer cost of electricity, CCOE, given that end-users pay these costs under different line items in their electricity bills. CCOEs are insightful cost estimates for system planning and policy discussions for a given power system and must be recalculated for different scenarios as technologies, market designs, policies, and more, change. This can be done as part of routine annual or bespoke analyses conducted by system operators.","container-title":"Energies","DOI":"10.3390/en19092195","ISSN":"1996-1073","issue":"9","journalAbbreviation":"Energies","language":"en","page":"2195","source":"DOI.org (Crossref)","title":"Assessing Economic Costs of Two Reliable Generation Mix Scenarios in the ERCOT System","volume":"19","author":[{"family":"Gülen","given":"Gürcan"},{"family":"Das","given":"Jani"},{"family":"Young","given":"Michael H."}],"issued":{"date-parts":[["2026",5,1]]}}}],"schema":"https://github.com/citation-style-language/schema/raw/master/csl-citation.json"} </w:instrText>
      </w:r>
      <w:r w:rsidR="00004098">
        <w:rPr>
          <w:szCs w:val="24"/>
        </w:rPr>
        <w:fldChar w:fldCharType="separate"/>
      </w:r>
      <w:r w:rsidR="005108FD" w:rsidRPr="005108FD">
        <w:t>[38], [39]</w:t>
      </w:r>
      <w:r w:rsidR="00004098">
        <w:rPr>
          <w:szCs w:val="24"/>
        </w:rPr>
        <w:fldChar w:fldCharType="end"/>
      </w:r>
      <w:r w:rsidR="005C62D0" w:rsidRPr="005C62D0">
        <w:rPr>
          <w:szCs w:val="24"/>
        </w:rPr>
        <w:t>.</w:t>
      </w:r>
    </w:p>
    <w:p w14:paraId="0C227A81" w14:textId="55CFAC9B" w:rsidR="005C62D0" w:rsidRPr="005C62D0" w:rsidRDefault="005C62D0" w:rsidP="006236BD">
      <w:pPr>
        <w:spacing w:after="120"/>
        <w:ind w:firstLine="480"/>
        <w:rPr>
          <w:szCs w:val="24"/>
        </w:rPr>
      </w:pPr>
      <w:r w:rsidRPr="005C62D0">
        <w:rPr>
          <w:szCs w:val="24"/>
        </w:rPr>
        <w:t>The technology of wind power has progressed greatly and onshore wind turbines can reach capacity factors of 25-40</w:t>
      </w:r>
      <w:r w:rsidR="00DF0C2F">
        <w:rPr>
          <w:szCs w:val="24"/>
        </w:rPr>
        <w:t>%</w:t>
      </w:r>
      <w:r w:rsidRPr="005C62D0">
        <w:rPr>
          <w:szCs w:val="24"/>
        </w:rPr>
        <w:t>, with optimal offshore wind installations reaching 40-50</w:t>
      </w:r>
      <w:r w:rsidR="00DF0C2F">
        <w:rPr>
          <w:szCs w:val="24"/>
        </w:rPr>
        <w:t>%</w:t>
      </w:r>
      <w:r w:rsidR="008E68EC">
        <w:rPr>
          <w:szCs w:val="24"/>
        </w:rPr>
        <w:fldChar w:fldCharType="begin"/>
      </w:r>
      <w:r w:rsidR="008E68EC">
        <w:rPr>
          <w:szCs w:val="24"/>
        </w:rPr>
        <w:instrText xml:space="preserve"> ADDIN ZOTERO_ITEM CSL_CITATION {"citationID":"xiX6SGhq","properties":{"unsorted":false,"formattedCitation":"[40]","plainCitation":"[40]","noteIndex":0},"citationItems":[{"id":1974,"uris":["http://zotero.org/users/9870935/items/63N6BPKB"],"itemData":{"id":1974,"type":"article-journal","language":"en","source":"Zotero","title":"Offshore Wind Market Report: 2024 Edition","author":[{"family":"McCoy","given":"Angel"},{"family":"Musial","given":"Walter"},{"family":"Hammond","given":"Rob"},{"family":"Hernando","given":"Daniel Mulas"},{"family":"Duffy","given":"Patrick"},{"family":"Beiter","given":"Philipp"},{"family":"Pérez","given":"Paula"},{"family":"Baranowski","given":"Ruth"},{"family":"Reber","given":"Gage"},{"family":"Spitsen","given":"Paul"}]}}],"schema":"https://github.com/citation-style-language/schema/raw/master/csl-citation.json"} </w:instrText>
      </w:r>
      <w:r w:rsidR="008E68EC">
        <w:rPr>
          <w:szCs w:val="24"/>
        </w:rPr>
        <w:fldChar w:fldCharType="separate"/>
      </w:r>
      <w:r w:rsidR="008E68EC" w:rsidRPr="00A02978">
        <w:rPr>
          <w:szCs w:val="24"/>
        </w:rPr>
        <w:t>[40]</w:t>
      </w:r>
      <w:r w:rsidR="008E68EC">
        <w:rPr>
          <w:szCs w:val="24"/>
        </w:rPr>
        <w:fldChar w:fldCharType="end"/>
      </w:r>
      <w:r w:rsidRPr="005C62D0">
        <w:rPr>
          <w:szCs w:val="24"/>
        </w:rPr>
        <w:t xml:space="preserve">. </w:t>
      </w:r>
      <w:r w:rsidR="00642763" w:rsidRPr="00642763">
        <w:rPr>
          <w:szCs w:val="24"/>
        </w:rPr>
        <w:t xml:space="preserve">Onshore wind had a global weighted average LCOE of </w:t>
      </w:r>
      <w:r w:rsidR="00642763" w:rsidRPr="00A02978">
        <w:rPr>
          <w:szCs w:val="24"/>
        </w:rPr>
        <w:t>$0.034 per kWh</w:t>
      </w:r>
      <w:r w:rsidR="00642763" w:rsidRPr="00642763">
        <w:rPr>
          <w:szCs w:val="24"/>
        </w:rPr>
        <w:t xml:space="preserve">, making it the most cost-competitive new power generation technology in the world, according to the </w:t>
      </w:r>
      <w:r w:rsidR="00642763" w:rsidRPr="00A02978">
        <w:rPr>
          <w:szCs w:val="24"/>
        </w:rPr>
        <w:lastRenderedPageBreak/>
        <w:t>IRENA Renewable Power Generation Costs</w:t>
      </w:r>
      <w:r w:rsidR="00642763" w:rsidRPr="00642763">
        <w:rPr>
          <w:szCs w:val="24"/>
        </w:rPr>
        <w:t xml:space="preserve"> report</w:t>
      </w:r>
      <w:r w:rsidR="0002304C">
        <w:rPr>
          <w:szCs w:val="24"/>
        </w:rPr>
        <w:fldChar w:fldCharType="begin"/>
      </w:r>
      <w:r w:rsidR="006236BD">
        <w:rPr>
          <w:szCs w:val="24"/>
        </w:rPr>
        <w:instrText xml:space="preserve"> ADDIN ZOTERO_ITEM CSL_CITATION {"citationID":"lLYQKQhh","properties":{"unsorted":false,"formattedCitation":"[16]","plainCitation":"[16]","noteIndex":0},"citationItems":[{"id":1925,"uris":["http://zotero.org/users/9870935/items/ZT343IZI"],"itemData":{"id":1925,"type":"article-journal","language":"en","source":"Zotero","title":"Renewable power generation costs in 2024","URL":"https://www.rinnovabili.it/wp-content/uploads/2025/07/IRENA-RENEWABLE-POWER-GENERATION-COSTS-IN-2024.pdf"}}],"schema":"https://github.com/citation-style-language/schema/raw/master/csl-citation.json"} </w:instrText>
      </w:r>
      <w:r w:rsidR="0002304C">
        <w:rPr>
          <w:szCs w:val="24"/>
        </w:rPr>
        <w:fldChar w:fldCharType="separate"/>
      </w:r>
      <w:r w:rsidR="006236BD" w:rsidRPr="006236BD">
        <w:t>[16]</w:t>
      </w:r>
      <w:r w:rsidR="0002304C">
        <w:rPr>
          <w:szCs w:val="24"/>
        </w:rPr>
        <w:fldChar w:fldCharType="end"/>
      </w:r>
      <w:r w:rsidRPr="005C62D0">
        <w:rPr>
          <w:szCs w:val="24"/>
        </w:rPr>
        <w:t>. The use of LiDAR technology and numerical weather prediction has improved wind resource assessment, which allows for better siting decisions and energy yield estimates</w:t>
      </w:r>
      <w:r w:rsidR="00D21173">
        <w:rPr>
          <w:szCs w:val="24"/>
        </w:rPr>
        <w:fldChar w:fldCharType="begin"/>
      </w:r>
      <w:r w:rsidR="00D21173">
        <w:rPr>
          <w:szCs w:val="24"/>
        </w:rPr>
        <w:instrText xml:space="preserve"> ADDIN ZOTERO_ITEM CSL_CITATION {"citationID":"Qawnu7Gv","properties":{"unsorted":false,"formattedCitation":"[41]","plainCitation":"[41]","noteIndex":0},"citationItems":[{"id":1975,"uris":["http://zotero.org/users/9870935/items/KPYHMCRF"],"itemData":{"id":1975,"type":"article-journal","container-title":"Environmental Modelling &amp; Software","DOI":"10.1016/j.envsoft.2017.05.006","ISSN":"13648152","journalAbbreviation":"Environmental Modelling &amp; Software","language":"en","page":"1-12","source":"DOI.org (Crossref)","title":"Wind resource assessment using airborne LiDAR data and smoothed particle hydrodynamics","volume":"95","author":[{"family":"Lukač","given":"Niko"},{"family":"Štumberger","given":"Gorazd"},{"family":"Žalik","given":"Borut"}],"issued":{"date-parts":[["2017",9]]}}}],"schema":"https://github.com/citation-style-language/schema/raw/master/csl-citation.json"} </w:instrText>
      </w:r>
      <w:r w:rsidR="00D21173">
        <w:rPr>
          <w:szCs w:val="24"/>
        </w:rPr>
        <w:fldChar w:fldCharType="separate"/>
      </w:r>
      <w:r w:rsidR="00D21173" w:rsidRPr="00D21173">
        <w:t>[41]</w:t>
      </w:r>
      <w:r w:rsidR="00D21173">
        <w:rPr>
          <w:szCs w:val="24"/>
        </w:rPr>
        <w:fldChar w:fldCharType="end"/>
      </w:r>
      <w:r w:rsidRPr="005C62D0">
        <w:rPr>
          <w:szCs w:val="24"/>
        </w:rPr>
        <w:t>. Wind and solar generation are naturally complementary because wind tends to generate more energy during the night and winter months, when solar generation is minimal, and solar generation is more dominant during the day and summer months when wind generation is low, resulting in a natural way to reduce the aggregate variability in hybrid systems</w:t>
      </w:r>
      <w:r w:rsidR="00533059">
        <w:rPr>
          <w:szCs w:val="24"/>
        </w:rPr>
        <w:fldChar w:fldCharType="begin"/>
      </w:r>
      <w:r w:rsidR="00533059">
        <w:rPr>
          <w:szCs w:val="24"/>
        </w:rPr>
        <w:instrText xml:space="preserve"> ADDIN ZOTERO_ITEM CSL_CITATION {"citationID":"KUWUAQKN","properties":{"unsorted":false,"formattedCitation":"[42]","plainCitation":"[42]","noteIndex":0},"citationItems":[{"id":1976,"uris":["http://zotero.org/users/9870935/items/2VTAZCBN"],"itemData":{"id":1976,"type":"article-journal","abstract":"&lt;p&gt;Renewable energy is essential for power system decarbonization, but extended and unexpected periods of extremely low wind and solar resources (i.e., wind and solar droughts) pose a threat to reliability. The challenge is further exacerbated if shortages of the two occur simultaneously or if they affect neighboring grids simultaneously. Here we present a framework to characterize these events and propose three metrics to comprehensively assess renewable energy quality: resource availability, variability, and extremeness. An examination of long-term data across a vast geographical region shows a strong spatial correlation and temporal coincidence of renewable energy droughts. It also finds a lack of sites that excel in all three quality attributes, which presents a trilemma to investors, system planners, and policymakers. These findings underscore the significance of considering factors beyond mere resource availability and contribute to developing informed strategies for the reliable and sustainable deployment of variable energy resources.&lt;/p&gt;","DOI":"10.17615/C4JD-4Y42","license":"In Copyright","publisher":"The University of North Carolina at Chapel Hill University Libraries","source":"DOI.org (Datacite)","title":"Renewable energy quality trilemma and coincident wind and solar droughts","URL":"https://cdr.lib.unc.edu/concern/articles/m039kk378","author":[{"family":"Virguez","given":"Edgar"},{"family":"Ma","given":"Qingyuan"},{"family":"Li","given":"Mingquan"},{"family":"Gao","given":"Shuo"},{"family":"Shan","given":"Rui"},{"family":"Abdulla","given":"Ahmed"},{"family":"Patiño-Echeverri","given":"Dalia"}],"accessed":{"date-parts":[["2026",5,16]]}}}],"schema":"https://github.com/citation-style-language/schema/raw/master/csl-citation.json"} </w:instrText>
      </w:r>
      <w:r w:rsidR="00533059">
        <w:rPr>
          <w:szCs w:val="24"/>
        </w:rPr>
        <w:fldChar w:fldCharType="separate"/>
      </w:r>
      <w:r w:rsidR="00533059" w:rsidRPr="00533059">
        <w:t>[42]</w:t>
      </w:r>
      <w:r w:rsidR="00533059">
        <w:rPr>
          <w:szCs w:val="24"/>
        </w:rPr>
        <w:fldChar w:fldCharType="end"/>
      </w:r>
      <w:r w:rsidRPr="005C62D0">
        <w:rPr>
          <w:szCs w:val="24"/>
        </w:rPr>
        <w:t>.</w:t>
      </w:r>
    </w:p>
    <w:p w14:paraId="65772D6A" w14:textId="2A443F0B" w:rsidR="005C62D0" w:rsidRDefault="005C62D0" w:rsidP="000B39AB">
      <w:pPr>
        <w:spacing w:after="120"/>
        <w:ind w:firstLine="480"/>
        <w:rPr>
          <w:szCs w:val="24"/>
        </w:rPr>
      </w:pPr>
      <w:r w:rsidRPr="005C62D0">
        <w:rPr>
          <w:szCs w:val="24"/>
        </w:rPr>
        <w:t>Hydroelectric power, specifically pumped-storage hydropower (PSH), is a vital component in the energy balancing equation at the grid level. PSH makes up about 95% of the world's electricity storage capacity and offers gigawatt hours of storage at much lower costs than battery systems</w:t>
      </w:r>
      <w:r w:rsidR="007B720C">
        <w:rPr>
          <w:szCs w:val="24"/>
        </w:rPr>
        <w:fldChar w:fldCharType="begin"/>
      </w:r>
      <w:r w:rsidR="007B720C">
        <w:rPr>
          <w:szCs w:val="24"/>
        </w:rPr>
        <w:instrText xml:space="preserve"> ADDIN ZOTERO_ITEM CSL_CITATION {"citationID":"jSwEnIfV","properties":{"unsorted":false,"formattedCitation":"[43]","plainCitation":"[43]","noteIndex":0},"citationItems":[{"id":1977,"uris":["http://zotero.org/users/9870935/items/F2FF39J5"],"itemData":{"id":1977,"type":"article-journal","abstract":"Energy storage technologies are becoming increasingly important when it comes to maintaining the balance between electricity generation and consumption, especially with the increasing share of variable renewable energy sources (VRES). Pumped storage hydropower plants (PSHs) are currently the largest form of energy storage at the grid level. The aim of this study is to investigate the importance and prospects of using PSHs as part of the energy transition to decarbonize energy sources. A comparison was made between PSHs and battery energy storage systems (BESSs) in terms of technical, economic, and ecological aspects. To identify the key factors influencing the wider adoption of PSHs, a combined approach using SWOT analysis (which assesses strengths, weaknesses, opportunities, and threats) and the Analytical Hierarchy Process (AHP) as a decision support tool was applied. Regulatory and market uncertainties (13.54%) and financial inequality (12.77%) rank first and belong to the “Threats” group, with energy storage capacity (10.11%) as the most important factor from the “Strengths” group and increased demand for energy storage (9.01%) as the most important factor from the “Opportunities” group. Forecasts up to 2050 show that the capacity of PSHs must be doubled to enable the integration of 80% of VRES into the grids. The study concludes that PSHs play a key role in the energy transition, especially for long-term energy storage and grid stabilization, while BESSs offer complementary benefits for short-term storage and fast frequency regulation. Recommendations to policymakers include the development of clear, accelerated project approval procedures, financial incentives, and support for hybrid PSH systems to accelerate the energy transition and meet decarbonization targets.","container-title":"Technologies","DOI":"10.3390/technologies13070305","ISSN":"2227-7080","issue":"7","journalAbbreviation":"Technologies","language":"en","page":"305","source":"DOI.org (Crossref)","title":"SWOT-AHP Analysis of the Importance and Adoption of Pumped-Storage Hydropower","volume":"13","author":[{"family":"Bošnjaković","given":"Mladen"},{"family":"Veljić","given":"Nataša"},{"family":"Božič","given":"Jelena Topić"},{"family":"Muhič","given":"Simon"}],"issued":{"date-parts":[["2025",7,16]]}}}],"schema":"https://github.com/citation-style-language/schema/raw/master/csl-citation.json"} </w:instrText>
      </w:r>
      <w:r w:rsidR="007B720C">
        <w:rPr>
          <w:szCs w:val="24"/>
        </w:rPr>
        <w:fldChar w:fldCharType="separate"/>
      </w:r>
      <w:r w:rsidR="007B720C" w:rsidRPr="007B720C">
        <w:t>[43]</w:t>
      </w:r>
      <w:r w:rsidR="007B720C">
        <w:rPr>
          <w:szCs w:val="24"/>
        </w:rPr>
        <w:fldChar w:fldCharType="end"/>
      </w:r>
      <w:r w:rsidRPr="005C62D0">
        <w:rPr>
          <w:szCs w:val="24"/>
        </w:rPr>
        <w:t>. Run-of-river hydroelectric schemes are well suited to baseload generation, with relatively low environmental impacts, whereas reservoir systems enable storage for periods of a few weeks, which is necessary to account for the variability of renewable energy over the course of a year</w:t>
      </w:r>
      <w:r w:rsidR="000B39AB">
        <w:rPr>
          <w:szCs w:val="24"/>
        </w:rPr>
        <w:fldChar w:fldCharType="begin"/>
      </w:r>
      <w:r w:rsidR="000B39AB">
        <w:rPr>
          <w:szCs w:val="24"/>
        </w:rPr>
        <w:instrText xml:space="preserve"> ADDIN ZOTERO_ITEM CSL_CITATION {"citationID":"3nXsAAsS","properties":{"unsorted":false,"formattedCitation":"[44]","plainCitation":"[44]","noteIndex":0},"citationItems":[{"id":1980,"uris":["http://zotero.org/users/9870935/items/LG6W4RRX"],"itemData":{"id":1980,"type":"article-journal","container-title":"Renewable Energy","DOI":"10.1016/j.renene.2024.121411","ISSN":"09601481","journalAbbreviation":"Renewable Energy","language":"en","page":"121411","source":"DOI.org (Crossref)","title":"The role of hydropower in decarbonisation scenarios","volume":"236","author":[{"family":"Catania","given":"M."},{"family":"Parolin","given":"F."},{"family":"Fattori","given":"F."},{"family":"Colbertaldo","given":"P."}],"issued":{"date-parts":[["2024",12]]}}}],"schema":"https://github.com/citation-style-language/schema/raw/master/csl-citation.json"} </w:instrText>
      </w:r>
      <w:r w:rsidR="000B39AB">
        <w:rPr>
          <w:szCs w:val="24"/>
        </w:rPr>
        <w:fldChar w:fldCharType="separate"/>
      </w:r>
      <w:r w:rsidR="000B39AB" w:rsidRPr="000B39AB">
        <w:t>[44]</w:t>
      </w:r>
      <w:r w:rsidR="000B39AB">
        <w:rPr>
          <w:szCs w:val="24"/>
        </w:rPr>
        <w:fldChar w:fldCharType="end"/>
      </w:r>
      <w:r w:rsidRPr="005C62D0">
        <w:rPr>
          <w:szCs w:val="24"/>
        </w:rPr>
        <w:t>. New hydroelectric development is however constrained by geography and environmental permitting in many regions, limiting scalability.</w:t>
      </w:r>
    </w:p>
    <w:p w14:paraId="56B23934" w14:textId="1373BAF6" w:rsidR="00832BD4" w:rsidRDefault="00832BD4" w:rsidP="00832BD4">
      <w:pPr>
        <w:pStyle w:val="Heading20"/>
        <w:rPr>
          <w:color w:val="auto"/>
        </w:rPr>
      </w:pPr>
      <w:r>
        <w:rPr>
          <w:color w:val="auto"/>
        </w:rPr>
        <w:t>2.3. Energy Storage Technologies</w:t>
      </w:r>
    </w:p>
    <w:p w14:paraId="2751B46F" w14:textId="1D87927A" w:rsidR="00286D4E" w:rsidRPr="00286D4E" w:rsidRDefault="00286D4E" w:rsidP="00965B5C">
      <w:pPr>
        <w:spacing w:after="120"/>
        <w:ind w:firstLine="480"/>
        <w:rPr>
          <w:szCs w:val="24"/>
        </w:rPr>
      </w:pPr>
      <w:r w:rsidRPr="00286D4E">
        <w:rPr>
          <w:szCs w:val="24"/>
        </w:rPr>
        <w:t>The stationary storage market is dominated by lithium-ion battery technology, which is expected to drop from about $300/kWh in 2020 to $108/kWh in 2025 as reported by BloombergNEF's annual survey</w:t>
      </w:r>
      <w:r w:rsidR="006512AA">
        <w:rPr>
          <w:szCs w:val="24"/>
        </w:rPr>
        <w:fldChar w:fldCharType="begin"/>
      </w:r>
      <w:r w:rsidR="006512AA">
        <w:rPr>
          <w:szCs w:val="24"/>
        </w:rPr>
        <w:instrText xml:space="preserve"> ADDIN ZOTERO_ITEM CSL_CITATION {"citationID":"ezeneD25","properties":{"unsorted":false,"formattedCitation":"[17]","plainCitation":"[17]","noteIndex":0},"citationItems":[{"id":1923,"uris":["http://zotero.org/users/9870935/items/K5N743Z5"],"itemData":{"id":1923,"type":"post-weblog","title":"BNEF: Lithium-ion battery pack prices fall to $108/kWh, stationary storage becomes lowest price segment","URL":"https://www.ess-news.com/2025/12/09/bnef-lithium-ion-battery-pack-prices-fall-to-108-kwh-stationary-storage-becomes-lowest-price-segment/","author":[{"family":"BNEF","given":""}],"accessed":{"date-parts":[["2025",12,9]]}}}],"schema":"https://github.com/citation-style-language/schema/raw/master/csl-citation.json"} </w:instrText>
      </w:r>
      <w:r w:rsidR="006512AA">
        <w:rPr>
          <w:szCs w:val="24"/>
        </w:rPr>
        <w:fldChar w:fldCharType="separate"/>
      </w:r>
      <w:r w:rsidR="006512AA" w:rsidRPr="006512AA">
        <w:t>[17]</w:t>
      </w:r>
      <w:r w:rsidR="006512AA">
        <w:rPr>
          <w:szCs w:val="24"/>
        </w:rPr>
        <w:fldChar w:fldCharType="end"/>
      </w:r>
      <w:r w:rsidRPr="00286D4E">
        <w:rPr>
          <w:szCs w:val="24"/>
        </w:rPr>
        <w:t>. The low cost, higher cycle life (more than 4,000 cycles at 80</w:t>
      </w:r>
      <w:r w:rsidR="00392B15">
        <w:rPr>
          <w:szCs w:val="24"/>
        </w:rPr>
        <w:t xml:space="preserve">% </w:t>
      </w:r>
      <w:r w:rsidRPr="00286D4E">
        <w:rPr>
          <w:szCs w:val="24"/>
        </w:rPr>
        <w:t>depth of discharge) and the safer safety profile of LFP chemistry (lithium iron phosphate) make it the most preferred chemistry for stationary applications, as compared to NMC (nickel manganese cobalt) chemistry and NCA (nickel cobalt aluminum) chemistry</w:t>
      </w:r>
      <w:r w:rsidR="00116D36">
        <w:rPr>
          <w:szCs w:val="24"/>
        </w:rPr>
        <w:fldChar w:fldCharType="begin"/>
      </w:r>
      <w:r w:rsidR="00965B5C">
        <w:rPr>
          <w:szCs w:val="24"/>
        </w:rPr>
        <w:instrText xml:space="preserve"> ADDIN ZOTERO_ITEM CSL_CITATION {"citationID":"rUFBjQZm","properties":{"unsorted":false,"formattedCitation":"[45], [46]","plainCitation":"[45], [46]","noteIndex":0},"citationItems":[{"id":1982,"uris":["http://zotero.org/users/9870935/items/GEX9B6EX"],"itemData":{"id":1982,"type":"article-journal","container-title":"Future Batteries","DOI":"10.1016/j.fub.2024.100007","ISSN":"29502640","journalAbbreviation":"Future Batteries","language":"en","page":"100007","source":"DOI.org (Crossref)","title":"Navigating battery choices: A comparative study of lithium iron phosphate and nickel manganese cobalt battery technologies","title-short":"Navigating battery choices","volume":"4","author":[{"family":"Evro","given":"Solomon"},{"family":"Ajumobi","given":"Abdurahman"},{"family":"Mayon","given":"Darrell"},{"family":"Tomomewo","given":"Olusegun Stanley"}],"issued":{"date-parts":[["2024",12]]}}},{"id":1983,"uris":["http://zotero.org/users/9870935/items/I5Q4VHW6"],"itemData":{"id":1983,"type":"article-journal","abstract":"Abstract\n            A significant turning point in the search for environmentally friendly energy storage options is the switch from lithium‐ion to sodium‐ion batteries. This review highlights the potential of sodium‐ion battery (NIB) technology to address the environmental and financial issues related to lithium‐ion systems by thoroughly examining recent developments in NIB technology. It is noted that sodium is more abundant and less expensive than lithium, NIBs have several benefits that could drastically lower the total cost of energy storage systems. In addition, this study examines new findings in important fields including electrolyte compositions, electrode materials, and battery performances of lithium‐ion batteries (LIBs) and NIBs. The article highlights advancements in anode and cathode materials, with a focus on improving energy density, cycle stability, and rate capability of both LIBs and NIBs. The review also covers the advances made in comprehending the electrochemical mechanisms and special difficulties associated with NIBs, such as material degradation and sodium ion diffusion. Future research directions are discussed, with an emphasis on enhancing the scalability and commercial viability of sodium‐ion technology over lithium on Electric Grid. Considering sustainability objectives and the integration of renewable energy sources, the review's assessment of sodium‐ion batteries’ possible effects on the future state of energy storage is included in its conclusion.","container-title":"The Chemical Record","DOI":"10.1002/tcr.202400176","ISSN":"1527-8999, 1528-0691","issue":"12","journalAbbreviation":"The Chemical Record","language":"en","page":"e202400176","source":"DOI.org (Crossref)","title":"From Lithium‐Ion to Sodium‐Ion Batteries for Sustainable Energy Storage: A Comprehensive Review on Recent Research Advancements and Perspectives","title-short":"From Lithium‐Ion to Sodium‐Ion Batteries for Sustainable Energy Storage","volume":"24","author":[{"family":"Chandra Bhowmik","given":"Konok"},{"family":"Rahman","given":"Md. Arafat"},{"family":"Billah","given":"Md. Muktadir"},{"family":"Paul","given":"Aoyon"}],"issued":{"date-parts":[["2024",12]]}}}],"schema":"https://github.com/citation-style-language/schema/raw/master/csl-citation.json"} </w:instrText>
      </w:r>
      <w:r w:rsidR="00116D36">
        <w:rPr>
          <w:szCs w:val="24"/>
        </w:rPr>
        <w:fldChar w:fldCharType="separate"/>
      </w:r>
      <w:r w:rsidR="00965B5C" w:rsidRPr="00965B5C">
        <w:t>[45], [46]</w:t>
      </w:r>
      <w:r w:rsidR="00116D36">
        <w:rPr>
          <w:szCs w:val="24"/>
        </w:rPr>
        <w:fldChar w:fldCharType="end"/>
      </w:r>
      <w:r w:rsidRPr="00286D4E">
        <w:rPr>
          <w:szCs w:val="24"/>
        </w:rPr>
        <w:t xml:space="preserve">. The round-trip efficiency of lithium-ion systems </w:t>
      </w:r>
      <w:r w:rsidR="008051DD" w:rsidRPr="00286D4E">
        <w:rPr>
          <w:szCs w:val="24"/>
        </w:rPr>
        <w:t>is</w:t>
      </w:r>
      <w:r w:rsidRPr="00286D4E">
        <w:rPr>
          <w:szCs w:val="24"/>
        </w:rPr>
        <w:t xml:space="preserve"> 85-95</w:t>
      </w:r>
      <w:r w:rsidR="00874C62">
        <w:rPr>
          <w:szCs w:val="24"/>
        </w:rPr>
        <w:t>%</w:t>
      </w:r>
      <w:r w:rsidRPr="00286D4E">
        <w:rPr>
          <w:szCs w:val="24"/>
        </w:rPr>
        <w:t>, and thermal management systems are needed to ensure optimal operating temperatures and to maximize calendar life.</w:t>
      </w:r>
    </w:p>
    <w:p w14:paraId="0483DDC5" w14:textId="2CF1CE6E" w:rsidR="00286D4E" w:rsidRPr="00286D4E" w:rsidRDefault="00286D4E" w:rsidP="00FC638D">
      <w:pPr>
        <w:spacing w:after="120"/>
        <w:ind w:firstLine="480"/>
        <w:rPr>
          <w:szCs w:val="24"/>
        </w:rPr>
      </w:pPr>
      <w:r w:rsidRPr="00286D4E">
        <w:rPr>
          <w:szCs w:val="24"/>
        </w:rPr>
        <w:t>With greater storage times than 8 hours, long-duration energy storage (LDES) technologies are gaining traction. Vanadium Redox Flow Batteries (VRFBs) have high cycle life (20,000+ cycles) and can be highly scalable in terms of duration with independent power and energy sizing, but with higher initial costs</w:t>
      </w:r>
      <w:r w:rsidR="008130CA">
        <w:rPr>
          <w:szCs w:val="24"/>
        </w:rPr>
        <w:fldChar w:fldCharType="begin"/>
      </w:r>
      <w:r w:rsidR="008130CA">
        <w:rPr>
          <w:szCs w:val="24"/>
        </w:rPr>
        <w:instrText xml:space="preserve"> ADDIN ZOTERO_ITEM CSL_CITATION {"citationID":"YCICZ6dN","properties":{"unsorted":false,"formattedCitation":"[47]","plainCitation":"[47]","noteIndex":0},"citationItems":[{"id":1984,"uris":["http://zotero.org/users/9870935/items/M6SVEFZJ"],"itemData":{"id":1984,"type":"article-journal","container-title":"Next Research","DOI":"10.1016/j.nexres.2025.100767","ISSN":"30504759","issue":"4","journalAbbreviation":"Next Research","language":"en","page":"100767","source":"DOI.org (Crossref)","title":"A comprehensive review of vanadium redox flow batteries: Principles, benefits, and applications","title-short":"A comprehensive review of vanadium redox flow batteries","volume":"2","author":[{"family":"Barzigar","given":"Amirhossein"},{"family":"Ebadati","given":"Erfan"},{"family":"Mujumdar","given":"Arun S"},{"family":"Hosseinalipour","given":"S.M."}],"issued":{"date-parts":[["2025",12]]}}}],"schema":"https://github.com/citation-style-language/schema/raw/master/csl-citation.json"} </w:instrText>
      </w:r>
      <w:r w:rsidR="008130CA">
        <w:rPr>
          <w:szCs w:val="24"/>
        </w:rPr>
        <w:fldChar w:fldCharType="separate"/>
      </w:r>
      <w:r w:rsidR="008130CA" w:rsidRPr="008130CA">
        <w:t>[47]</w:t>
      </w:r>
      <w:r w:rsidR="008130CA">
        <w:rPr>
          <w:szCs w:val="24"/>
        </w:rPr>
        <w:fldChar w:fldCharType="end"/>
      </w:r>
      <w:r w:rsidRPr="00286D4E">
        <w:rPr>
          <w:szCs w:val="24"/>
        </w:rPr>
        <w:t>. The iron-air battery technology developed by Form Energy is being deployed in multi-GWh projects, aiming for storage costs of $20/kWh and durations longer than 100 hours, which could mark a paradigm shift for seasonal energy storage</w:t>
      </w:r>
      <w:r w:rsidR="00D04786">
        <w:rPr>
          <w:szCs w:val="24"/>
        </w:rPr>
        <w:fldChar w:fldCharType="begin"/>
      </w:r>
      <w:r w:rsidR="00D04786">
        <w:rPr>
          <w:szCs w:val="24"/>
        </w:rPr>
        <w:instrText xml:space="preserve"> ADDIN ZOTERO_ITEM CSL_CITATION {"citationID":"iW2VDiVI","properties":{"unsorted":false,"formattedCitation":"[48]","plainCitation":"[48]","noteIndex":0},"citationItems":[{"id":1985,"uris":["http://zotero.org/users/9870935/items/58URKSK2"],"itemData":{"id":1985,"type":"book","abstract":"This report on batteries addresses technology development, EU research and innovation activities, global and EU markets and market players and assesses the competitiveness of the EU battery sector and its positioning in the global battery market. Special attention is given to provide a broad overview of battery technologies. This report also contains an assessment of market developments, production, trade, patenting, and sustainability of Li-ion batteries. The report shows that the EU does not have a competitive advantage over its main competitors. To change the current situation and improve the competitiveness of battery production in the EU, the following key actions should be taken to address the key drivers of competitiveness: increase the currently limited internal supply of raw and processed materials, significantly reduce the cost of energy, labour, and investment, urgently develop skilled and experienced work force, simplify legislation reduce times to set up new production and secure demand for EU-produced batteries. The EU is also not leading anymore in battery research. Despite this, the EU makes an effort to build its battery sector and increase its ability to cover at least part of battery demand from internal sources. This applies mainly to the high-performance batteries for premium-class Electric Vehicles (EVs), while batteries for lower-classes EVs and stationary energy storage are falling short. This report is an output of the Clean Energy Technologies Observatory (CETO) and provides an evidence-based analysis of the overall battery landscape to support the EU policy making process. It is part of the series of reports on clean energy technologies needed for the delivery of the European Green Deal, and it is a continuation and extension of earlier editions of the CETO report on batteries.","collection-title":"EUR","DOI":"10.2760/2686206","ISBN":"978-92-68-38735-1","ISSN":"1831-9424","language":"eng","publisher":"Publications Office of the European Union","publisher-place":"LU","source":"DOI.org (CSL JSON)","title":"Clean Energy Technology Observatory","URL":"https://data.europa.eu/doi/10.2760/2686206","author":[{"literal":"European Commission. Joint Research Centre"},{"family":"Bielewski","given":"Marek"},{"family":"Pfrang","given":"Andreas"},{"family":"Quintero Pulido","given":"Diego Fernando"},{"family":"Peters","given":"Jens"},{"family":"Bobba","given":"Silvia"},{"family":"Leccisi","given":"Enrica"},{"family":"Mancini","given":"Lucia"},{"family":"Schade","given":"Burkhard"},{"family":"Georgakaki","given":"Aliki"},{"family":"Letout","given":"Simon"},{"family":"Mountraki","given":"Aikaterini"},{"family":"Ince","given":"Ela"}],"accessed":{"date-parts":[["2026",5,16]]},"issued":{"date-parts":[["2026"]]}}}],"schema":"https://github.com/citation-style-language/schema/raw/master/csl-citation.json"} </w:instrText>
      </w:r>
      <w:r w:rsidR="00D04786">
        <w:rPr>
          <w:szCs w:val="24"/>
        </w:rPr>
        <w:fldChar w:fldCharType="separate"/>
      </w:r>
      <w:r w:rsidR="00D04786" w:rsidRPr="00D04786">
        <w:t>[48]</w:t>
      </w:r>
      <w:r w:rsidR="00D04786">
        <w:rPr>
          <w:szCs w:val="24"/>
        </w:rPr>
        <w:fldChar w:fldCharType="end"/>
      </w:r>
      <w:r w:rsidRPr="00286D4E">
        <w:rPr>
          <w:szCs w:val="24"/>
        </w:rPr>
        <w:t>. The storage period of green hydrogen is weeks to months, but with a round trip efficiency of 50-60</w:t>
      </w:r>
      <w:r w:rsidR="00D04786">
        <w:rPr>
          <w:szCs w:val="24"/>
        </w:rPr>
        <w:t xml:space="preserve">% </w:t>
      </w:r>
      <w:r w:rsidRPr="00286D4E">
        <w:rPr>
          <w:szCs w:val="24"/>
        </w:rPr>
        <w:t>and current costs ranging from $150 to $250/MWh</w:t>
      </w:r>
      <w:r w:rsidR="00FC638D">
        <w:rPr>
          <w:szCs w:val="24"/>
        </w:rPr>
        <w:fldChar w:fldCharType="begin"/>
      </w:r>
      <w:r w:rsidR="00FC638D">
        <w:rPr>
          <w:szCs w:val="24"/>
        </w:rPr>
        <w:instrText xml:space="preserve"> ADDIN ZOTERO_ITEM CSL_CITATION {"citationID":"HjvoKOxq","properties":{"unsorted":false,"formattedCitation":"[49]","plainCitation":"[49]","noteIndex":0},"citationItems":[{"id":1987,"uris":["http://zotero.org/users/9870935/items/2TYM8STM"],"itemData":{"id":1987,"type":"article-journal","abstract":"The Global Hydrogen Review is an annual publication by the International Energy Agency that tracks hydrogen production and demand worldwide, shedding light on the latest developments on policy, infrastructure, trade, investments and innovation.","language":"en","source":"Zotero","title":"Global Hydrogen Review 2025","URL":"https://iea.blob.core.windows.net/assets/12d92ecc-e960-40f3-aff5-b2de6690ab6b/GlobalHydrogenReview2025.pdf","author":[{"family":"Remme","given":"Uwe"}],"issued":{"date-parts":[["2025"]]}}}],"schema":"https://github.com/citation-style-language/schema/raw/master/csl-citation.json"} </w:instrText>
      </w:r>
      <w:r w:rsidR="00FC638D">
        <w:rPr>
          <w:szCs w:val="24"/>
        </w:rPr>
        <w:fldChar w:fldCharType="separate"/>
      </w:r>
      <w:r w:rsidR="00FC638D" w:rsidRPr="00FC638D">
        <w:t>[49]</w:t>
      </w:r>
      <w:r w:rsidR="00FC638D">
        <w:rPr>
          <w:szCs w:val="24"/>
        </w:rPr>
        <w:fldChar w:fldCharType="end"/>
      </w:r>
      <w:r w:rsidRPr="00286D4E">
        <w:rPr>
          <w:szCs w:val="24"/>
        </w:rPr>
        <w:t>.</w:t>
      </w:r>
    </w:p>
    <w:p w14:paraId="45A1CB6E" w14:textId="096402D3" w:rsidR="00373B58" w:rsidRPr="00286D4E" w:rsidRDefault="00286D4E" w:rsidP="00194936">
      <w:pPr>
        <w:spacing w:after="120"/>
        <w:ind w:firstLine="480"/>
        <w:rPr>
          <w:szCs w:val="24"/>
        </w:rPr>
      </w:pPr>
      <w:r w:rsidRPr="00286D4E">
        <w:rPr>
          <w:szCs w:val="24"/>
        </w:rPr>
        <w:t>Energy storage sizing methodologies have evolved from simple deterministic approaches based on worst-case scenarios to sophisticated probabilistic and optimization-based frameworks. The probabilistic approach uses metrics such as Loss of Load Expectation (LOLE) to quantify reliability, where LOLE represents the expected number of hours per year that available generation is insufficient to meet demand</w:t>
      </w:r>
      <w:r w:rsidR="00383E7D">
        <w:rPr>
          <w:szCs w:val="24"/>
        </w:rPr>
        <w:t xml:space="preserve"> </w:t>
      </w:r>
      <w:r w:rsidR="00383E7D">
        <w:rPr>
          <w:szCs w:val="24"/>
        </w:rPr>
        <w:fldChar w:fldCharType="begin"/>
      </w:r>
      <w:r w:rsidR="00383E7D">
        <w:rPr>
          <w:szCs w:val="24"/>
        </w:rPr>
        <w:instrText xml:space="preserve"> ADDIN ZOTERO_ITEM CSL_CITATION {"citationID":"QwfviUwV","properties":{"unsorted":false,"formattedCitation":"[50]","plainCitation":"[50]","noteIndex":0},"citationItems":[{"id":1988,"uris":["http://zotero.org/users/9870935/items/9LH8YF5V"],"itemData":{"id":1988,"type":"article-journal","container-title":"Future Batteries","DOI":"10.1016/j.fub.2025.100106","ISSN":"29502640","journalAbbreviation":"Future Batteries","language":"en","page":"100106","source":"DOI.org (Crossref)","title":"A review of battery energy storage system for renewable energy penetration in electrical power system: Environmental impact, sizing methods, market features, and policy frameworks","title-short":"A review of battery energy storage system for renewable energy penetration in electrical power system","volume":"7","author":[{"family":"Jaradat","given":"Tha'er"},{"family":"Khatib","given":"Tamer"}],"issued":{"date-parts":[["2025",9]]}}}],"schema":"https://github.com/citation-style-language/schema/raw/master/csl-citation.json"} </w:instrText>
      </w:r>
      <w:r w:rsidR="00383E7D">
        <w:rPr>
          <w:szCs w:val="24"/>
        </w:rPr>
        <w:fldChar w:fldCharType="separate"/>
      </w:r>
      <w:r w:rsidR="00383E7D" w:rsidRPr="00383E7D">
        <w:t>[50]</w:t>
      </w:r>
      <w:r w:rsidR="00383E7D">
        <w:rPr>
          <w:szCs w:val="24"/>
        </w:rPr>
        <w:fldChar w:fldCharType="end"/>
      </w:r>
      <w:r w:rsidRPr="00286D4E">
        <w:rPr>
          <w:szCs w:val="24"/>
        </w:rPr>
        <w:t xml:space="preserve">. Optimization-based approaches solve the sizing problem as a mixed-integer linear program (MILP) to minimize </w:t>
      </w:r>
      <w:r w:rsidRPr="00286D4E">
        <w:rPr>
          <w:szCs w:val="24"/>
        </w:rPr>
        <w:lastRenderedPageBreak/>
        <w:t>the total system cost while satisfying reliability constraints, carbon emission limits and capacity constraints for interconnection</w:t>
      </w:r>
      <w:r w:rsidR="00194936">
        <w:rPr>
          <w:szCs w:val="24"/>
        </w:rPr>
        <w:fldChar w:fldCharType="begin"/>
      </w:r>
      <w:r w:rsidR="00194936">
        <w:rPr>
          <w:szCs w:val="24"/>
        </w:rPr>
        <w:instrText xml:space="preserve"> ADDIN ZOTERO_ITEM CSL_CITATION {"citationID":"9gclYoSe","properties":{"unsorted":false,"formattedCitation":"[51]","plainCitation":"[51]","noteIndex":0},"citationItems":[{"id":1989,"uris":["http://zotero.org/users/9870935/items/3AV4CVJ6"],"itemData":{"id":1989,"type":"article-journal","container-title":"Journal of Energy Storage","DOI":"10.1016/j.est.2025.119502","ISSN":"2352152X","journalAbbreviation":"Journal of Energy Storage","language":"en","page":"119502","source":"DOI.org (Crossref)","title":"Optimal sizing of battery storage for cost-effective peak shaving in regional distribution networks","volume":"141","author":[{"family":"Rana","given":"Md Masud"},{"family":"Mo","given":"Huadong"},{"family":"Shafiullah","given":"G.M."},{"family":"Qiao","given":"Li"},{"family":"Dong","given":"Daoyi"}],"issued":{"date-parts":[["2026",1]]}}}],"schema":"https://github.com/citation-style-language/schema/raw/master/csl-citation.json"} </w:instrText>
      </w:r>
      <w:r w:rsidR="00194936">
        <w:rPr>
          <w:szCs w:val="24"/>
        </w:rPr>
        <w:fldChar w:fldCharType="separate"/>
      </w:r>
      <w:r w:rsidR="00194936" w:rsidRPr="00194936">
        <w:t>[51]</w:t>
      </w:r>
      <w:r w:rsidR="00194936">
        <w:rPr>
          <w:szCs w:val="24"/>
        </w:rPr>
        <w:fldChar w:fldCharType="end"/>
      </w:r>
      <w:r w:rsidRPr="00286D4E">
        <w:rPr>
          <w:szCs w:val="24"/>
        </w:rPr>
        <w:t>.</w:t>
      </w:r>
    </w:p>
    <w:p w14:paraId="068A52E8" w14:textId="622DFD05" w:rsidR="00194936" w:rsidRDefault="00194936" w:rsidP="00194936">
      <w:pPr>
        <w:pStyle w:val="Heading20"/>
        <w:rPr>
          <w:color w:val="auto"/>
        </w:rPr>
      </w:pPr>
      <w:r>
        <w:rPr>
          <w:color w:val="auto"/>
        </w:rPr>
        <w:t>2.4. Microgrids and Grid Integration</w:t>
      </w:r>
    </w:p>
    <w:p w14:paraId="6969D1D5" w14:textId="7942F17E" w:rsidR="00D0205A" w:rsidRPr="00D0205A" w:rsidRDefault="00D0205A" w:rsidP="00F0303A">
      <w:pPr>
        <w:spacing w:after="120"/>
        <w:ind w:firstLine="480"/>
        <w:rPr>
          <w:szCs w:val="24"/>
        </w:rPr>
      </w:pPr>
      <w:r w:rsidRPr="00D0205A">
        <w:rPr>
          <w:szCs w:val="24"/>
        </w:rPr>
        <w:t>With the growing inverter-based resource</w:t>
      </w:r>
      <w:r>
        <w:rPr>
          <w:szCs w:val="24"/>
        </w:rPr>
        <w:t xml:space="preserve"> (IBRs)</w:t>
      </w:r>
      <w:r w:rsidRPr="00D0205A">
        <w:rPr>
          <w:szCs w:val="24"/>
        </w:rPr>
        <w:t xml:space="preserve"> penetration, microgrid control strategies have progressed considerably. The concept of grid-forming inverters is a paradigm shift from grid-following designs that use phase-locked loops (PLLs) to synchronize with the grid frequency</w:t>
      </w:r>
      <w:r w:rsidR="00AD7BFD">
        <w:rPr>
          <w:szCs w:val="24"/>
        </w:rPr>
        <w:fldChar w:fldCharType="begin"/>
      </w:r>
      <w:r w:rsidR="00AD7BFD">
        <w:rPr>
          <w:szCs w:val="24"/>
        </w:rPr>
        <w:instrText xml:space="preserve"> ADDIN ZOTERO_ITEM CSL_CITATION {"citationID":"GRPOjuAH","properties":{"unsorted":false,"formattedCitation":"[52]","plainCitation":"[52]","noteIndex":0},"citationItems":[{"id":1991,"uris":["http://zotero.org/users/9870935/items/TCP3MAYA"],"itemData":{"id":1991,"type":"article-journal","abstract":"With the global penetration of renewable energy exceeding 30%, power systems are increasingly challenged by inertia deficiency and weak grid stability, expos-ing the limitations of conventional grid-following inverters (GFLI) which rely on external synchronization and may provoke sub-synchronous oscillations. This review analyzes the technological transition toward grid-forming inverters (GFMI)—capable of autonomously establishing and regulating voltage and fre-quency—and assesses their application in renewable energy systems. Through bibliometric analysis, case studies from major Chinese renewable bases, and hardware-in-the-loop simulations under weak-grid conditions (SCR as low as 1.0), we identify significant advancements in wide-bandgap semiconductor to-pologies, adaptive control strategies such as virtual synchronous generator (VSG) and self-synchronizing control (SSC), impedance reshaping, and fault ride-through capability. Real-world implementations demonstrate markedly improved performance: inertia response time reduced to 0.48s, suppression of sub-synchronous oscillations by 89%, reactive response within 25ms, and suc-cessful black-start within 180 seconds, alongside notable economic benefits in-cluding reduced wind curtailment and lower equipment costs. Nevertheless, widespread adoption faces standardization gaps particularly in thermal man-agement of high-frequency devices, multi-timescale stability certification, and market mechanisms for ancillary services. We conclude that GFMI represents a foundational technology for future high-renewable power systems, though its full deployment requires integrated progress in adaptive intelligence, interna-tional standard alignment, and policy-supported market frameworks.","container-title":"Advances in Engineering Research Possibilities and Challenges","DOI":"10.63313/AERpc.9047","ISSN":"3079-5192, 3079-5206","issue":"2","journalAbbreviation":"Advances in Engineering Research Possibilities and Challenges","license":"http://creativecommons.org/licenses/by/4.0/","page":"37","source":"DOI.org (Crossref)","title":"From Grid-Following to Grid-Forming: A Review of Converter Technology Paradigm Shift and Its Applications in Renewable-Rich Power Systems","title-short":"From Grid-Following to Grid-Forming","volume":"2","author":[{"family":"Ma","given":"Zixiang"}],"issued":{"date-parts":[["2025",8,22]]}}}],"schema":"https://github.com/citation-style-language/schema/raw/master/csl-citation.json"} </w:instrText>
      </w:r>
      <w:r w:rsidR="00AD7BFD">
        <w:rPr>
          <w:szCs w:val="24"/>
        </w:rPr>
        <w:fldChar w:fldCharType="separate"/>
      </w:r>
      <w:r w:rsidR="00AD7BFD" w:rsidRPr="00AD7BFD">
        <w:t>[52]</w:t>
      </w:r>
      <w:r w:rsidR="00AD7BFD">
        <w:rPr>
          <w:szCs w:val="24"/>
        </w:rPr>
        <w:fldChar w:fldCharType="end"/>
      </w:r>
      <w:r w:rsidRPr="00D0205A">
        <w:rPr>
          <w:szCs w:val="24"/>
        </w:rPr>
        <w:t>. The IEEE 2800-2022 standard was developed specifically for inverter-based resources and defines performance criteria for frequency response, voltage support and ride-through that allow for reliable operation at high levels of renewable penetration</w:t>
      </w:r>
      <w:r w:rsidR="002C3CD7">
        <w:rPr>
          <w:szCs w:val="24"/>
        </w:rPr>
        <w:fldChar w:fldCharType="begin"/>
      </w:r>
      <w:r w:rsidR="00AD7BFD">
        <w:rPr>
          <w:szCs w:val="24"/>
        </w:rPr>
        <w:instrText xml:space="preserve"> ADDIN ZOTERO_ITEM CSL_CITATION {"citationID":"yvSCoOuc","properties":{"unsorted":false,"formattedCitation":"[53]","plainCitation":"[53]","noteIndex":0},"citationItems":[{"id":1990,"uris":["http://zotero.org/users/9870935/items/XCEZUJHB"],"itemData":{"id":1990,"type":"standard","DOI":"10.1109/IEEESTD.2022.9762253","ISBN":"978-1-5044-8462-6","license":"https://doi.org/10.15223/policy-029","publisher":"IEEE","source":"DOI.org (Crossref)","title":"IEEE Standard for Interconnection and Interoperability of Inverter-Based Resources (IBRs) Interconnecting with Associated Transmission Electric Power Systems","URL":"https://ieeexplore.ieee.org/document/9762253/","accessed":{"date-parts":[["2026",5,16]]}}}],"schema":"https://github.com/citation-style-language/schema/raw/master/csl-citation.json"} </w:instrText>
      </w:r>
      <w:r w:rsidR="002C3CD7">
        <w:rPr>
          <w:szCs w:val="24"/>
        </w:rPr>
        <w:fldChar w:fldCharType="separate"/>
      </w:r>
      <w:r w:rsidR="00AD7BFD" w:rsidRPr="00AD7BFD">
        <w:t>[53]</w:t>
      </w:r>
      <w:r w:rsidR="002C3CD7">
        <w:rPr>
          <w:szCs w:val="24"/>
        </w:rPr>
        <w:fldChar w:fldCharType="end"/>
      </w:r>
      <w:r w:rsidRPr="00D0205A">
        <w:rPr>
          <w:szCs w:val="24"/>
        </w:rPr>
        <w:t>. FERC Order 2023 also clarifies the interconnection process, providing streamlined timelines and pre-certification routes to mitigate delays in the queue</w:t>
      </w:r>
      <w:r w:rsidR="00F0303A">
        <w:rPr>
          <w:szCs w:val="24"/>
        </w:rPr>
        <w:fldChar w:fldCharType="begin"/>
      </w:r>
      <w:r w:rsidR="00F0303A">
        <w:rPr>
          <w:szCs w:val="24"/>
        </w:rPr>
        <w:instrText xml:space="preserve"> ADDIN ZOTERO_ITEM CSL_CITATION {"citationID":"B0z5zbuE","properties":{"unsorted":false,"formattedCitation":"[24]","plainCitation":"[24]","noteIndex":0},"citationItems":[{"id":1948,"uris":["http://zotero.org/users/9870935/items/H8VJGQHI"],"itemData":{"id":1948,"type":"post-weblog","title":"Improvements to Generator Interconnection Procedures and Agreements","URL":"https://www.federalregister.gov/documents/2023/09/06/2023-16628/improvements-to-generator-interconnection-procedures-and-agreements","accessed":{"date-parts":[["2023",9,6]]}}}],"schema":"https://github.com/citation-style-language/schema/raw/master/csl-citation.json"} </w:instrText>
      </w:r>
      <w:r w:rsidR="00F0303A">
        <w:rPr>
          <w:szCs w:val="24"/>
        </w:rPr>
        <w:fldChar w:fldCharType="separate"/>
      </w:r>
      <w:r w:rsidR="00F0303A" w:rsidRPr="00F0303A">
        <w:t>[24]</w:t>
      </w:r>
      <w:r w:rsidR="00F0303A">
        <w:rPr>
          <w:szCs w:val="24"/>
        </w:rPr>
        <w:fldChar w:fldCharType="end"/>
      </w:r>
      <w:r w:rsidRPr="00D0205A">
        <w:rPr>
          <w:szCs w:val="24"/>
        </w:rPr>
        <w:t>.</w:t>
      </w:r>
    </w:p>
    <w:p w14:paraId="43EFF354" w14:textId="20C3C732" w:rsidR="00194936" w:rsidRPr="00D0205A" w:rsidRDefault="00D0205A" w:rsidP="00654C5B">
      <w:pPr>
        <w:spacing w:after="120"/>
        <w:ind w:firstLine="480"/>
        <w:rPr>
          <w:szCs w:val="24"/>
        </w:rPr>
      </w:pPr>
      <w:r w:rsidRPr="00D0205A">
        <w:rPr>
          <w:szCs w:val="24"/>
        </w:rPr>
        <w:t>In data center microgrids, harmonic distortion, power factor correction, and voltage regulation are important considerations for power quality management. The IEEE 519 specifies a THD limit of less than 5</w:t>
      </w:r>
      <w:r w:rsidR="00D70EF1">
        <w:rPr>
          <w:szCs w:val="24"/>
        </w:rPr>
        <w:t xml:space="preserve">% </w:t>
      </w:r>
      <w:r w:rsidRPr="00D0205A">
        <w:rPr>
          <w:szCs w:val="24"/>
        </w:rPr>
        <w:t>at the point of common coupling (PCC), and individual harmonic limits of 3</w:t>
      </w:r>
      <w:r w:rsidR="00D70EF1">
        <w:rPr>
          <w:szCs w:val="24"/>
        </w:rPr>
        <w:t xml:space="preserve">% </w:t>
      </w:r>
      <w:r w:rsidRPr="00D0205A">
        <w:rPr>
          <w:szCs w:val="24"/>
        </w:rPr>
        <w:t>for characteristic harmonics</w:t>
      </w:r>
      <w:r w:rsidR="004C48CC">
        <w:rPr>
          <w:szCs w:val="24"/>
        </w:rPr>
        <w:fldChar w:fldCharType="begin"/>
      </w:r>
      <w:r w:rsidR="004C48CC">
        <w:rPr>
          <w:szCs w:val="24"/>
        </w:rPr>
        <w:instrText xml:space="preserve"> ADDIN ZOTERO_ITEM CSL_CITATION {"citationID":"ZWo2jUJC","properties":{"unsorted":false,"formattedCitation":"[22]","plainCitation":"[22]","noteIndex":0},"citationItems":[{"id":1944,"uris":["http://zotero.org/users/9870935/items/XZS2JQRQ"],"itemData":{"id":1944,"type":"standard","DOI":"10.1109/IEEESTD.2022.9848440","ISBN":"978-1-5044-8727-6","license":"https://doi.org/10.15223/policy-029","publisher":"IEEE","source":"DOI.org (Crossref)","title":"IEEE Standard for Harmonic Control in Electric Power Systems","URL":"https://ieeexplore.ieee.org/document/9848440/","accessed":{"date-parts":[["2026",5,10]]}}}],"schema":"https://github.com/citation-style-language/schema/raw/master/csl-citation.json"} </w:instrText>
      </w:r>
      <w:r w:rsidR="004C48CC">
        <w:rPr>
          <w:szCs w:val="24"/>
        </w:rPr>
        <w:fldChar w:fldCharType="separate"/>
      </w:r>
      <w:r w:rsidR="004C48CC" w:rsidRPr="004C48CC">
        <w:t>[22]</w:t>
      </w:r>
      <w:r w:rsidR="004C48CC">
        <w:rPr>
          <w:szCs w:val="24"/>
        </w:rPr>
        <w:fldChar w:fldCharType="end"/>
      </w:r>
      <w:r w:rsidRPr="00D0205A">
        <w:rPr>
          <w:szCs w:val="24"/>
        </w:rPr>
        <w:t>. SMPSs, VFDs, and LED drivers are examples of nonlinear loads in today's data centers that can produce substantial harmonic currents resulting in transformer overheating, capacitor bank damage, and overload of the neutral conductor if left unchecked</w:t>
      </w:r>
      <w:r w:rsidR="00654C5B">
        <w:rPr>
          <w:szCs w:val="24"/>
        </w:rPr>
        <w:fldChar w:fldCharType="begin"/>
      </w:r>
      <w:r w:rsidR="00654C5B">
        <w:rPr>
          <w:szCs w:val="24"/>
        </w:rPr>
        <w:instrText xml:space="preserve"> ADDIN ZOTERO_ITEM CSL_CITATION {"citationID":"jj4vX417","properties":{"unsorted":false,"formattedCitation":"[54]","plainCitation":"[54]","noteIndex":0},"citationItems":[{"id":1993,"uris":["http://zotero.org/users/9870935/items/2D54TKGT"],"itemData":{"id":1993,"type":"paper-conference","container-title":"2024 21st International Conference on Harmonics and Quality of Power (ICHQP)","DOI":"10.1109/ICHQP61174.2024.10768696","event-title":"2024 21st International Conference on Harmonics and Quality of Power (ICHQP)","ISBN":"979-8-3503-8256-3","license":"https://doi.org/10.15223/policy-029","page":"415-420","publisher":"IEEE","publisher-place":"Chengdu, China","source":"DOI.org (Crossref)","title":"Review of revisions of IEEE 519 Standard on Power System Harmonics (1981 to 2022)","URL":"https://ieeexplore.ieee.org/document/10768696/","author":[{"family":"Shelar","given":"Sachin"},{"family":"Bankar","given":"Deepak"},{"family":"Bakre","given":"Shashikant"}],"accessed":{"date-parts":[["2026",5,16]]},"issued":{"date-parts":[["2024",10,15]]}}}],"schema":"https://github.com/citation-style-language/schema/raw/master/csl-citation.json"} </w:instrText>
      </w:r>
      <w:r w:rsidR="00654C5B">
        <w:rPr>
          <w:szCs w:val="24"/>
        </w:rPr>
        <w:fldChar w:fldCharType="separate"/>
      </w:r>
      <w:r w:rsidR="00654C5B" w:rsidRPr="00654C5B">
        <w:t>[54]</w:t>
      </w:r>
      <w:r w:rsidR="00654C5B">
        <w:rPr>
          <w:szCs w:val="24"/>
        </w:rPr>
        <w:fldChar w:fldCharType="end"/>
      </w:r>
      <w:r w:rsidRPr="00D0205A">
        <w:rPr>
          <w:szCs w:val="24"/>
        </w:rPr>
        <w:t>. In high-density computing, active power filter and multi-pulse rectifier topologies are effective solutions for harmonic compliance.</w:t>
      </w:r>
    </w:p>
    <w:p w14:paraId="760F8B8C" w14:textId="637FF876" w:rsidR="00215994" w:rsidRDefault="00215994" w:rsidP="00215994">
      <w:pPr>
        <w:pStyle w:val="Heading20"/>
        <w:rPr>
          <w:color w:val="auto"/>
        </w:rPr>
      </w:pPr>
      <w:r>
        <w:rPr>
          <w:color w:val="auto"/>
        </w:rPr>
        <w:t>2.5. Industry Case Studies</w:t>
      </w:r>
    </w:p>
    <w:p w14:paraId="7BDAB997" w14:textId="38096719" w:rsidR="00215994" w:rsidRPr="00215994" w:rsidRDefault="00215994" w:rsidP="007D5C38">
      <w:pPr>
        <w:spacing w:after="120"/>
        <w:ind w:firstLine="480"/>
        <w:rPr>
          <w:szCs w:val="24"/>
        </w:rPr>
      </w:pPr>
      <w:r w:rsidRPr="00215994">
        <w:rPr>
          <w:szCs w:val="24"/>
        </w:rPr>
        <w:t>Google has become an industry leader in buying renewable energy. The company has recently increased its contracting activities, resulting in a portfolio of more than 30 GW of total clean energy capacity worldwide from over 170 power purchase agreements (PPAs)</w:t>
      </w:r>
      <w:r w:rsidR="00114F15">
        <w:rPr>
          <w:szCs w:val="24"/>
        </w:rPr>
        <w:fldChar w:fldCharType="begin"/>
      </w:r>
      <w:r w:rsidR="00114F15">
        <w:rPr>
          <w:szCs w:val="24"/>
        </w:rPr>
        <w:instrText xml:space="preserve"> ADDIN ZOTERO_ITEM CSL_CITATION {"citationID":"hR3obl5V","properties":{"unsorted":false,"formattedCitation":"[55]","plainCitation":"[55]","noteIndex":0},"citationItems":[{"id":1995,"uris":["http://zotero.org/users/9870935/items/ZZ4BDIPH"],"itemData":{"id":1995,"type":"post-weblog","title":"Google Environmental Report 2025","URL":"https://sustainability.google/reports/google-2025-environmental-report/","author":[{"family":"Google","given":""}]}}],"schema":"https://github.com/citation-style-language/schema/raw/master/csl-citation.json"} </w:instrText>
      </w:r>
      <w:r w:rsidR="00114F15">
        <w:rPr>
          <w:szCs w:val="24"/>
        </w:rPr>
        <w:fldChar w:fldCharType="separate"/>
      </w:r>
      <w:r w:rsidR="00114F15" w:rsidRPr="00114F15">
        <w:t>[55]</w:t>
      </w:r>
      <w:r w:rsidR="00114F15">
        <w:rPr>
          <w:szCs w:val="24"/>
        </w:rPr>
        <w:fldChar w:fldCharType="end"/>
      </w:r>
      <w:r w:rsidRPr="00215994">
        <w:rPr>
          <w:szCs w:val="24"/>
        </w:rPr>
        <w:t>. Google met its hourly carbon-free energy (CFE) matching metric at 64</w:t>
      </w:r>
      <w:r w:rsidR="00BC59F2">
        <w:rPr>
          <w:szCs w:val="24"/>
        </w:rPr>
        <w:t xml:space="preserve">% </w:t>
      </w:r>
      <w:r w:rsidRPr="00215994">
        <w:rPr>
          <w:szCs w:val="24"/>
        </w:rPr>
        <w:t>on a worldwide basis, and continues on its path toward achieving its structural target of 100</w:t>
      </w:r>
      <w:r w:rsidR="00BC59F2">
        <w:rPr>
          <w:szCs w:val="24"/>
        </w:rPr>
        <w:t xml:space="preserve">% </w:t>
      </w:r>
      <w:r w:rsidRPr="00215994">
        <w:rPr>
          <w:szCs w:val="24"/>
        </w:rPr>
        <w:t>CFE operation on all regional grids by 2030</w:t>
      </w:r>
      <w:r w:rsidR="00361F8B">
        <w:rPr>
          <w:szCs w:val="24"/>
        </w:rPr>
        <w:fldChar w:fldCharType="begin"/>
      </w:r>
      <w:r w:rsidR="00361F8B">
        <w:rPr>
          <w:szCs w:val="24"/>
        </w:rPr>
        <w:instrText xml:space="preserve"> ADDIN ZOTERO_ITEM CSL_CITATION {"citationID":"CKrzWUpd","properties":{"unsorted":false,"formattedCitation":"[55], [56]","plainCitation":"[55], [56]","noteIndex":0},"citationItems":[{"id":1995,"uris":["http://zotero.org/users/9870935/items/ZZ4BDIPH"],"itemData":{"id":1995,"type":"post-weblog","title":"Google Environmental Report 2025","URL":"https://sustainability.google/reports/google-2025-environmental-report/","author":[{"family":"Google","given":""}]}},{"id":1996,"uris":["http://zotero.org/users/9870935/items/JWXMITAD"],"itemData":{"id":1996,"type":"article-journal","abstract":"The meteoric rise of artificial intelligence (AI) has propelled global data center energy consumption to 415 terawatt-hours in 2024, with projections doubling to 945 TWh by 2030, driven by AI’s computational intensity and cooling demands. This review synthesizes cutting-edge solutions for sustainable AI-driven data centers, emphasizing renewable energy (solar, wind, hydropower) and advanced cooling technologies (liquid cooling, immersion cooling, heat reuse). Through global case studies, such as Google’s solar-powered facilities, and African innovations, like Kenya’s geothermal-powered centers, it showcases scalable integrations reducing energy use by 20-30%. In Africa, where data center capacity grows 25% annually, abundant renewables and water-efficient cooling address high-temperature challenges, yet infrastructure, cost, and equity barriers persist. Future pathways, including eco-friendly coolants and small modular reactors, are proposed alongside policy reforms to ensure net-zero alignment. This article calls for interdisciplinary collaboration to bridge digital divides, offering actionable insights for researchers, industry, and policymakers to drive sustainable AI infrastructure, particularly in Africa’s burgeoning digital landscape.","container-title":"Global Journal of Engineering and Technology Advances","DOI":"10.30574/gjeta.2025.24.3.0279","ISSN":"25825003","issue":"3","journalAbbreviation":"Global J. Eng. Technol. Adv.","page":"328-344","source":"DOI.org (Crossref)","title":"The AI-Driven Energy Surge: A comprehensive review of sustainable power solutions for data centers","title-short":"The AI-Driven Energy Surge","volume":"24","author":[{"family":"Mavisclara","given":"Ohaka Amarachi"},{"family":"Oshobugie","given":"Ibrahim Isiaka"},{"family":"Olufunmi","given":"Atoyebi Temitope"},{"family":"Bolaji","given":"Abdulrazaq Abdulrahman"},{"family":"Olawale","given":"Akadiri Oluwatoyin"},{"family":"Anulika","given":"Nwafor Chidinma"},{"family":"Samuel","given":"Okafor Kenechukwu"}],"issued":{"date-parts":[["2025",9,30]]}}}],"schema":"https://github.com/citation-style-language/schema/raw/master/csl-citation.json"} </w:instrText>
      </w:r>
      <w:r w:rsidR="00361F8B">
        <w:rPr>
          <w:szCs w:val="24"/>
        </w:rPr>
        <w:fldChar w:fldCharType="separate"/>
      </w:r>
      <w:r w:rsidR="00361F8B" w:rsidRPr="00361F8B">
        <w:t>[55], [56]</w:t>
      </w:r>
      <w:r w:rsidR="00361F8B">
        <w:rPr>
          <w:szCs w:val="24"/>
        </w:rPr>
        <w:fldChar w:fldCharType="end"/>
      </w:r>
      <w:r w:rsidRPr="00215994">
        <w:rPr>
          <w:szCs w:val="24"/>
        </w:rPr>
        <w:t>. This approach involves the deployment of a 50 MW on-site wind generation framework at its data center cluster in Iowa, along with more than 200 MW of wind and solar PPAs in Chile. The strategy of Google's architecture is to spread out their architecture geographically, taking advantage of the anti-correlated, complementary nature of wind assets in the U.S. Midwest and solar assets in the Southwest to significantly reduce the overall variability of the grid they are tied to</w:t>
      </w:r>
      <w:r w:rsidR="007D5C38">
        <w:rPr>
          <w:szCs w:val="24"/>
        </w:rPr>
        <w:fldChar w:fldCharType="begin"/>
      </w:r>
      <w:r w:rsidR="007D5C38">
        <w:rPr>
          <w:szCs w:val="24"/>
        </w:rPr>
        <w:instrText xml:space="preserve"> ADDIN ZOTERO_ITEM CSL_CITATION {"citationID":"qNnagB7S","properties":{"unsorted":false,"formattedCitation":"[56]","plainCitation":"[56]","noteIndex":0},"citationItems":[{"id":1996,"uris":["http://zotero.org/users/9870935/items/JWXMITAD"],"itemData":{"id":1996,"type":"article-journal","abstract":"The meteoric rise of artificial intelligence (AI) has propelled global data center energy consumption to 415 terawatt-hours in 2024, with projections doubling to 945 TWh by 2030, driven by AI’s computational intensity and cooling demands. This review synthesizes cutting-edge solutions for sustainable AI-driven data centers, emphasizing renewable energy (solar, wind, hydropower) and advanced cooling technologies (liquid cooling, immersion cooling, heat reuse). Through global case studies, such as Google’s solar-powered facilities, and African innovations, like Kenya’s geothermal-powered centers, it showcases scalable integrations reducing energy use by 20-30%. In Africa, where data center capacity grows 25% annually, abundant renewables and water-efficient cooling address high-temperature challenges, yet infrastructure, cost, and equity barriers persist. Future pathways, including eco-friendly coolants and small modular reactors, are proposed alongside policy reforms to ensure net-zero alignment. This article calls for interdisciplinary collaboration to bridge digital divides, offering actionable insights for researchers, industry, and policymakers to drive sustainable AI infrastructure, particularly in Africa’s burgeoning digital landscape.","container-title":"Global Journal of Engineering and Technology Advances","DOI":"10.30574/gjeta.2025.24.3.0279","ISSN":"25825003","issue":"3","journalAbbreviation":"Global J. Eng. Technol. Adv.","page":"328-344","source":"DOI.org (Crossref)","title":"The AI-Driven Energy Surge: A comprehensive review of sustainable power solutions for data centers","title-short":"The AI-Driven Energy Surge","volume":"24","author":[{"family":"Mavisclara","given":"Ohaka Amarachi"},{"family":"Oshobugie","given":"Ibrahim Isiaka"},{"family":"Olufunmi","given":"Atoyebi Temitope"},{"family":"Bolaji","given":"Abdulrazaq Abdulrahman"},{"family":"Olawale","given":"Akadiri Oluwatoyin"},{"family":"Anulika","given":"Nwafor Chidinma"},{"family":"Samuel","given":"Okafor Kenechukwu"}],"issued":{"date-parts":[["2025",9,30]]}}}],"schema":"https://github.com/citation-style-language/schema/raw/master/csl-citation.json"} </w:instrText>
      </w:r>
      <w:r w:rsidR="007D5C38">
        <w:rPr>
          <w:szCs w:val="24"/>
        </w:rPr>
        <w:fldChar w:fldCharType="separate"/>
      </w:r>
      <w:r w:rsidR="007D5C38" w:rsidRPr="007D5C38">
        <w:t>[56]</w:t>
      </w:r>
      <w:r w:rsidR="007D5C38">
        <w:rPr>
          <w:szCs w:val="24"/>
        </w:rPr>
        <w:fldChar w:fldCharType="end"/>
      </w:r>
      <w:r w:rsidRPr="00215994">
        <w:rPr>
          <w:szCs w:val="24"/>
        </w:rPr>
        <w:t xml:space="preserve">.  </w:t>
      </w:r>
    </w:p>
    <w:p w14:paraId="110ED709" w14:textId="7BE6D0C7" w:rsidR="00215994" w:rsidRPr="00215994" w:rsidRDefault="00215994" w:rsidP="00760EDA">
      <w:pPr>
        <w:spacing w:after="120"/>
        <w:ind w:firstLine="480"/>
        <w:rPr>
          <w:szCs w:val="24"/>
        </w:rPr>
      </w:pPr>
      <w:r w:rsidRPr="00215994">
        <w:rPr>
          <w:szCs w:val="24"/>
        </w:rPr>
        <w:t>Meta has taken a differentiated approach, focusing on localized fuel cell deployment and extensive grid additionality. Meta has installed 5 MW of SOFCs at its Prineville, OR data center campus to supply stable primary baseload power</w:t>
      </w:r>
      <w:r w:rsidR="003B53B0">
        <w:rPr>
          <w:szCs w:val="24"/>
        </w:rPr>
        <w:fldChar w:fldCharType="begin"/>
      </w:r>
      <w:r w:rsidR="003B53B0">
        <w:rPr>
          <w:szCs w:val="24"/>
        </w:rPr>
        <w:instrText xml:space="preserve"> ADDIN ZOTERO_ITEM CSL_CITATION {"citationID":"yI9ZUW0O","properties":{"unsorted":false,"formattedCitation":"[56]","plainCitation":"[56]","noteIndex":0},"citationItems":[{"id":1996,"uris":["http://zotero.org/users/9870935/items/JWXMITAD"],"itemData":{"id":1996,"type":"article-journal","abstract":"The meteoric rise of artificial intelligence (AI) has propelled global data center energy consumption to 415 terawatt-hours in 2024, with projections doubling to 945 TWh by 2030, driven by AI’s computational intensity and cooling demands. This review synthesizes cutting-edge solutions for sustainable AI-driven data centers, emphasizing renewable energy (solar, wind, hydropower) and advanced cooling technologies (liquid cooling, immersion cooling, heat reuse). Through global case studies, such as Google’s solar-powered facilities, and African innovations, like Kenya’s geothermal-powered centers, it showcases scalable integrations reducing energy use by 20-30%. In Africa, where data center capacity grows 25% annually, abundant renewables and water-efficient cooling address high-temperature challenges, yet infrastructure, cost, and equity barriers persist. Future pathways, including eco-friendly coolants and small modular reactors, are proposed alongside policy reforms to ensure net-zero alignment. This article calls for interdisciplinary collaboration to bridge digital divides, offering actionable insights for researchers, industry, and policymakers to drive sustainable AI infrastructure, particularly in Africa’s burgeoning digital landscape.","container-title":"Global Journal of Engineering and Technology Advances","DOI":"10.30574/gjeta.2025.24.3.0279","ISSN":"25825003","issue":"3","journalAbbreviation":"Global J. Eng. Technol. Adv.","page":"328-344","source":"DOI.org (Crossref)","title":"The AI-Driven Energy Surge: A comprehensive review of sustainable power solutions for data centers","title-short":"The AI-Driven Energy Surge","volume":"24","author":[{"family":"Mavisclara","given":"Ohaka Amarachi"},{"family":"Oshobugie","given":"Ibrahim Isiaka"},{"family":"Olufunmi","given":"Atoyebi Temitope"},{"family":"Bolaji","given":"Abdulrazaq Abdulrahman"},{"family":"Olawale","given":"Akadiri Oluwatoyin"},{"family":"Anulika","given":"Nwafor Chidinma"},{"family":"Samuel","given":"Okafor Kenechukwu"}],"issued":{"date-parts":[["2025",9,30]]}}}],"schema":"https://github.com/citation-style-language/schema/raw/master/csl-citation.json"} </w:instrText>
      </w:r>
      <w:r w:rsidR="003B53B0">
        <w:rPr>
          <w:szCs w:val="24"/>
        </w:rPr>
        <w:fldChar w:fldCharType="separate"/>
      </w:r>
      <w:r w:rsidR="003B53B0" w:rsidRPr="003B53B0">
        <w:t>[56]</w:t>
      </w:r>
      <w:r w:rsidR="003B53B0">
        <w:rPr>
          <w:szCs w:val="24"/>
        </w:rPr>
        <w:fldChar w:fldCharType="end"/>
      </w:r>
      <w:r w:rsidRPr="00215994">
        <w:rPr>
          <w:szCs w:val="24"/>
        </w:rPr>
        <w:t xml:space="preserve">. Since 2020, Meta has been structurally matching its operational electricity consumption with clean energy additions annually, with contracted wind and solar capacity now representing nearly 29 GW of clean energy capacity on a global basis </w:t>
      </w:r>
      <w:r w:rsidR="00B55BC9">
        <w:rPr>
          <w:szCs w:val="24"/>
        </w:rPr>
        <w:fldChar w:fldCharType="begin"/>
      </w:r>
      <w:r w:rsidR="00760EDA">
        <w:rPr>
          <w:szCs w:val="24"/>
        </w:rPr>
        <w:instrText xml:space="preserve"> ADDIN ZOTERO_ITEM CSL_CITATION {"citationID":"Zg4mrp1i","properties":{"unsorted":false,"formattedCitation":"[57], [58]","plainCitation":"[57], [58]","noteIndex":0},"citationItems":[{"id":1998,"uris":["http://zotero.org/users/9870935/items/3PR5HCM7"],"itemData":{"id":1998,"type":"post-weblog","title":"2025 Sustainability Report","URL":"https://sustainability.atmeta.com/wp-content/uploads/2025/08/Meta_2025-Sustainability-Report.pdf","author":[{"family":"Meta","given":""}]}},{"id":1999,"uris":["http://zotero.org/users/9870935/items/KFJTNUYK"],"itemData":{"id":1999,"type":"post-weblog","title":"Corporate Clean Energy Buying Fell in 2025 After Nearly a Decade of Growth","author":[{"family":"BloombergNEF","given":""}]}}],"schema":"https://github.com/citation-style-language/schema/raw/master/csl-citation.json"} </w:instrText>
      </w:r>
      <w:r w:rsidR="00B55BC9">
        <w:rPr>
          <w:szCs w:val="24"/>
        </w:rPr>
        <w:fldChar w:fldCharType="separate"/>
      </w:r>
      <w:r w:rsidR="00760EDA" w:rsidRPr="00760EDA">
        <w:t>[57], [58]</w:t>
      </w:r>
      <w:r w:rsidR="00B55BC9">
        <w:rPr>
          <w:szCs w:val="24"/>
        </w:rPr>
        <w:fldChar w:fldCharType="end"/>
      </w:r>
      <w:r w:rsidRPr="00215994">
        <w:rPr>
          <w:szCs w:val="24"/>
        </w:rPr>
        <w:t xml:space="preserve">.  </w:t>
      </w:r>
    </w:p>
    <w:p w14:paraId="015C2D72" w14:textId="77777777" w:rsidR="00215994" w:rsidRPr="00215994" w:rsidRDefault="00215994" w:rsidP="00215994">
      <w:pPr>
        <w:spacing w:after="120"/>
        <w:ind w:firstLine="480"/>
        <w:rPr>
          <w:szCs w:val="24"/>
        </w:rPr>
      </w:pPr>
    </w:p>
    <w:p w14:paraId="0FF03489" w14:textId="676B76DB" w:rsidR="00215994" w:rsidRPr="00215994" w:rsidRDefault="00215994" w:rsidP="00866BB5">
      <w:pPr>
        <w:spacing w:after="120"/>
        <w:ind w:firstLine="480"/>
        <w:rPr>
          <w:szCs w:val="24"/>
        </w:rPr>
      </w:pPr>
      <w:r w:rsidRPr="00215994">
        <w:rPr>
          <w:szCs w:val="24"/>
        </w:rPr>
        <w:lastRenderedPageBreak/>
        <w:t>At the same time, Microsoft has been leading the way with very decentralized baseload ideas. This includes Project Natick, an underwater data centre deployment that achieved a 99.9</w:t>
      </w:r>
      <w:r w:rsidR="00760EDA">
        <w:rPr>
          <w:szCs w:val="24"/>
        </w:rPr>
        <w:t xml:space="preserve">% </w:t>
      </w:r>
      <w:r w:rsidRPr="00215994">
        <w:rPr>
          <w:szCs w:val="24"/>
        </w:rPr>
        <w:t xml:space="preserve">uptime reliability factor and an eight-fold reduction in hardware failure rates compared with traditional land-based data </w:t>
      </w:r>
      <w:r w:rsidR="008E6980" w:rsidRPr="00215994">
        <w:rPr>
          <w:szCs w:val="24"/>
        </w:rPr>
        <w:t>centers</w:t>
      </w:r>
      <w:r w:rsidR="00670E8A">
        <w:rPr>
          <w:szCs w:val="24"/>
        </w:rPr>
        <w:fldChar w:fldCharType="begin"/>
      </w:r>
      <w:r w:rsidR="00866BB5">
        <w:rPr>
          <w:szCs w:val="24"/>
        </w:rPr>
        <w:instrText xml:space="preserve"> ADDIN ZOTERO_ITEM CSL_CITATION {"citationID":"8st61XpZ","properties":{"unsorted":false,"formattedCitation":"[59], [60]","plainCitation":"[59], [60]","noteIndex":0},"citationItems":[{"id":2005,"uris":["http://zotero.org/users/9870935/items/GPXLWD7A"],"itemData":{"id":2005,"type":"article-journal","abstract":"This research investigates the future landscape of cloud computing, concentrating specifically on Microsoft's pioneering underwater data center initiative. With the global demand for cloud services on the rise, there is an urgent need for sustainable and efficient solutions to address the increasing requirements for data storage. Microsoft's underwater data centers, part of Project Natick, are designed to confront these challenges by leveraging the natural cooling capabilities of ocean water, which significantly lowers energy consumption in comparison to conventional land-based facilities. Beyond energy efficiency, these submerged data centers present an opportunity to lessen the environmental footprint associated with extensive data storage, thereby offering a distinctive method for promoting eco-friendly computing. This thorough study assesses the technological innovations, economic feasibility, and environmental consequences of underwater data centers, evaluating their capacity to fulfil the scalability and reliability needs of cloud infrastructure. The research also examines the practicality of large-scale deployment, the challenges of underwater connectivity, and maintenance, and the long-term resilience of the infrastructure. By analyzing findings from Microsoft's pilot projects, this study seeks to enhance understanding of how underwater data centers could transform the future of cloud computing, potentially revolutionizing digital data storage and management in a more sustainable and efficient manner.","issue":"3","language":"en","source":"Zotero","title":"Exploring the Future of Cloud Computing: A Comprehensive Study of Microsoft's Underwater Data Centers","volume":"12","author":[{"family":"Panchal","given":"Yash"},{"family":"Dubey","given":"Shivam"},{"family":"Pathak","given":"Rashmi"}],"issued":{"date-parts":[["2025"]]}}},{"id":2001,"uris":["http://zotero.org/users/9870935/items/2FD7ZXSC"],"itemData":{"id":2001,"type":"article-journal","language":"en","source":"Zotero","title":"Project Natick — Microsoft's Self-sufficient Underwater Datacenters","author":[{"family":"Simon","given":"Kevin"}]}}],"schema":"https://github.com/citation-style-language/schema/raw/master/csl-citation.json"} </w:instrText>
      </w:r>
      <w:r w:rsidR="00670E8A">
        <w:rPr>
          <w:szCs w:val="24"/>
        </w:rPr>
        <w:fldChar w:fldCharType="separate"/>
      </w:r>
      <w:r w:rsidR="00866BB5" w:rsidRPr="00866BB5">
        <w:t>[59], [60]</w:t>
      </w:r>
      <w:r w:rsidR="00670E8A">
        <w:rPr>
          <w:szCs w:val="24"/>
        </w:rPr>
        <w:fldChar w:fldCharType="end"/>
      </w:r>
      <w:r w:rsidRPr="00215994">
        <w:rPr>
          <w:szCs w:val="24"/>
        </w:rPr>
        <w:t>. In order to support the very large workloads of AI, Microsoft has transitioned to the nuclear energy frameworks, with direct, long-term power supply relationships that provide stable, non-intermittent baseload power that is carbon-free</w:t>
      </w:r>
      <w:r w:rsidR="00337DE9">
        <w:rPr>
          <w:szCs w:val="24"/>
        </w:rPr>
        <w:fldChar w:fldCharType="begin"/>
      </w:r>
      <w:r w:rsidR="00866BB5">
        <w:rPr>
          <w:szCs w:val="24"/>
        </w:rPr>
        <w:instrText xml:space="preserve"> ADDIN ZOTERO_ITEM CSL_CITATION {"citationID":"XDrsuJcP","properties":{"unsorted":false,"formattedCitation":"[61]","plainCitation":"[61]","noteIndex":0},"citationItems":[{"id":2006,"uris":["http://zotero.org/users/9870935/items/X97WKK42"],"itemData":{"id":2006,"type":"article-journal","abstract":"Societies need a practical way to assess total costs of future energy mixes in complex power systems. To demonstrate such an approach, we assess the cost of electricity in the ERCOT system across two distinct generation mix scenarios, varying mostly by wind, solar and gas-fired generation, between 2023 and 2050. We use commercial software, also used by system operators and power plant developers, to ensure that evolving generation mixes in both scenarios can meet electricity demands at all times at all nodes. Such jurisdiction-specific, hourly nodal dispatch modeling is recognized as necessary for more accurate representation of costs to maintain reliable operations in complex electricity systems. We capture generation and some system costs, which we call consumer cost of electricity, CCOE, given that end-users pay these costs under different line items in their electricity bills. CCOEs are insightful cost estimates for system planning and policy discussions for a given power system and must be recalculated for different scenarios as technologies, market designs, policies, and more, change. This can be done as part of routine annual or bespoke analyses conducted by system operators.","container-title":"Energies","DOI":"10.3390/en19092195","ISSN":"1996-1073","issue":"9","journalAbbreviation":"Energies","language":"en","page":"2195","source":"DOI.org (Crossref)","title":"Assessing Economic Costs of Two Reliable Generation Mix Scenarios in the ERCOT System","volume":"19","author":[{"family":"Gülen","given":"Gürcan"},{"family":"Das","given":"Jani"},{"family":"Young","given":"Michael H."}],"issued":{"date-parts":[["2026",5,1]]}}}],"schema":"https://github.com/citation-style-language/schema/raw/master/csl-citation.json"} </w:instrText>
      </w:r>
      <w:r w:rsidR="00337DE9">
        <w:rPr>
          <w:szCs w:val="24"/>
        </w:rPr>
        <w:fldChar w:fldCharType="separate"/>
      </w:r>
      <w:r w:rsidR="00866BB5" w:rsidRPr="00866BB5">
        <w:t>[61]</w:t>
      </w:r>
      <w:r w:rsidR="00337DE9">
        <w:rPr>
          <w:szCs w:val="24"/>
        </w:rPr>
        <w:fldChar w:fldCharType="end"/>
      </w:r>
      <w:r w:rsidRPr="00215994">
        <w:rPr>
          <w:szCs w:val="24"/>
        </w:rPr>
        <w:t>.</w:t>
      </w:r>
    </w:p>
    <w:p w14:paraId="096656E4" w14:textId="0FE88046" w:rsidR="00215994" w:rsidRPr="00215994" w:rsidRDefault="00215994" w:rsidP="00866BB5">
      <w:pPr>
        <w:spacing w:after="120"/>
        <w:ind w:firstLine="480"/>
        <w:rPr>
          <w:szCs w:val="24"/>
        </w:rPr>
      </w:pPr>
      <w:r w:rsidRPr="00215994">
        <w:rPr>
          <w:szCs w:val="24"/>
        </w:rPr>
        <w:t>Equinix is the world's largest colocation data center provider with a presence in more than 260 facilities, which manages a very decentralized clean energy procurement architecture</w:t>
      </w:r>
      <w:r w:rsidR="00FF26BE">
        <w:rPr>
          <w:szCs w:val="24"/>
        </w:rPr>
        <w:fldChar w:fldCharType="begin"/>
      </w:r>
      <w:r w:rsidR="00866BB5">
        <w:rPr>
          <w:szCs w:val="24"/>
        </w:rPr>
        <w:instrText xml:space="preserve"> ADDIN ZOTERO_ITEM CSL_CITATION {"citationID":"55g5vk6s","properties":{"unsorted":false,"formattedCitation":"[62]","plainCitation":"[62]","noteIndex":0},"citationItems":[{"id":2007,"uris":["http://zotero.org/users/9870935/items/KHWRQFNN"],"itemData":{"id":2007,"type":"post-weblog","title":"Sustainability Report 2025","URL":"https://delivery-p112322-e1154416.adobeaemcloud.com/adobe/assets/deliver/urn:aaid:aem:116e6fc1-6217-4132-8fcf-1dc7096396df/Equinix-Inc_2025_Sustainability-Report.pdf","author":[{"family":"Equinix","given":""}]}}],"schema":"https://github.com/citation-style-language/schema/raw/master/csl-citation.json"} </w:instrText>
      </w:r>
      <w:r w:rsidR="00FF26BE">
        <w:rPr>
          <w:szCs w:val="24"/>
        </w:rPr>
        <w:fldChar w:fldCharType="separate"/>
      </w:r>
      <w:r w:rsidR="00866BB5" w:rsidRPr="00866BB5">
        <w:t>[62]</w:t>
      </w:r>
      <w:r w:rsidR="00FF26BE">
        <w:rPr>
          <w:szCs w:val="24"/>
        </w:rPr>
        <w:fldChar w:fldCharType="end"/>
      </w:r>
      <w:r w:rsidRPr="00215994">
        <w:rPr>
          <w:szCs w:val="24"/>
        </w:rPr>
        <w:t>. Equinix has established a 96</w:t>
      </w:r>
      <w:r w:rsidR="009B372B">
        <w:rPr>
          <w:szCs w:val="24"/>
        </w:rPr>
        <w:t xml:space="preserve">% </w:t>
      </w:r>
      <w:r w:rsidRPr="00215994">
        <w:rPr>
          <w:szCs w:val="24"/>
        </w:rPr>
        <w:t>global renewable energy coverage metric for its retail data center portfolio, with multiple hundreds of megawatts of solar and wind capacity across California, Arizona, Texas, and Europe</w:t>
      </w:r>
      <w:r w:rsidR="00253CAD">
        <w:rPr>
          <w:szCs w:val="24"/>
        </w:rPr>
        <w:fldChar w:fldCharType="begin"/>
      </w:r>
      <w:r w:rsidR="00866BB5">
        <w:rPr>
          <w:szCs w:val="24"/>
        </w:rPr>
        <w:instrText xml:space="preserve"> ADDIN ZOTERO_ITEM CSL_CITATION {"citationID":"VdbmAADr","properties":{"unsorted":false,"formattedCitation":"[63]","plainCitation":"[63]","noteIndex":0},"citationItems":[{"id":2009,"uris":["http://zotero.org/users/9870935/items/QBYC38N3"],"itemData":{"id":2009,"type":"article-journal","abstract":"As Europe progresses toward a greener future, the years ahead bring expectations of widespread, large-scale photovoltaic (PV) deployment. Presently, mainstream silicon PV is transitioning away from the passivated emitter rear cell (PERC) architecture towards higher efﬁciency cell designs: tunnel oxide passivated contact (TOPCon) and silicon heterojunction (SHJ). With net-zero deadlines looming, there is an urgent need for comprehensive sustainability investigations into minimizing the environmental impact of large-scale actions before suffering avoidable consequences. Using life cycle assessment, these three silicon technologies are investigated and compared, ﬁnding SHJ to have the lowest global impact, closely followed by TOPCon. Both have lower impacts than PERC for 15 of 16 investigated environmental impact categories, including climate change ( 9.9% and 12.1%, respectively), but increased metal use (+29.5% and +13.0%, respectively). A hotspot analysis identiﬁes research opportunities for reducing environmental impacts such as material innovation through substituting silver (metallization) and ethylene vinyl acetate (encapsulant), or, more broadly, improving process efﬁciency and integrating more renewables into the electricity mix. The environmental impact is further evaluated to consider technological developments and evolving electricity mixes to the year 2034, showing the impacts of SHJ and TOPCon are reduced by &gt;10% for all six identiﬁed highvalue impact categories. These are then used to model European PV deployment between 2023 and 2034, considering various manufacturing scenarios, which show that this could result in climate change emissions of &lt;0.41 Gt CO2 eq., though implementation of the Net-Zero Industry Act could reduce this to 0.31 Gt CO2 eq. Finally, sensitivity analysis is conducted to investigate uncertainty associated with modeling future impacts, comparing the 2024 and 2025 International Technology Roadmap for Photovoltaics. The sensitivity analysis results provide additional conﬁdence in the ﬁndings of the initial comparison and support the conclusion that SHJ technology has, and will continue to have, the lowest environmental impact of the three investigated technologies.","container-title":"EPJ Photovoltaics","DOI":"10.1051/epjpv/2026009","ISSN":"2105-0716","journalAbbreviation":"EPJ Photovolt.","language":"en","license":"https://creativecommons.org/licenses/by/4.0","page":"16","source":"DOI.org (Crossref)","title":"Sustainability outlook for leading silicon photovoltaic technologies from 2023–2034 in Europe","volume":"17","author":[{"family":"Willis","given":"Bethany L."},{"family":"Rigby","given":"Oliver M."},{"family":"Pain","given":"Sophie L."},{"family":"Grant","given":"Nicholas E."},{"family":"Murphy","given":"John D."},{"family":"Bonilla","given":"Ruy S."},{"family":"Beattie","given":"Neil S."}],"issued":{"date-parts":[["2026"]]}}}],"schema":"https://github.com/citation-style-language/schema/raw/master/csl-citation.json"} </w:instrText>
      </w:r>
      <w:r w:rsidR="00253CAD">
        <w:rPr>
          <w:szCs w:val="24"/>
        </w:rPr>
        <w:fldChar w:fldCharType="separate"/>
      </w:r>
      <w:r w:rsidR="00866BB5" w:rsidRPr="00866BB5">
        <w:t>[63]</w:t>
      </w:r>
      <w:r w:rsidR="00253CAD">
        <w:rPr>
          <w:szCs w:val="24"/>
        </w:rPr>
        <w:fldChar w:fldCharType="end"/>
      </w:r>
      <w:r w:rsidRPr="00215994">
        <w:rPr>
          <w:szCs w:val="24"/>
        </w:rPr>
        <w:t>.</w:t>
      </w:r>
    </w:p>
    <w:p w14:paraId="2392FCCB" w14:textId="13BB3588" w:rsidR="00215994" w:rsidRPr="00215994" w:rsidRDefault="00215994" w:rsidP="00866BB5">
      <w:pPr>
        <w:spacing w:after="120"/>
        <w:ind w:firstLine="480"/>
        <w:rPr>
          <w:szCs w:val="24"/>
        </w:rPr>
      </w:pPr>
      <w:r w:rsidRPr="00215994">
        <w:rPr>
          <w:szCs w:val="24"/>
        </w:rPr>
        <w:t>Likewise, Apple has removed its operating footprint and matched 100</w:t>
      </w:r>
      <w:r w:rsidR="00253CAD">
        <w:rPr>
          <w:szCs w:val="24"/>
        </w:rPr>
        <w:t xml:space="preserve">% </w:t>
      </w:r>
      <w:r w:rsidRPr="00215994">
        <w:rPr>
          <w:szCs w:val="24"/>
        </w:rPr>
        <w:t>renewable energy at its corporate operations and upstream manufacturing supply chain. This setup includes a specialized 10 MW solid oxide fuel cell array at its Maiden, North Carolina data center, running in parallel with significant onsite solar power generation</w:t>
      </w:r>
      <w:r w:rsidR="00C71CA7">
        <w:rPr>
          <w:szCs w:val="24"/>
        </w:rPr>
        <w:t xml:space="preserve">. </w:t>
      </w:r>
      <w:r w:rsidRPr="00215994">
        <w:rPr>
          <w:szCs w:val="24"/>
        </w:rPr>
        <w:t>These are clearly public-facing corporate efforts to prove that although perfect, real-time 24/7 CFE matching is a continuing challenge on the grid, utility-scale renewable-powered data center configurations are technically stable and economically better options for hyperscale infrastructure</w:t>
      </w:r>
      <w:r w:rsidR="00D41ABC">
        <w:rPr>
          <w:szCs w:val="24"/>
        </w:rPr>
        <w:fldChar w:fldCharType="begin"/>
      </w:r>
      <w:r w:rsidR="00866BB5">
        <w:rPr>
          <w:szCs w:val="24"/>
        </w:rPr>
        <w:instrText xml:space="preserve"> ADDIN ZOTERO_ITEM CSL_CITATION {"citationID":"aW9zBp1f","properties":{"unsorted":false,"formattedCitation":"[64]","plainCitation":"[64]","noteIndex":0},"citationItems":[{"id":2010,"uris":["http://zotero.org/users/9870935/items/36ZP5SVZ"],"itemData":{"id":2010,"type":"post-weblog","title":"Environmental Progress Report","URL":"https://www.apple.com/environment/pdf/Apple_Environmental_Progress_Report_2025.pdf","author":[{"family":"Apple","given":""}]}}],"schema":"https://github.com/citation-style-language/schema/raw/master/csl-citation.json"} </w:instrText>
      </w:r>
      <w:r w:rsidR="00D41ABC">
        <w:rPr>
          <w:szCs w:val="24"/>
        </w:rPr>
        <w:fldChar w:fldCharType="separate"/>
      </w:r>
      <w:r w:rsidR="00866BB5" w:rsidRPr="00866BB5">
        <w:t>[64]</w:t>
      </w:r>
      <w:r w:rsidR="00D41ABC">
        <w:rPr>
          <w:szCs w:val="24"/>
        </w:rPr>
        <w:fldChar w:fldCharType="end"/>
      </w:r>
      <w:r w:rsidRPr="00215994">
        <w:rPr>
          <w:szCs w:val="24"/>
        </w:rPr>
        <w:t>.</w:t>
      </w:r>
    </w:p>
    <w:p w14:paraId="70B938C1" w14:textId="1B0D3932" w:rsidR="0099465F" w:rsidRDefault="0099465F" w:rsidP="0099465F">
      <w:pPr>
        <w:pStyle w:val="Heading10"/>
        <w:rPr>
          <w:color w:val="auto"/>
        </w:rPr>
      </w:pPr>
      <w:r>
        <w:rPr>
          <w:color w:val="auto"/>
          <w:lang w:eastAsia="zh-CN"/>
        </w:rPr>
        <w:t xml:space="preserve">3. </w:t>
      </w:r>
      <w:r>
        <w:rPr>
          <w:color w:val="auto"/>
        </w:rPr>
        <w:t>Electrical Fundamentals of Data Center Systems</w:t>
      </w:r>
    </w:p>
    <w:p w14:paraId="08E9AE7E" w14:textId="76300BAC" w:rsidR="00F23251" w:rsidRDefault="00F23251" w:rsidP="00F23251">
      <w:pPr>
        <w:pStyle w:val="Heading20"/>
        <w:rPr>
          <w:color w:val="auto"/>
        </w:rPr>
      </w:pPr>
      <w:r>
        <w:rPr>
          <w:color w:val="auto"/>
        </w:rPr>
        <w:t>3.1. Electrical Distribution Architecture</w:t>
      </w:r>
    </w:p>
    <w:p w14:paraId="294CF0EC" w14:textId="695AC2E6" w:rsidR="00040480" w:rsidRPr="00040480" w:rsidRDefault="00040480" w:rsidP="00866BB5">
      <w:pPr>
        <w:spacing w:after="120"/>
        <w:ind w:firstLine="480"/>
      </w:pPr>
      <w:r w:rsidRPr="00040480">
        <w:t>The electrical distribution system in a data center is hierarchical, stepping down the voltage from the utility interconnection levels to the low voltage levels needed by the computing systems. Primary interconnection usually takes place at medium-voltage (MV) levels of 13.8 kV or 25 kV, and step-down transformers step down the voltage to levels required for facility distribution at 4.16 to 6.9 kV</w:t>
      </w:r>
      <w:r w:rsidR="00604139">
        <w:fldChar w:fldCharType="begin"/>
      </w:r>
      <w:r w:rsidR="00866BB5">
        <w:instrText xml:space="preserve"> ADDIN ZOTERO_ITEM CSL_CITATION {"citationID":"PfKI6RIJ","properties":{"unsorted":false,"formattedCitation":"[65]","plainCitation":"[65]","noteIndex":0},"citationItems":[{"id":2011,"uris":["http://zotero.org/users/9870935/items/3TIRQDVC"],"itemData":{"id":2011,"type":"standard","DOI":"10.1109/IEEESTD.1998.89291","ISBN":"978-0-7381-1148-3","publisher":"IEEE","source":"DOI.org (Crossref)","title":"IEEE Recommended Practice for the Design of Reliable Industrial and Commercial Power Systems (Gold Book)","URL":"http://ieeexplore.ieee.org/document/757619/","accessed":{"date-parts":[["2026",5,16]]}}}],"schema":"https://github.com/citation-style-language/schema/raw/master/csl-citation.json"} </w:instrText>
      </w:r>
      <w:r w:rsidR="00604139">
        <w:fldChar w:fldCharType="separate"/>
      </w:r>
      <w:r w:rsidR="00866BB5" w:rsidRPr="00866BB5">
        <w:t>[65]</w:t>
      </w:r>
      <w:r w:rsidR="00604139">
        <w:fldChar w:fldCharType="end"/>
      </w:r>
      <w:r w:rsidRPr="00040480">
        <w:t>. Power distribution units (PDUs) deliver 480 V three-phase power to the last-mile for individual equipment racks.</w:t>
      </w:r>
    </w:p>
    <w:p w14:paraId="07C34DA8" w14:textId="25859946" w:rsidR="00040480" w:rsidRPr="00040480" w:rsidRDefault="00040480" w:rsidP="00866BB5">
      <w:pPr>
        <w:spacing w:after="120"/>
        <w:ind w:firstLine="480"/>
      </w:pPr>
      <w:r w:rsidRPr="00040480">
        <w:t>It is one of the most important design parameters and is classified by the Uptime Institute Tier Standard as N (no redundancy), N+1 (one spare component), N+2 (two spare components), 2N (fully redundant, dual path), or 2(N+1)</w:t>
      </w:r>
      <w:r w:rsidR="006541C1">
        <w:fldChar w:fldCharType="begin"/>
      </w:r>
      <w:r w:rsidR="00866BB5">
        <w:instrText xml:space="preserve"> ADDIN ZOTERO_ITEM CSL_CITATION {"citationID":"s2FyWRFx","properties":{"unsorted":false,"formattedCitation":"[66]","plainCitation":"[66]","noteIndex":0},"citationItems":[{"id":2012,"uris":["http://zotero.org/users/9870935/items/BVU5PGIM"],"itemData":{"id":2012,"type":"article-journal","container-title":"Energy Conversion and Management","DOI":"10.1016/j.enconman.2023.117254","ISSN":"01968904","journalAbbreviation":"Energy Conversion and Management","language":"en","page":"117254","source":"DOI.org (Crossref)","title":"Reliability, availability, and life-cycle cost (LCC) analysis of combined cooling, heating and power (CCHP) integration to data centers considering electricity and cooling supplies","volume":"291","author":[{"family":"Keskin","given":"Ilhan"},{"family":"Soykan","given":"Gurkan"}],"issued":{"date-parts":[["2023",9]]}}}],"schema":"https://github.com/citation-style-language/schema/raw/master/csl-citation.json"} </w:instrText>
      </w:r>
      <w:r w:rsidR="006541C1">
        <w:fldChar w:fldCharType="separate"/>
      </w:r>
      <w:r w:rsidR="00866BB5" w:rsidRPr="00866BB5">
        <w:t>[66]</w:t>
      </w:r>
      <w:r w:rsidR="006541C1">
        <w:fldChar w:fldCharType="end"/>
      </w:r>
      <w:r w:rsidRPr="00040480">
        <w:t>. The typical configuration for most AI data centers is 2N, which means that each critical load is connected to two separate power paths, and the power paths are configured to switch automatically when one fails. The redundancy model also affects capital costs: For 2N designs, electrical infrastructure costs are generally 80 to 100</w:t>
      </w:r>
      <w:r w:rsidR="00FB732E">
        <w:t xml:space="preserve">% </w:t>
      </w:r>
      <w:r w:rsidRPr="00040480">
        <w:t>higher than those for N+1 designs; and, in the case of single-component failures, 2N designs offer essentially zero downtime</w:t>
      </w:r>
      <w:r w:rsidR="00C8356E">
        <w:fldChar w:fldCharType="begin"/>
      </w:r>
      <w:r w:rsidR="00866BB5">
        <w:instrText xml:space="preserve"> ADDIN ZOTERO_ITEM CSL_CITATION {"citationID":"uyzrmxWp","properties":{"unsorted":false,"formattedCitation":"[67]","plainCitation":"[67]","noteIndex":0},"citationItems":[{"id":2013,"uris":["http://zotero.org/users/9870935/items/K8UPFZKD"],"itemData":{"id":2013,"type":"article-journal","DOI":"10.13140/RG.2.2.27710.75845","language":"en","publisher":"Unpublished","source":"DOI.org (Datacite)","title":"Data center energy assessment process and energy efficiency metrics","URL":"https://www.researchgate.net/doi/10.13140/RG.2.2.27710.75845","author":[{"literal":"Nguyen Anh Huy"},{"family":"Nguyen","given":"Xuan Truong"}],"accessed":{"date-parts":[["2026",5,16]]},"issued":{"date-parts":[["2025"]]}}}],"schema":"https://github.com/citation-style-language/schema/raw/master/csl-citation.json"} </w:instrText>
      </w:r>
      <w:r w:rsidR="00C8356E">
        <w:fldChar w:fldCharType="separate"/>
      </w:r>
      <w:r w:rsidR="00866BB5" w:rsidRPr="00866BB5">
        <w:t>[67]</w:t>
      </w:r>
      <w:r w:rsidR="00C8356E">
        <w:fldChar w:fldCharType="end"/>
      </w:r>
      <w:r w:rsidRPr="00040480">
        <w:t>.</w:t>
      </w:r>
    </w:p>
    <w:p w14:paraId="236FFF7F" w14:textId="74C40034" w:rsidR="00F23251" w:rsidRPr="00040480" w:rsidRDefault="00040480" w:rsidP="00866BB5">
      <w:pPr>
        <w:spacing w:after="120"/>
        <w:ind w:firstLine="480"/>
      </w:pPr>
      <w:r w:rsidRPr="00040480">
        <w:t xml:space="preserve">Power is distributed from the utility interconnection point through main switchgear that provides protection coordination and metering, to automatic transfer switches (ATS) that control the transfer of power from the utility to the backup power source during a power outage. In high-reliability applications, the transfer time is less than 1 cycle (16.7ms) for </w:t>
      </w:r>
      <w:r w:rsidRPr="00040480">
        <w:lastRenderedPageBreak/>
        <w:t>static transfer switches (STS) and 10-30s for electromechanical switches (EMS) in the ATS</w:t>
      </w:r>
      <w:r w:rsidR="009D69B5">
        <w:fldChar w:fldCharType="begin"/>
      </w:r>
      <w:r w:rsidR="00866BB5">
        <w:instrText xml:space="preserve"> ADDIN ZOTERO_ITEM CSL_CITATION {"citationID":"EnoLyCgw","properties":{"unsorted":false,"formattedCitation":"[68]","plainCitation":"[68]","noteIndex":0},"citationItems":[{"id":2014,"uris":["http://zotero.org/users/9870935/items/YRI3RIYJ"],"itemData":{"id":2014,"type":"article-journal","abstract":"PLN's electricity supply is not always continuous in the process of distributing power, because under certain conditions there will be blackouts caused by interruptions or maintenance in the distribution system. An alternative to overcome PLN disturbances is to use renewable sources such as solar power plants and generators with an ATS automatic control system controlled using PLC. This study conducted a literature study to collect relevant theories and references about this research. PLC diagram leaders are designed for the process of transferring PLN, PLTS and Generator to load electrical power. Solar power plants operate during disruptions to PLN resources during operational hours (10 a.m. – 3 p.m.) and generators operate when solar power resources cannot supply to the load and at night outside solar power plant operating hours. The ATS system is able to switch the process of switching PLN and PLTS power sources very quickly without any time lag so that the load is directly supplied by PLN and PLTS power sources. The process of switching the generator source takes approximately 2 seconds for the starting process. The process of transferring battery power resources to critical loads without any time lag during the  generator starting process  and when generator starting failure occurs.","container-title":"International Journal of Science, Technology &amp; Management","DOI":"10.46729/ijstm.v6i3.1316","ISSN":"2722-4015","issue":"3","journalAbbreviation":"International Journal of Science, Technology &amp; Management","license":"https://creativecommons.org/licenses/by-sa/4.0/","page":"520-527","source":"DOI.org (Crossref)","title":"Design And Construction Of Automatic Transfer Switch (ATS) System With Backup Control System In Hybrid Power Plant (PLN - PLTS - GENSET)","volume":"6","author":[{"family":"Gavrila Mailuhu","given":"Jevon"},{"family":"A.F. Haurissa","given":"Marceau"},{"family":"Jamlaay","given":"Marselin"}],"issued":{"date-parts":[["2025",6,1]]}}}],"schema":"https://github.com/citation-style-language/schema/raw/master/csl-citation.json"} </w:instrText>
      </w:r>
      <w:r w:rsidR="009D69B5">
        <w:fldChar w:fldCharType="separate"/>
      </w:r>
      <w:r w:rsidR="00866BB5" w:rsidRPr="00866BB5">
        <w:t>[68]</w:t>
      </w:r>
      <w:r w:rsidR="009D69B5">
        <w:fldChar w:fldCharType="end"/>
      </w:r>
      <w:r w:rsidRPr="00040480">
        <w:t>. AI training workloads are typically specified with STS or flywheel-based uninterrupted power supply (UPS) systems, as a brief power interruption can disrupt the workloads.</w:t>
      </w:r>
    </w:p>
    <w:p w14:paraId="18822419" w14:textId="46C8C335" w:rsidR="007A48E6" w:rsidRDefault="007A48E6" w:rsidP="007A48E6">
      <w:pPr>
        <w:pStyle w:val="Heading20"/>
        <w:rPr>
          <w:color w:val="auto"/>
        </w:rPr>
      </w:pPr>
      <w:r>
        <w:rPr>
          <w:color w:val="auto"/>
        </w:rPr>
        <w:t>3.2. AI Workload Electrical Charactersitics</w:t>
      </w:r>
    </w:p>
    <w:p w14:paraId="6277E67A" w14:textId="1A5B0D1F" w:rsidR="002C20E4" w:rsidRPr="00F166F8" w:rsidRDefault="002C20E4" w:rsidP="007D08DE">
      <w:pPr>
        <w:spacing w:after="120"/>
        <w:ind w:firstLine="480"/>
      </w:pPr>
      <w:r w:rsidRPr="00F166F8">
        <w:t xml:space="preserve">Modern AI accelerators exhibit distinctive electrical characteristics that differentiate them from conventional server loads. The NVIDIA H100 SXM GPU is rated up to 700 W, while the previous generation A100 has a maximum TDP of 250 to 400 W. Each HGX H100 server is equipped with eight GPUs, yielding a peak server power consumption of more than 10 kW when all eight GPUs are in operation, which includes memory, networking, and cooling system components. These systems generate localized load pockets that consume 30 to 50 kW per rack as compared to enterprise computing, which consumes 5 to 10 kW per </w:t>
      </w:r>
      <w:r w:rsidR="007D08DE" w:rsidRPr="00F166F8">
        <w:t>rack</w:t>
      </w:r>
      <w:r w:rsidR="007D08DE">
        <w:fldChar w:fldCharType="begin"/>
      </w:r>
      <w:r w:rsidR="007D08DE">
        <w:instrText xml:space="preserve"> ADDIN ZOTERO_ITEM CSL_CITATION {"citationID":"TtnTMX89","properties":{"unsorted":false,"formattedCitation":"[10]","plainCitation":"[10]","noteIndex":0},"citationItems":[{"id":1914,"uris":["http://zotero.org/users/9870935/items/MRD83LE5"],"itemData":{"id":1914,"type":"article-journal","language":"en","source":"Zotero","title":"NVIDIA Hopper Architecture In-Depth","author":[{"family":"Andersch","given":"Michael"},{"family":"Palmer","given":"Greg"},{"family":"Krashinsky","given":"Ronny"},{"family":"Stam","given":"Nick"},{"family":"Mehta","given":"Vishal"},{"family":"Brito","given":"Gonzalo"},{"family":"Ramaswamy","given":"Sridhar"}]}}],"schema":"https://github.com/citation-style-language/schema/raw/master/csl-citation.json"} </w:instrText>
      </w:r>
      <w:r w:rsidR="007D08DE">
        <w:fldChar w:fldCharType="separate"/>
      </w:r>
      <w:r w:rsidR="007D08DE" w:rsidRPr="007D08DE">
        <w:t>[10]</w:t>
      </w:r>
      <w:r w:rsidR="007D08DE">
        <w:fldChar w:fldCharType="end"/>
      </w:r>
      <w:r w:rsidR="007D08DE" w:rsidRPr="00F166F8">
        <w:t>.</w:t>
      </w:r>
    </w:p>
    <w:p w14:paraId="2CD1CA76" w14:textId="202363D2" w:rsidR="002C20E4" w:rsidRPr="00F166F8" w:rsidRDefault="002C20E4" w:rsidP="00866BB5">
      <w:pPr>
        <w:spacing w:after="120"/>
        <w:ind w:firstLine="480"/>
      </w:pPr>
      <w:r w:rsidRPr="00F166F8">
        <w:t>GPU power states are heavily dependent on the workload. During the model training phase, GPUs can draw power close to their TDP under full computational load, depending on the computational operations (e.g., matrix multiplication, memory access, communication)</w:t>
      </w:r>
      <w:r w:rsidR="00A8352A">
        <w:fldChar w:fldCharType="begin"/>
      </w:r>
      <w:r w:rsidR="00866BB5">
        <w:instrText xml:space="preserve"> ADDIN ZOTERO_ITEM CSL_CITATION {"citationID":"CscueCyo","properties":{"unsorted":false,"formattedCitation":"[69]","plainCitation":"[69]","noteIndex":0},"citationItems":[{"id":2016,"uris":["http://zotero.org/users/9870935/items/IGX3D6LZ"],"itemData":{"id":2016,"type":"article","abstract":"This paper presents datacenter power profiles, a new NVIDIA software feature released with Blackwell B200, aimed at improving energy efficiency and/or performance. The initial feature provides coarse-grain user control for HPC and AI workloads leveraging hardware and software innovations for intelligent power management and domain knowledge of HPC and AI workloads. The resulting workload-aware optimization recipes maximize computational throughput while operating within strict facility power constraints. The phase-1 Blackwell implementation achieves up to 15% energy savings while maintaining performance levels above 97% for critical applications, enabling an overall throughput increase of up to 13% in a power-constrained facility.\n KEYWORDS GPU power management, energy efficiency, power profile, HPC optimization, Max-Q, Blackwell architecture","DOI":"10.48550/ARXIV.2510.03872","license":"Creative Commons Attribution Non Commercial No Derivatives 4.0 International","note":"version: 2","publisher":"arXiv","source":"DOI.org (Datacite)","title":"Datacenter Energy Optimized Power Profiles","URL":"https://arxiv.org/abs/2510.03872","author":[{"family":"Narayanaswamy","given":"Sreedhar"},{"family":"Patel","given":"Pratikkumar Dilipkumar"},{"family":"Karlin","given":"Ian"},{"family":"Gupta","given":"Apoorv"},{"family":"Saripalli","given":"Sudhir"},{"family":"Guo","given":"Janey"}],"accessed":{"date-parts":[["2026",5,16]]},"issued":{"date-parts":[["2025"]]}}}],"schema":"https://github.com/citation-style-language/schema/raw/master/csl-citation.json"} </w:instrText>
      </w:r>
      <w:r w:rsidR="00A8352A">
        <w:fldChar w:fldCharType="separate"/>
      </w:r>
      <w:r w:rsidR="00866BB5" w:rsidRPr="00866BB5">
        <w:t>[69]</w:t>
      </w:r>
      <w:r w:rsidR="00A8352A">
        <w:fldChar w:fldCharType="end"/>
      </w:r>
      <w:r w:rsidRPr="00F166F8">
        <w:t>. Idle power consumption is usually in the range of 50-150 W per GPU, or about 15-20</w:t>
      </w:r>
      <w:r w:rsidR="00F70DBD">
        <w:t xml:space="preserve">% </w:t>
      </w:r>
      <w:r w:rsidRPr="00F166F8">
        <w:t>of peak power, because memory contents must be kept alive and providing low-latency response for inference operations</w:t>
      </w:r>
      <w:r w:rsidR="00DE27F0">
        <w:fldChar w:fldCharType="begin"/>
      </w:r>
      <w:r w:rsidR="00866BB5">
        <w:instrText xml:space="preserve"> ADDIN ZOTERO_ITEM CSL_CITATION {"citationID":"APKvRgnH","properties":{"unsorted":false,"formattedCitation":"[70]","plainCitation":"[70]","noteIndex":0},"citationItems":[{"id":2018,"uris":["http://zotero.org/users/9870935/items/XN4NHKM7"],"itemData":{"id":2018,"type":"article","abstract":"Ubiquity of AI coupled with its steep power demands make optimizing GPU power a priority as large GPUbased clusters are often employed to train and serve AI models. An important first step in optimizing GPU power consumption is high-fidelity and fine-grain power measurement of key AI computations on GPUs. To this end, we observe that as GPUs get more powerful, the resulting sub-millisecond to millisecond executions make fine-grain power analysis challenging. In this work, we first carefully identify the challenges in obtaining finegrain GPU power profiles. To address these challenges, we devise FinGraV methodology where we employ execution time binning, careful CPU-GPU time synchronization, and power profile differentiation to collect fine-grain GPU power profiles across prominent AI computations and across spectrum of scenarios. Using FinGraV power profiles, we make several observations pertaining to GPU power variation over executions and over time, GPU sub-component power consumptions across different scenarios, and power behavior over interleaved executions of multiple computations. Equipped with these observations, we conclude with several recommendations to optimize the power for these ubiquitous accelerators.","DOI":"10.48550/arXiv.2412.12426","language":"en","note":"arXiv:2412.12426 [cs.AR]","number":"arXiv:2412.12426","publisher":"arXiv","source":"arXiv.org","title":"FinGraV: Methodology for Fine-Grain GPU Power Visibility and Insights","title-short":"FinGraV","URL":"http://arxiv.org/abs/2412.12426","author":[{"family":"Singhania","given":"Varsha"},{"family":"Aga","given":"Shaizeen"},{"family":"Ibrahim","given":"Mohamed Assem"}],"accessed":{"date-parts":[["2026",5,16]]},"issued":{"date-parts":[["2025",3,28]]}}}],"schema":"https://github.com/citation-style-language/schema/raw/master/csl-citation.json"} </w:instrText>
      </w:r>
      <w:r w:rsidR="00DE27F0">
        <w:fldChar w:fldCharType="separate"/>
      </w:r>
      <w:r w:rsidR="00866BB5" w:rsidRPr="00866BB5">
        <w:t>[70]</w:t>
      </w:r>
      <w:r w:rsidR="00DE27F0">
        <w:fldChar w:fldCharType="end"/>
      </w:r>
      <w:r w:rsidRPr="00F166F8">
        <w:t>. Power capping (e.g. using NVML power limit API) allows operators to cap the max power draw for lower computational throughput, offering a power management solution for the demand side.</w:t>
      </w:r>
    </w:p>
    <w:p w14:paraId="51131BFC" w14:textId="1070978F" w:rsidR="007A48E6" w:rsidRPr="00F166F8" w:rsidRDefault="002C20E4" w:rsidP="00866BB5">
      <w:pPr>
        <w:spacing w:after="120"/>
        <w:ind w:firstLine="480"/>
      </w:pPr>
      <w:r w:rsidRPr="00F166F8">
        <w:t>Thermal design point considerations shall include steady state and transient thermal loads. GPU temperatures during training can reach 80-85 degrees Celsius when the GPUs are sustained under load, and cooling systems must be able to dissipate 3.5-5 kW of cooling power per GPU</w:t>
      </w:r>
      <w:r w:rsidR="002E0505">
        <w:fldChar w:fldCharType="begin"/>
      </w:r>
      <w:r w:rsidR="00866BB5">
        <w:instrText xml:space="preserve"> ADDIN ZOTERO_ITEM CSL_CITATION {"citationID":"wo1i8Mfh","properties":{"unsorted":false,"formattedCitation":"[71]","plainCitation":"[71]","noteIndex":0},"citationItems":[{"id":2020,"uris":["http://zotero.org/users/9870935/items/EUX8ZVSI"],"itemData":{"id":2020,"type":"article-journal","abstract":"The rapid surge in global data traffic, driven by artificial intelligence and hyperscale data centers, has established copackaged optics (CPO) as a pivotal technology for next-generation high-bandwidth and low-power interconnects. By integrating optical engines directly with application-specific integrated circuits (ASICs) on a single substrate, CPO significantly reduces electrical link lengths and power consumption. However, the extreme power density of ASICs, together with the temperature sensitivity of photonic components, makes thermal management a critical bottleneck for CPO performance and reliability. We provide a comprehensive review of thermal management in CPO, encompassing various aspects from device assembly to system operation. We systematically discuss the packaging strategies and thermal reliability of lasers and fiber arrays, address thermal design considerations at both chip and package levels, and evaluate advanced thermal interface materials alongside module-level cooling technologies. Finally, we provide perspectives on future optoelectronic co-design and the thermal challenges of next-generation optical interconnects.","container-title":"Advanced Photonics Nexus","DOI":"10.1117/1.APN.5.3.034001","ISSN":"2791-1519","issue":"03","journalAbbreviation":"Adv. Photon. Nexus","language":"en","source":"DOI.org (Crossref)","title":"Thermal management in copackaged optics: from device assembly to system operation","title-short":"Thermal management in copackaged optics","URL":"https://www.spiedigitallibrary.org/journals/advanced-photonics-nexus/volume-5/issue-03/034001/Thermal-management-in-copackaged-optics--from-device-assembly-to/10.1117/1.APN.5.3.034001.full","volume":"5","author":[{"family":"Yang","given":"Zhonghua"},{"family":"He","given":"Guopeng"},{"family":"Li","given":"Yufeng"},{"family":"Sun","given":"Yu"},{"family":"Luo","given":"Wenbo"},{"family":"Zhang","given":"Wanli"}],"accessed":{"date-parts":[["2026",5,16]]},"issued":{"date-parts":[["2026",3,19]]}}}],"schema":"https://github.com/citation-style-language/schema/raw/master/csl-citation.json"} </w:instrText>
      </w:r>
      <w:r w:rsidR="002E0505">
        <w:fldChar w:fldCharType="separate"/>
      </w:r>
      <w:r w:rsidR="00866BB5" w:rsidRPr="00866BB5">
        <w:t>[71]</w:t>
      </w:r>
      <w:r w:rsidR="002E0505">
        <w:fldChar w:fldCharType="end"/>
      </w:r>
      <w:r w:rsidRPr="00F166F8">
        <w:t>. The electrical energy that is input to computing equipment is almost entirely converted to heat, which is why there is a very close relationship between electrical energy consumption and heat generation. This integration of electrical and thermal systems opens the opportunity to integrated energy management, optimizing the operation of the cooling system with the availability of renewable energy and the optimization of the workload.</w:t>
      </w:r>
    </w:p>
    <w:p w14:paraId="5AAAE1C0" w14:textId="473B1651" w:rsidR="00350D1E" w:rsidRDefault="00350D1E" w:rsidP="00350D1E">
      <w:pPr>
        <w:pStyle w:val="Heading20"/>
        <w:rPr>
          <w:color w:val="auto"/>
        </w:rPr>
      </w:pPr>
      <w:r>
        <w:rPr>
          <w:color w:val="auto"/>
        </w:rPr>
        <w:t xml:space="preserve">3.3. </w:t>
      </w:r>
      <w:r w:rsidR="006F5703">
        <w:rPr>
          <w:color w:val="auto"/>
        </w:rPr>
        <w:t>Backup Power and UPS Systems</w:t>
      </w:r>
    </w:p>
    <w:p w14:paraId="4B5A524D" w14:textId="4BAFEE6D" w:rsidR="00C24F3F" w:rsidRPr="00C24F3F" w:rsidRDefault="00C24F3F" w:rsidP="00866BB5">
      <w:pPr>
        <w:spacing w:after="120"/>
        <w:ind w:firstLine="480"/>
        <w:rPr>
          <w:szCs w:val="24"/>
        </w:rPr>
      </w:pPr>
      <w:r>
        <w:rPr>
          <w:szCs w:val="24"/>
        </w:rPr>
        <w:t>UPS</w:t>
      </w:r>
      <w:r w:rsidRPr="00C24F3F">
        <w:rPr>
          <w:szCs w:val="24"/>
        </w:rPr>
        <w:t xml:space="preserve"> system is the first line of defense against power quality disturbances and short outages. There are three major UPS technologies used in data centers: flywheel systems, which can deliver 10-30 seconds of ride-through time with kinetic energy storage; battery-based UPS, which can supply minutes to hours of backup time depending on the battery capacity; and hybrid UPS, which includes flywheels to provide immediate response and batteries to provide extended backup time</w:t>
      </w:r>
      <w:r w:rsidR="00AD7884">
        <w:rPr>
          <w:szCs w:val="24"/>
        </w:rPr>
        <w:fldChar w:fldCharType="begin"/>
      </w:r>
      <w:r w:rsidR="00866BB5">
        <w:rPr>
          <w:szCs w:val="24"/>
        </w:rPr>
        <w:instrText xml:space="preserve"> ADDIN ZOTERO_ITEM CSL_CITATION {"citationID":"6s5dz7U7","properties":{"unsorted":false,"formattedCitation":"[72]","plainCitation":"[72]","noteIndex":0},"citationItems":[{"id":2021,"uris":["http://zotero.org/users/9870935/items/AHEUC4DF"],"itemData":{"id":2021,"type":"article","abstract":"Artificial intelligence (AI) is driving unprecedented growth in data center (DC) scale and power demand. AI workloads impose highly dynamic, difficult-to-forecast power profiles on the utility grid, creating reliability and stability challenges that conventional DC architectures are not designed to address. This paper provides a critical review of energy storage systems (ESSs) as the key enabling technology for reliable grid integration of AI DCs. We organize the review around a four-layer hierarchical taxonomy, namely chip-level buffering, rack/server-level ESSs, facility-level uninterruptible power supply (UPS) systems, and grid-scale battery energy storage systems (BESSs), supplemented by non-battery technologies including fuel cells (FCs) and thermal energy storage (TES). Each layer is analyzed with respect to response timescale, power and energy ratings, operational role, integration challenges, and coordination requirements. Key findings include: (i) AI DC load profiles differ fundamentally from traditional loads in their sub-second variability, making conventional ESS dispatch strategies insufficient; (ii) hierarchical, coordinated ESS deployment across all layers is necessary for effective load smoothing and grid support; and (iii) significant gaps remain in simulation tools, degradation modeling, load forecasting, and optimal multi-layer sizing. This review identifies open research challenges and future directions at the intersection of AI computing infrastructure and power system integration.","DOI":"10.48550/arXiv.2603.00415","note":"arXiv:2603.00415 [eess.SY]","number":"arXiv:2603.00415","publisher":"arXiv","source":"arXiv.org","title":"Grid Integration of AI Data Centers: A Critical Review of Energy Storage Solutions","title-short":"Grid Integration of AI Data Centers","URL":"http://arxiv.org/abs/2603.00415","author":[{"family":"Mohammadi","given":"Sina"},{"family":"Wang","given":"Wayne"},{"family":"Wada","given":"Marcus Chen I."},{"family":"Haghighi","given":"Rouzbeh"},{"family":"Hassan","given":"Ali"},{"family":"Liu","given":"Hualong"},{"family":"Bhatnagar","given":"Archit"},{"family":"Chen","given":"Ang"},{"family":"Su","given":"Wencong"}],"accessed":{"date-parts":[["2026",5,16]]},"issued":{"date-parts":[["2026",5,5]]}}}],"schema":"https://github.com/citation-style-language/schema/raw/master/csl-citation.json"} </w:instrText>
      </w:r>
      <w:r w:rsidR="00AD7884">
        <w:rPr>
          <w:szCs w:val="24"/>
        </w:rPr>
        <w:fldChar w:fldCharType="separate"/>
      </w:r>
      <w:r w:rsidR="00866BB5" w:rsidRPr="00866BB5">
        <w:t>[72]</w:t>
      </w:r>
      <w:r w:rsidR="00AD7884">
        <w:rPr>
          <w:szCs w:val="24"/>
        </w:rPr>
        <w:fldChar w:fldCharType="end"/>
      </w:r>
      <w:r w:rsidR="00833F3E">
        <w:rPr>
          <w:szCs w:val="24"/>
        </w:rPr>
        <w:t>.</w:t>
      </w:r>
      <w:r w:rsidRPr="00C24F3F">
        <w:rPr>
          <w:szCs w:val="24"/>
        </w:rPr>
        <w:t xml:space="preserve"> AI data centers, where training state can be lost during even brief interruptions, require UPS systems to have enough runtime to start-up and synchronize the backup generator, usually 30 to 60 seconds</w:t>
      </w:r>
      <w:r w:rsidR="002A1396">
        <w:rPr>
          <w:szCs w:val="24"/>
        </w:rPr>
        <w:fldChar w:fldCharType="begin"/>
      </w:r>
      <w:r w:rsidR="00866BB5">
        <w:rPr>
          <w:szCs w:val="24"/>
        </w:rPr>
        <w:instrText xml:space="preserve"> ADDIN ZOTERO_ITEM CSL_CITATION {"citationID":"uVqeSVVe","properties":{"unsorted":false,"formattedCitation":"[73]","plainCitation":"[73]","noteIndex":0},"citationItems":[{"id":2025,"uris":["http://zotero.org/users/9870935/items/URLYJFL9"],"itemData":{"id":2025,"type":"article-journal","abstract":"Our research aims to improve energy efficiency in data centres by combining cloud computing infrastructure with machine learning techniques. We propose that dynamic resource assignment, combined with intelligent optimisation of cooling systems, can reduce power waste and operational costs. Real-time sensor data from various data centre components such as servers, cooling systems, and power distribution units is collected and fed into machine learning models for analysis. In this way, we can create power arrangements that are tailored to the resources and needs of various applications. The experimental results show that energy consumption has been reduced by an average of 30% compared to traditional methods. Furthermore, our machine learning models are quite accurate in predicting cooling system performance. For example, an Artificial Neural Network (ANN) has an accuracy rate of 98.78%. This result demonstrates the efficacy of our approach in promoting energy efficiency and operational performance in data centres: it not only provides a scalable, cost-effective solution to industry energy efficiency challenges, but it also improves day-to-day data centre operations by reducing electrical consumption. Our approach, which is based on dynamic allocation of computational resources and real-time data analysis for optimising cooling systems, not only saves energy but also improves operational efficiency. With energy in mind, we must all work towards a more sustainable and green approach to data centre management. Future research can look into other potential optimisations, as well as issues with scalability and application in real-world data centre environments.","container-title":"Journal of Electrical Systems","DOI":"10.52783/jes.1287","ISSN":"1112-5209","issue":"3s","journalAbbreviation":"jes","license":"https://creativecommons.org/licenses/by-nd/4.0","page":"286-293","source":"DOI.org (Crossref)","title":"Optimizing Data Centre Energy Efficiency with Dynamic Resource Allocation and Intelligent Cooling Management through Machine Learning","volume":"20","author":[{"literal":"Niranchana Radhakrishnan"}],"issued":{"date-parts":[["2024",4,4]]}}}],"schema":"https://github.com/citation-style-language/schema/raw/master/csl-citation.json"} </w:instrText>
      </w:r>
      <w:r w:rsidR="002A1396">
        <w:rPr>
          <w:szCs w:val="24"/>
        </w:rPr>
        <w:fldChar w:fldCharType="separate"/>
      </w:r>
      <w:r w:rsidR="00866BB5" w:rsidRPr="00866BB5">
        <w:t>[73]</w:t>
      </w:r>
      <w:r w:rsidR="002A1396">
        <w:rPr>
          <w:szCs w:val="24"/>
        </w:rPr>
        <w:fldChar w:fldCharType="end"/>
      </w:r>
      <w:r w:rsidRPr="00C24F3F">
        <w:rPr>
          <w:szCs w:val="24"/>
        </w:rPr>
        <w:t>.</w:t>
      </w:r>
    </w:p>
    <w:p w14:paraId="6314221F" w14:textId="4BEB3445" w:rsidR="00C24F3F" w:rsidRDefault="00C24F3F" w:rsidP="00866BB5">
      <w:pPr>
        <w:spacing w:after="120"/>
        <w:ind w:firstLine="480"/>
        <w:rPr>
          <w:szCs w:val="24"/>
        </w:rPr>
      </w:pPr>
      <w:r w:rsidRPr="00C24F3F">
        <w:rPr>
          <w:szCs w:val="24"/>
        </w:rPr>
        <w:lastRenderedPageBreak/>
        <w:t>The UPS capacity needed for a 100 MW data center with N+1 redundancy and 20</w:t>
      </w:r>
      <w:r w:rsidR="00FF659B">
        <w:rPr>
          <w:szCs w:val="24"/>
        </w:rPr>
        <w:t xml:space="preserve">% </w:t>
      </w:r>
      <w:r w:rsidRPr="00C24F3F">
        <w:rPr>
          <w:szCs w:val="24"/>
        </w:rPr>
        <w:t>safety margin would be about 144 MVA with a power factor of 0.9</w:t>
      </w:r>
      <w:r w:rsidR="00B9789E">
        <w:rPr>
          <w:szCs w:val="24"/>
        </w:rPr>
        <w:fldChar w:fldCharType="begin"/>
      </w:r>
      <w:r w:rsidR="00866BB5">
        <w:rPr>
          <w:szCs w:val="24"/>
        </w:rPr>
        <w:instrText xml:space="preserve"> ADDIN ZOTERO_ITEM CSL_CITATION {"citationID":"qzNEaqIS","properties":{"unsorted":false,"formattedCitation":"[74]","plainCitation":"[74]","noteIndex":0},"citationItems":[{"id":2027,"uris":["http://zotero.org/users/9870935/items/84JHTAVB"],"itemData":{"id":2027,"type":"article-journal","abstract":"The rapid growth of digital services has intensified the energy demands of data centers, significantly impacting operational costs and global carbon footprints. This study leverages Machine Learning (ML) and Big Data to optimize energy management in data centers, addressing limitations in prior approaches that overlooked real-time variability. A predictive model utilizing the Random Forest algorithm was developed to reduce energy consumption based on dynamic factors, such as workload and environmental conditions like temperature. The research used a six-month dataset consisting of approximately 3 million data points from an operational data center. After preprocessing the data, the model achieved a high predictive accuracy, reflected by an R-squared value of 0.87. The findings demonstrate that the model reduces energy consumption by an average of 11.17% daily, with peak savings of up to 15.56% during off-peak hours. Key metrics, including a Mean Squared Error (MSE) of 0.034 and a Root Mean Squared Error (RMSE) of 0.184, validated the model's effectiveness and reliability. Statistical tests further confirmed its precision within a 95% confidence interval. This study contributes to the academic field by integrating real-time environmental data into predictive modeling, offering a scalable solution for energy-efficient data center operations. The outcomes support sustainability initiatives by mitigating carbon emissions and reducing operational costs. The findings also provide a framework for applying ML in broader industrial contexts requiring efficient energy management. Future research may explore incorporating additional variables, such as user behavior, to further refine predictive capabilities.","container-title":"Journal of Technology Informatics and Engineering","DOI":"10.51903/jtie.v3i3.202","ISSN":"2961-8215, 2961-9068","issue":"3","journalAbbreviation":"JTIE","license":"https://creativecommons.org/licenses/by-sa/4.0","page":"324-336","source":"DOI.org (Crossref)","title":"The Use of Machine Learning for Efficient Energy Management in Big Data-Based Computing Systems","volume":"3","author":[{"family":"Putra","given":"Toni Wijanarko Adi"},{"family":"Setiawan","given":"Nuris Dwi"},{"family":"Rusito","given":"Rusito"}],"issued":{"date-parts":[["2024",12,24]]}}}],"schema":"https://github.com/citation-style-language/schema/raw/master/csl-citation.json"} </w:instrText>
      </w:r>
      <w:r w:rsidR="00B9789E">
        <w:rPr>
          <w:szCs w:val="24"/>
        </w:rPr>
        <w:fldChar w:fldCharType="separate"/>
      </w:r>
      <w:r w:rsidR="00866BB5" w:rsidRPr="00866BB5">
        <w:t>[74]</w:t>
      </w:r>
      <w:r w:rsidR="00B9789E">
        <w:rPr>
          <w:szCs w:val="24"/>
        </w:rPr>
        <w:fldChar w:fldCharType="end"/>
      </w:r>
      <w:r w:rsidRPr="00C24F3F">
        <w:rPr>
          <w:szCs w:val="24"/>
        </w:rPr>
        <w:t>. The choice of the double-conversion (online), line-interactive, and standby (offline) UPS topologies depends on the criticality of the load. Data center AI training and inference workloads are typically designed with double-conversion topology, ensuring full protection from input power disturbances</w:t>
      </w:r>
      <w:r w:rsidR="00DF2596">
        <w:rPr>
          <w:szCs w:val="24"/>
        </w:rPr>
        <w:fldChar w:fldCharType="begin"/>
      </w:r>
      <w:r w:rsidR="00866BB5">
        <w:rPr>
          <w:szCs w:val="24"/>
        </w:rPr>
        <w:instrText xml:space="preserve"> ADDIN ZOTERO_ITEM CSL_CITATION {"citationID":"WYKaySkz","properties":{"unsorted":false,"formattedCitation":"[75]","plainCitation":"[75]","noteIndex":0},"citationItems":[{"id":2030,"uris":["http://zotero.org/users/9870935/items/UI369LDD"],"itemData":{"id":2030,"type":"post-weblog","title":"Electrical Energy Storage","URL":"https://iec.ch/system/files/2019-09/content/media/files/iec_wp-electrical_energy_storage-en.pdf","author":[{"family":"IEC","given":""}]}}],"schema":"https://github.com/citation-style-language/schema/raw/master/csl-citation.json"} </w:instrText>
      </w:r>
      <w:r w:rsidR="00DF2596">
        <w:rPr>
          <w:szCs w:val="24"/>
        </w:rPr>
        <w:fldChar w:fldCharType="separate"/>
      </w:r>
      <w:r w:rsidR="00866BB5" w:rsidRPr="00866BB5">
        <w:t>[75]</w:t>
      </w:r>
      <w:r w:rsidR="00DF2596">
        <w:rPr>
          <w:szCs w:val="24"/>
        </w:rPr>
        <w:fldChar w:fldCharType="end"/>
      </w:r>
      <w:r w:rsidRPr="00C24F3F">
        <w:rPr>
          <w:szCs w:val="24"/>
        </w:rPr>
        <w:t>.</w:t>
      </w:r>
    </w:p>
    <w:p w14:paraId="60A5D392" w14:textId="6E921909" w:rsidR="00B92CC3" w:rsidRPr="00C24F3F" w:rsidRDefault="00B92CC3" w:rsidP="00866BB5">
      <w:pPr>
        <w:spacing w:after="120"/>
        <w:ind w:firstLine="480"/>
        <w:rPr>
          <w:szCs w:val="24"/>
        </w:rPr>
      </w:pPr>
      <w:r w:rsidRPr="00B92CC3">
        <w:rPr>
          <w:szCs w:val="24"/>
        </w:rPr>
        <w:t>The most widely used backup power system for data centers is a diesel generator, which is sized based on the peak facility load with an updated safety capacity utilization buffer of 15</w:t>
      </w:r>
      <w:r>
        <w:rPr>
          <w:szCs w:val="24"/>
        </w:rPr>
        <w:t>-</w:t>
      </w:r>
      <w:r w:rsidRPr="00B92CC3">
        <w:rPr>
          <w:szCs w:val="24"/>
        </w:rPr>
        <w:t>25% to effectively suppress severe localized voltage fluctuation</w:t>
      </w:r>
      <w:r>
        <w:rPr>
          <w:szCs w:val="24"/>
        </w:rPr>
        <w:t xml:space="preserve"> </w:t>
      </w:r>
      <w:r w:rsidRPr="00B92CC3">
        <w:rPr>
          <w:szCs w:val="24"/>
        </w:rPr>
        <w:t>caused by sudden load increases from AI inference workloads and power-electronic harmonic distortion</w:t>
      </w:r>
      <w:r w:rsidR="008E5F30">
        <w:rPr>
          <w:szCs w:val="24"/>
        </w:rPr>
        <w:t>.</w:t>
      </w:r>
      <w:r w:rsidR="00416183">
        <w:rPr>
          <w:szCs w:val="24"/>
        </w:rPr>
        <w:t xml:space="preserve"> </w:t>
      </w:r>
      <w:r w:rsidRPr="00B92CC3">
        <w:rPr>
          <w:szCs w:val="24"/>
        </w:rPr>
        <w:t>For a 100 MW hyperscale generator size configuration, the size of each generator is typically between 20 and 30 MW, and they are arranged in parallel across multiple isolated dual-bus distribution paths to ensure redundant N+1 or 2N topology benchmarks</w:t>
      </w:r>
      <w:r w:rsidR="00416183">
        <w:rPr>
          <w:szCs w:val="24"/>
        </w:rPr>
        <w:fldChar w:fldCharType="begin"/>
      </w:r>
      <w:r w:rsidR="00866BB5">
        <w:rPr>
          <w:szCs w:val="24"/>
        </w:rPr>
        <w:instrText xml:space="preserve"> ADDIN ZOTERO_ITEM CSL_CITATION {"citationID":"VffnOBvN","properties":{"unsorted":false,"formattedCitation":"[76]","plainCitation":"[76]","noteIndex":0},"citationItems":[{"id":2031,"uris":["http://zotero.org/users/9870935/items/AC53WR7L"],"itemData":{"id":2031,"type":"article-journal","abstract":"The demand for computing power has increased at a rate never seen before due to the quick development of artificial intelligence (AI) technologies and applications. Consequently, AI data centers, referring to computing facilities specifically designed for large-scale artificial intelligence workloads, have become one of the fastest-growing electricity consumers globally. Therefore, it is essential to understand the load characteristics of AI data centers and their impact on the grid. This paper provides a comprehensive review of the evolving energy landscape of AI data centers. Specifically, this paper (i) presents the energy consumption structure in AI data centers and analyzes the key workload features and patterns in four stages, emphasizing how high power density, temporal variability, and cooling requirements shape total energy use, (ii) examines the impacts of AI data centers for power systems, including impacts on grid stability, reliability and power quality, electricity markets and pricing, economic dispatch and reserve scheduling, and infrastructure planning and coordination, (iii) presents key technological, operational and sustainability challenges for AI data centers, including renewable energy integration, waste heat utilization, carbon-neutral operation, and water–energy nexus constraints, (iv) evaluates emerging solutions and opportunities, spanning grid-side measures, data-center-side strategies, and user-side demand-flexibility mechanisms, (v) identifies future research priorities and policy directions to enable the sustainable co-evolution of AI infrastructure and electric power systems. The review aims to support utilities, system operators, and researchers in maintaining reliable, resilient, and sustainable grid operation in the context of the rapid development of AI data centers.","container-title":"Energies","DOI":"10.3390/en19030722","ISSN":"1996-1073","issue":"3","journalAbbreviation":"Energies","language":"en","page":"722","source":"DOI.org (Crossref)","title":"Power for AI Data Centers: Energy Demand, Grid Impacts, Challenges and Perspectives","title-short":"Power for AI Data Centers","volume":"19","author":[{"family":"Sheng","given":"Yu"},{"family":"Zhang","given":"Chenxuan"},{"family":"Zhu","given":"Zixuan"},{"family":"Xu","given":"Hongyi"},{"family":"Wen","given":"Junqi"},{"family":"Wang","given":"Ruoheng"},{"family":"Yang","given":"Jianjun"},{"family":"Wang","given":"Qin"},{"family":"Bu","given":"Siqi"}],"issued":{"date-parts":[["2026",1,29]]}}}],"schema":"https://github.com/citation-style-language/schema/raw/master/csl-citation.json"} </w:instrText>
      </w:r>
      <w:r w:rsidR="00416183">
        <w:rPr>
          <w:szCs w:val="24"/>
        </w:rPr>
        <w:fldChar w:fldCharType="separate"/>
      </w:r>
      <w:r w:rsidR="00866BB5" w:rsidRPr="00866BB5">
        <w:t>[76]</w:t>
      </w:r>
      <w:r w:rsidR="00416183">
        <w:rPr>
          <w:szCs w:val="24"/>
        </w:rPr>
        <w:fldChar w:fldCharType="end"/>
      </w:r>
      <w:r w:rsidRPr="00B92CC3">
        <w:rPr>
          <w:szCs w:val="24"/>
        </w:rPr>
        <w:t>. Despite the proven efficiency of diesel generators, they generate very high levels of nitrogen oxides (NOx) during routine testing, up to 12 metric tons per year per hyperscale facility, having a direct impact on urban air quality margins and increasing the pace of reaching localized greenhouse gas thresholds</w:t>
      </w:r>
      <w:r w:rsidR="001530DD">
        <w:rPr>
          <w:szCs w:val="24"/>
        </w:rPr>
        <w:fldChar w:fldCharType="begin"/>
      </w:r>
      <w:r w:rsidR="00866BB5">
        <w:rPr>
          <w:szCs w:val="24"/>
        </w:rPr>
        <w:instrText xml:space="preserve"> ADDIN ZOTERO_ITEM CSL_CITATION {"citationID":"MhrzpTJ3","properties":{"unsorted":false,"formattedCitation":"[77]","plainCitation":"[77]","noteIndex":0},"citationItems":[{"id":2032,"uris":["http://zotero.org/users/9870935/items/3SYSZCVP"],"itemData":{"id":2032,"type":"article","abstract":"This study assesses air quality (AQ) and greenhouse gas (GHG) emissions from the rapid expansion of data centers in Texas, a major hub due to infrastructure, electricity markets, and business conditions. AQ impacts were separated from GHG emissions to clarify sources, regulations, and mitigation strategies. Electricity consumption and cooling systems dominate GHG emissions, with a 10 megawatt data center generating about 37,668 metric tons CO2 annually, while construction materials and IT equipment add substantial embodied emissions. Local AQ impacts, often overlooked, arise from diesel backup generators, construction equipment, and commuting. Generator testing alone can emit about 12 metric tons of NOx annually per facility, worsening ozone issues in regions such as Houston and Dallas-Fort Worth. Mitigation strategies include advanced cooling, renewable energy procurement, cleaner backup power (fuel cells, batteries), sustainable construction, and standardized reporting. ERCOT forecasts project 39 to 78 gigawatts of new data center load by 2030, potentially leading to 170 to 205 million metric tons of annual CO2 emissions. Aggressive adoption of renewables and advanced technologies could cut emissions by 50 to 80 percent, avoiding 85 to 165 million metric tons of CO2. The study identifies research and policy gaps, including the need for cumulative air dispersion modeling, AQ-specific regulations, and mandatory efficiency standards. Findings underscore the importance of aligning Texas digital infrastructure growth with environmental and community health protections.","DOI":"10.48550/ARXIV.2509.21312","license":"arXiv.org perpetual, non-exclusive license","note":"version: 1","publisher":"arXiv","source":"DOI.org (Datacite)","title":"Air Quality and Greenhouse Gas Emissions Assessment of Data Centers in Texas: Quantifying Impacts and Environmental Tradeoffs","title-short":"Air Quality and Greenhouse Gas Emissions Assessment of Data Centers in Texas","URL":"https://arxiv.org/abs/2509.21312","author":[{"family":"Eslami","given":"Ebrahim"}],"accessed":{"date-parts":[["2026",5,16]]},"issued":{"date-parts":[["2025"]]}}}],"schema":"https://github.com/citation-style-language/schema/raw/master/csl-citation.json"} </w:instrText>
      </w:r>
      <w:r w:rsidR="001530DD">
        <w:rPr>
          <w:szCs w:val="24"/>
        </w:rPr>
        <w:fldChar w:fldCharType="separate"/>
      </w:r>
      <w:r w:rsidR="00866BB5" w:rsidRPr="00866BB5">
        <w:t>[77]</w:t>
      </w:r>
      <w:r w:rsidR="001530DD">
        <w:rPr>
          <w:szCs w:val="24"/>
        </w:rPr>
        <w:fldChar w:fldCharType="end"/>
      </w:r>
      <w:r w:rsidRPr="00B92CC3">
        <w:rPr>
          <w:szCs w:val="24"/>
        </w:rPr>
        <w:t>. As a result, the industry is moving into new directions of cleaner fuels, growing interest in natural gas generators at utility scale, and grid integration of hydrogen fuel cell systems that not only provide onsite mission-critical backup power but now deliver fast-frequency ancillary services back to the main grid as well</w:t>
      </w:r>
      <w:r w:rsidR="002B39C3">
        <w:rPr>
          <w:szCs w:val="24"/>
        </w:rPr>
        <w:t>.</w:t>
      </w:r>
    </w:p>
    <w:p w14:paraId="5A9595BA" w14:textId="4A4E7B67" w:rsidR="002B39C3" w:rsidRDefault="002B39C3" w:rsidP="002B39C3">
      <w:pPr>
        <w:pStyle w:val="Heading20"/>
        <w:rPr>
          <w:color w:val="auto"/>
        </w:rPr>
      </w:pPr>
      <w:r>
        <w:rPr>
          <w:color w:val="auto"/>
        </w:rPr>
        <w:t>3.</w:t>
      </w:r>
      <w:r w:rsidR="006A6861">
        <w:rPr>
          <w:color w:val="auto"/>
        </w:rPr>
        <w:t>4</w:t>
      </w:r>
      <w:r>
        <w:rPr>
          <w:color w:val="auto"/>
        </w:rPr>
        <w:t>. Colling System Integration</w:t>
      </w:r>
    </w:p>
    <w:p w14:paraId="44D3E3A2" w14:textId="7DA17BBB" w:rsidR="007D6A70" w:rsidRPr="007D6A70" w:rsidRDefault="007D6A70" w:rsidP="00866BB5">
      <w:pPr>
        <w:spacing w:after="120"/>
        <w:ind w:firstLine="480"/>
        <w:rPr>
          <w:szCs w:val="24"/>
        </w:rPr>
      </w:pPr>
      <w:r w:rsidRPr="007D6A70">
        <w:rPr>
          <w:szCs w:val="24"/>
        </w:rPr>
        <w:t>Cooling systems are a crucial connection point between electrical and thermal management in AI data centers. Cooling load and electrical energy consumption are roughly proportional, with the coefficient of performance (COP) of the cooling system dictating the number of watts of cooling for every watt of electricity consumed (typically around 2.5 to 4)</w:t>
      </w:r>
      <w:r w:rsidR="000642A3">
        <w:rPr>
          <w:szCs w:val="24"/>
        </w:rPr>
        <w:fldChar w:fldCharType="begin"/>
      </w:r>
      <w:r w:rsidR="00866BB5">
        <w:rPr>
          <w:szCs w:val="24"/>
        </w:rPr>
        <w:instrText xml:space="preserve"> ADDIN ZOTERO_ITEM CSL_CITATION {"citationID":"JmbelhlJ","properties":{"unsorted":false,"formattedCitation":"[78]","plainCitation":"[78]","noteIndex":0},"citationItems":[{"id":2035,"uris":["http://zotero.org/users/9870935/items/QTGJSYMV"],"itemData":{"id":2035,"type":"article-journal","container-title":"Building and Environment","DOI":"10.1016/j.buildenv.2021.108741","ISSN":"03601323","journalAbbreviation":"Building and Environment","language":"en","page":"108741","source":"DOI.org (Crossref)","title":"Experimental and numerical study on the thermal environment of a data center","volume":"212","author":[{"family":"Tang","given":"Yu"},{"family":"Bai","given":"Xuelian"},{"family":"Jin","given":"Chaoqiang"},{"family":"Fu","given":"Yusen"},{"family":"Mao","given":"Wangxin"},{"family":"Xu","given":"Xin"}],"issued":{"date-parts":[["2022",3]]}}}],"schema":"https://github.com/citation-style-language/schema/raw/master/csl-citation.json"} </w:instrText>
      </w:r>
      <w:r w:rsidR="000642A3">
        <w:rPr>
          <w:szCs w:val="24"/>
        </w:rPr>
        <w:fldChar w:fldCharType="separate"/>
      </w:r>
      <w:r w:rsidR="00866BB5" w:rsidRPr="00866BB5">
        <w:t>[78]</w:t>
      </w:r>
      <w:r w:rsidR="000642A3">
        <w:rPr>
          <w:szCs w:val="24"/>
        </w:rPr>
        <w:fldChar w:fldCharType="end"/>
      </w:r>
      <w:r w:rsidRPr="007D6A70">
        <w:rPr>
          <w:szCs w:val="24"/>
        </w:rPr>
        <w:t>. Cooling consumption can be as high as 30-40</w:t>
      </w:r>
      <w:r w:rsidR="006A6861">
        <w:rPr>
          <w:szCs w:val="24"/>
        </w:rPr>
        <w:t xml:space="preserve">% </w:t>
      </w:r>
      <w:r w:rsidRPr="007D6A70">
        <w:rPr>
          <w:szCs w:val="24"/>
        </w:rPr>
        <w:t>of the total facility energy cost for traditional air-cooled data centers, which can have PUE values of greater than 1.3</w:t>
      </w:r>
      <w:r w:rsidR="00F36463">
        <w:rPr>
          <w:szCs w:val="24"/>
        </w:rPr>
        <w:fldChar w:fldCharType="begin"/>
      </w:r>
      <w:r w:rsidR="00F36463">
        <w:rPr>
          <w:szCs w:val="24"/>
        </w:rPr>
        <w:instrText xml:space="preserve"> ADDIN ZOTERO_ITEM CSL_CITATION {"citationID":"5AIbgttz","properties":{"unsorted":false,"formattedCitation":"[32]","plainCitation":"[32]","noteIndex":0},"citationItems":[{"id":1962,"uris":["http://zotero.org/users/9870935/items/CJR355SS"],"itemData":{"id":1962,"type":"article-journal","container-title":"Sustainable Energy Technologies and Assessments","DOI":"10.1016/j.seta.2025.104511","ISSN":"22131388","journalAbbreviation":"Sustainable Energy Technologies and Assessments","language":"en","page":"104511","source":"DOI.org (Crossref)","title":"AI-driven cooling technologies for high-performance data centres: state-of-the-art review and future directions","title-short":"AI-driven cooling technologies for high-performance data centres","volume":"82","author":[{"family":"Al Kez","given":"Dlzar"},{"family":"Foley","given":"Aoife M"},{"family":"Hasan Wong","given":"Fadhli Wong B.M."},{"family":"Dolfi","given":"Andrea"},{"family":"Srinivasan","given":"Geetha"}],"issued":{"date-parts":[["2025",10]]}}}],"schema":"https://github.com/citation-style-language/schema/raw/master/csl-citation.json"} </w:instrText>
      </w:r>
      <w:r w:rsidR="00F36463">
        <w:rPr>
          <w:szCs w:val="24"/>
        </w:rPr>
        <w:fldChar w:fldCharType="separate"/>
      </w:r>
      <w:r w:rsidR="00F36463" w:rsidRPr="00F36463">
        <w:t>[32]</w:t>
      </w:r>
      <w:r w:rsidR="00F36463">
        <w:rPr>
          <w:szCs w:val="24"/>
        </w:rPr>
        <w:fldChar w:fldCharType="end"/>
      </w:r>
      <w:r w:rsidRPr="007D6A70">
        <w:rPr>
          <w:szCs w:val="24"/>
        </w:rPr>
        <w:t>. Immersion cooling provides 30</w:t>
      </w:r>
      <w:r w:rsidR="00F36463">
        <w:rPr>
          <w:szCs w:val="24"/>
        </w:rPr>
        <w:t>-</w:t>
      </w:r>
      <w:r w:rsidRPr="007D6A70">
        <w:rPr>
          <w:szCs w:val="24"/>
        </w:rPr>
        <w:t>50</w:t>
      </w:r>
      <w:r w:rsidR="00F36463">
        <w:rPr>
          <w:szCs w:val="24"/>
        </w:rPr>
        <w:t xml:space="preserve">% </w:t>
      </w:r>
      <w:r w:rsidRPr="007D6A70">
        <w:rPr>
          <w:szCs w:val="24"/>
        </w:rPr>
        <w:t>reduction in cooling energy by taking advantage of the superior heat transfer properties of liquids over air, and can be implemented in a variety of ways such as direct-to-chip cold plates, rack-level cooling loops, and full immersion cooling</w:t>
      </w:r>
      <w:r w:rsidR="00BA2BA6">
        <w:rPr>
          <w:szCs w:val="24"/>
        </w:rPr>
        <w:fldChar w:fldCharType="begin"/>
      </w:r>
      <w:r w:rsidR="00BA2BA6">
        <w:rPr>
          <w:szCs w:val="24"/>
        </w:rPr>
        <w:instrText xml:space="preserve"> ADDIN ZOTERO_ITEM CSL_CITATION {"citationID":"MLSQB9UF","properties":{"unsorted":false,"formattedCitation":"[34]","plainCitation":"[34]","noteIndex":0},"citationItems":[{"id":1964,"uris":["http://zotero.org/users/9870935/items/97W4FH39"],"itemData":{"id":1964,"type":"article-journal","container-title":"Applied Thermal Engineering","DOI":"10.1016/j.applthermaleng.2024.123112","ISSN":"13594311","journalAbbreviation":"Applied Thermal Engineering","language":"en","page":"123112","source":"DOI.org (Crossref)","title":"Liquid cooling of data centers: A necessity facing challenges","title-short":"Liquid cooling of data centers","volume":"247","author":[{"family":"Azarifar","given":"Mohammad"},{"family":"Arik","given":"Mehmet"},{"family":"Chang","given":"Je-Young"}],"issued":{"date-parts":[["2024",6]]}}}],"schema":"https://github.com/citation-style-language/schema/raw/master/csl-citation.json"} </w:instrText>
      </w:r>
      <w:r w:rsidR="00BA2BA6">
        <w:rPr>
          <w:szCs w:val="24"/>
        </w:rPr>
        <w:fldChar w:fldCharType="separate"/>
      </w:r>
      <w:r w:rsidR="00BA2BA6" w:rsidRPr="00BA2BA6">
        <w:t>[34]</w:t>
      </w:r>
      <w:r w:rsidR="00BA2BA6">
        <w:rPr>
          <w:szCs w:val="24"/>
        </w:rPr>
        <w:fldChar w:fldCharType="end"/>
      </w:r>
      <w:r w:rsidRPr="007D6A70">
        <w:rPr>
          <w:szCs w:val="24"/>
        </w:rPr>
        <w:t>.</w:t>
      </w:r>
    </w:p>
    <w:p w14:paraId="516231D3" w14:textId="3976A691" w:rsidR="00525D68" w:rsidRDefault="007D6A70" w:rsidP="00866BB5">
      <w:pPr>
        <w:spacing w:after="120"/>
        <w:ind w:firstLine="480"/>
        <w:rPr>
          <w:szCs w:val="24"/>
        </w:rPr>
      </w:pPr>
      <w:r w:rsidRPr="007D6A70">
        <w:rPr>
          <w:szCs w:val="24"/>
        </w:rPr>
        <w:t>In suitable climates, significant energy savings can be realized by using a free cooling system, which utilizes the ambient atmospheric temperature to supply cooling without mechanical refrigeration. In temperate climates, economizer systems can deliver free cooling for 3000 to 6000 hours per year, cutting energy consumption for chillers by 40</w:t>
      </w:r>
      <w:r w:rsidR="00BC0E93">
        <w:rPr>
          <w:szCs w:val="24"/>
        </w:rPr>
        <w:t>-</w:t>
      </w:r>
      <w:r w:rsidRPr="007D6A70">
        <w:rPr>
          <w:szCs w:val="24"/>
        </w:rPr>
        <w:t>70</w:t>
      </w:r>
      <w:r w:rsidR="00BC0E93">
        <w:rPr>
          <w:szCs w:val="24"/>
        </w:rPr>
        <w:t xml:space="preserve">% </w:t>
      </w:r>
      <w:r w:rsidRPr="007D6A70">
        <w:rPr>
          <w:szCs w:val="24"/>
        </w:rPr>
        <w:t>during those hours</w:t>
      </w:r>
      <w:r w:rsidR="00721E74">
        <w:rPr>
          <w:szCs w:val="24"/>
        </w:rPr>
        <w:fldChar w:fldCharType="begin"/>
      </w:r>
      <w:r w:rsidR="00866BB5">
        <w:rPr>
          <w:szCs w:val="24"/>
        </w:rPr>
        <w:instrText xml:space="preserve"> ADDIN ZOTERO_ITEM CSL_CITATION {"citationID":"3wFuVfzc","properties":{"unsorted":false,"formattedCitation":"[79]","plainCitation":"[79]","noteIndex":0},"citationItems":[{"id":2036,"uris":["http://zotero.org/users/9870935/items/2KMJ9H69"],"itemData":{"id":2036,"type":"paper-conference","container-title":"2011 IEEE Third International Conference on Cloud Computing Technology and Science","DOI":"10.1109/CloudCom.2011.100","event-title":"2011 IEEE 3rd International Conference on Cloud Computing Technology and Science (CloudCom)","ISBN":"978-1-4673-0090-2","page":"646-651","publisher":"IEEE","publisher-place":"Athens, Greece","source":"DOI.org (Crossref)","title":"Energy Efficient Free Cooling System for Data Centers","URL":"http://ieeexplore.ieee.org/document/6133209/","author":[{"family":"D.","given":"Christy Sujatha"},{"family":"Abimannan","given":"Satheesh"}],"accessed":{"date-parts":[["2026",5,16]]},"issued":{"date-parts":[["2011",11]]}}}],"schema":"https://github.com/citation-style-language/schema/raw/master/csl-citation.json"} </w:instrText>
      </w:r>
      <w:r w:rsidR="00721E74">
        <w:rPr>
          <w:szCs w:val="24"/>
        </w:rPr>
        <w:fldChar w:fldCharType="separate"/>
      </w:r>
      <w:r w:rsidR="00866BB5" w:rsidRPr="00866BB5">
        <w:t>[79]</w:t>
      </w:r>
      <w:r w:rsidR="00721E74">
        <w:rPr>
          <w:szCs w:val="24"/>
        </w:rPr>
        <w:fldChar w:fldCharType="end"/>
      </w:r>
      <w:r w:rsidRPr="007D6A70">
        <w:rPr>
          <w:szCs w:val="24"/>
        </w:rPr>
        <w:t xml:space="preserve">. Thermal energy storage (TES) systems, particularly ice storage, allow the shifting of cooling loads when electricity demand is high and/or renewables are plentiful by freezing water when electricity prices are low, and release it during periods of high cooling demand and electricity prices.Thermal energy storage (TES) systems, specifically ice storage, can be used to shift cooling loads when electricity demand is high, and/or when </w:t>
      </w:r>
      <w:r w:rsidRPr="007D6A70">
        <w:rPr>
          <w:szCs w:val="24"/>
        </w:rPr>
        <w:lastRenderedPageBreak/>
        <w:t>renewables are abundant, by freezing water when electricity prices are low, and melting when electricity prices are high, and cooling loads are high</w:t>
      </w:r>
      <w:r w:rsidR="00D43001">
        <w:rPr>
          <w:szCs w:val="24"/>
        </w:rPr>
        <w:fldChar w:fldCharType="begin"/>
      </w:r>
      <w:r w:rsidR="00866BB5">
        <w:rPr>
          <w:szCs w:val="24"/>
        </w:rPr>
        <w:instrText xml:space="preserve"> ADDIN ZOTERO_ITEM CSL_CITATION {"citationID":"z2ZjfPrB","properties":{"unsorted":false,"formattedCitation":"[80]","plainCitation":"[80]","noteIndex":0},"citationItems":[{"id":2039,"uris":["http://zotero.org/users/9870935/items/LBRIR3DS"],"itemData":{"id":2039,"type":"article-journal","container-title":"Applied Thermal Engineering","DOI":"10.1016/j.applthermaleng.2024.122439","ISSN":"13594311","journalAbbreviation":"Applied Thermal Engineering","language":"en","page":"122439","source":"DOI.org (Crossref)","title":"Coupling of flexible phase change materials and servers for improving the security of data centers in emergency situations","volume":"242","author":[{"family":"Yuan","given":"Jianjuan"},{"family":"Yan","given":"Yuyao"},{"family":"Zhang","given":"Xuemei"},{"family":"Kong","given":"Xiangfei"},{"family":"Zhang","given":"Tao"}],"issued":{"date-parts":[["2024",4]]}}}],"schema":"https://github.com/citation-style-language/schema/raw/master/csl-citation.json"} </w:instrText>
      </w:r>
      <w:r w:rsidR="00D43001">
        <w:rPr>
          <w:szCs w:val="24"/>
        </w:rPr>
        <w:fldChar w:fldCharType="separate"/>
      </w:r>
      <w:r w:rsidR="00866BB5" w:rsidRPr="00866BB5">
        <w:t>[80]</w:t>
      </w:r>
      <w:r w:rsidR="00D43001">
        <w:rPr>
          <w:szCs w:val="24"/>
        </w:rPr>
        <w:fldChar w:fldCharType="end"/>
      </w:r>
      <w:r w:rsidRPr="007D6A70">
        <w:rPr>
          <w:szCs w:val="24"/>
        </w:rPr>
        <w:t>.</w:t>
      </w:r>
    </w:p>
    <w:p w14:paraId="3F8BA39F" w14:textId="570353B7" w:rsidR="0068505A" w:rsidRDefault="0068505A" w:rsidP="0068505A">
      <w:pPr>
        <w:pStyle w:val="Heading20"/>
        <w:rPr>
          <w:color w:val="auto"/>
        </w:rPr>
      </w:pPr>
      <w:r>
        <w:rPr>
          <w:color w:val="auto"/>
        </w:rPr>
        <w:t xml:space="preserve">3.5. </w:t>
      </w:r>
      <w:r w:rsidR="00C74BA1">
        <w:rPr>
          <w:color w:val="auto"/>
        </w:rPr>
        <w:t>Power Quality and Harmonic Analysis</w:t>
      </w:r>
    </w:p>
    <w:p w14:paraId="153579BA" w14:textId="49C27622" w:rsidR="0068505A" w:rsidRDefault="00145C6F" w:rsidP="00866BB5">
      <w:pPr>
        <w:spacing w:after="120"/>
        <w:ind w:firstLine="480"/>
        <w:rPr>
          <w:szCs w:val="24"/>
        </w:rPr>
      </w:pPr>
      <w:r w:rsidRPr="00145C6F">
        <w:rPr>
          <w:szCs w:val="24"/>
        </w:rPr>
        <w:t>Harmonic currents create voltage waveshapes which are distorted from their ideal sinusoidal nature in non-linear loads within a data center, resulting in equipment malfunction, loss of efficiency, and early failure. The main sources of harmonics are switched-mode power supplies (SMPS) in servers and networking devices, variable frequency drives (VFDs) in cooling systems, and LED lighting drivers</w:t>
      </w:r>
      <w:r w:rsidR="00195B91">
        <w:rPr>
          <w:szCs w:val="24"/>
        </w:rPr>
        <w:fldChar w:fldCharType="begin"/>
      </w:r>
      <w:r w:rsidR="00866BB5">
        <w:rPr>
          <w:szCs w:val="24"/>
        </w:rPr>
        <w:instrText xml:space="preserve"> ADDIN ZOTERO_ITEM CSL_CITATION {"citationID":"NUYFmlEf","properties":{"unsorted":false,"formattedCitation":"[81]","plainCitation":"[81]","noteIndex":0},"citationItems":[{"id":2038,"uris":["http://zotero.org/users/9870935/items/D5TG8H74"],"itemData":{"id":2038,"type":"standard","DOI":"10.1109/IEEESTD.1999.90559","ISBN":"978-0-7381-1661-7","publisher":"IEEE","source":"DOI.org (Crossref)","title":"IEEE Recommended Practice for Powering and Grounding Electronic Equipment","URL":"http://ieeexplore.ieee.org/document/798784/","accessed":{"date-parts":[["2026",5,17]]}}}],"schema":"https://github.com/citation-style-language/schema/raw/master/csl-citation.json"} </w:instrText>
      </w:r>
      <w:r w:rsidR="00195B91">
        <w:rPr>
          <w:szCs w:val="24"/>
        </w:rPr>
        <w:fldChar w:fldCharType="separate"/>
      </w:r>
      <w:r w:rsidR="00866BB5" w:rsidRPr="00866BB5">
        <w:t>[81]</w:t>
      </w:r>
      <w:r w:rsidR="00195B91">
        <w:rPr>
          <w:szCs w:val="24"/>
        </w:rPr>
        <w:fldChar w:fldCharType="end"/>
      </w:r>
      <w:r w:rsidRPr="00145C6F">
        <w:rPr>
          <w:szCs w:val="24"/>
        </w:rPr>
        <w:t>. According to IEEE 519-2022, the maximum allowed total harmonic distortion (THD) at the point of common coupling (PCC) is 5</w:t>
      </w:r>
      <w:r w:rsidR="005A4C37">
        <w:rPr>
          <w:szCs w:val="24"/>
        </w:rPr>
        <w:t>%</w:t>
      </w:r>
      <w:r w:rsidRPr="00145C6F">
        <w:rPr>
          <w:szCs w:val="24"/>
        </w:rPr>
        <w:t>, while the limits for the individual harmonics range from 3</w:t>
      </w:r>
      <w:r w:rsidR="005A4C37">
        <w:rPr>
          <w:szCs w:val="24"/>
        </w:rPr>
        <w:t xml:space="preserve">% </w:t>
      </w:r>
      <w:r w:rsidRPr="00145C6F">
        <w:rPr>
          <w:szCs w:val="24"/>
        </w:rPr>
        <w:t>for lower-order harmonics to lower limits for higher-order harmonics</w:t>
      </w:r>
      <w:r w:rsidR="005A4C37">
        <w:rPr>
          <w:szCs w:val="24"/>
        </w:rPr>
        <w:fldChar w:fldCharType="begin"/>
      </w:r>
      <w:r w:rsidR="005A4C37">
        <w:rPr>
          <w:szCs w:val="24"/>
        </w:rPr>
        <w:instrText xml:space="preserve"> ADDIN ZOTERO_ITEM CSL_CITATION {"citationID":"JXeXKsrb","properties":{"unsorted":false,"formattedCitation":"[22]","plainCitation":"[22]","noteIndex":0},"citationItems":[{"id":1944,"uris":["http://zotero.org/users/9870935/items/XZS2JQRQ"],"itemData":{"id":1944,"type":"standard","DOI":"10.1109/IEEESTD.2022.9848440","ISBN":"978-1-5044-8727-6","license":"https://doi.org/10.15223/policy-029","publisher":"IEEE","source":"DOI.org (Crossref)","title":"IEEE Standard for Harmonic Control in Electric Power Systems","URL":"https://ieeexplore.ieee.org/document/9848440/","accessed":{"date-parts":[["2026",5,10]]}}}],"schema":"https://github.com/citation-style-language/schema/raw/master/csl-citation.json"} </w:instrText>
      </w:r>
      <w:r w:rsidR="005A4C37">
        <w:rPr>
          <w:szCs w:val="24"/>
        </w:rPr>
        <w:fldChar w:fldCharType="separate"/>
      </w:r>
      <w:r w:rsidR="005A4C37" w:rsidRPr="005A4C37">
        <w:t>[22]</w:t>
      </w:r>
      <w:r w:rsidR="005A4C37">
        <w:rPr>
          <w:szCs w:val="24"/>
        </w:rPr>
        <w:fldChar w:fldCharType="end"/>
      </w:r>
      <w:r w:rsidRPr="00145C6F">
        <w:rPr>
          <w:szCs w:val="24"/>
        </w:rPr>
        <w:t>. Passive filters (tuned LC circuits targeting specific harmonic orders), active power filters (APFs) that inject compensating currents to cancel harmonic distortion, and system level solutions, such as 12-pulse or 18-pulse rectifier configurations that naturally cancel lower order harmonics</w:t>
      </w:r>
      <w:r w:rsidR="00C80B29">
        <w:rPr>
          <w:szCs w:val="24"/>
        </w:rPr>
        <w:fldChar w:fldCharType="begin"/>
      </w:r>
      <w:r w:rsidR="00866BB5">
        <w:rPr>
          <w:szCs w:val="24"/>
        </w:rPr>
        <w:instrText xml:space="preserve"> ADDIN ZOTERO_ITEM CSL_CITATION {"citationID":"Mv0Kakcm","properties":{"unsorted":false,"formattedCitation":"[82]","plainCitation":"[82]","noteIndex":0},"citationItems":[{"id":2041,"uris":["http://zotero.org/users/9870935/items/QAAMKLCE"],"itemData":{"id":2041,"type":"article-journal","language":"en","source":"Zotero","title":"Active Power Filters for Harmonic Mitigation in Power Systems","author":[{"family":"Siddique","given":"Riashad"}]}}],"schema":"https://github.com/citation-style-language/schema/raw/master/csl-citation.json"} </w:instrText>
      </w:r>
      <w:r w:rsidR="00C80B29">
        <w:rPr>
          <w:szCs w:val="24"/>
        </w:rPr>
        <w:fldChar w:fldCharType="separate"/>
      </w:r>
      <w:r w:rsidR="00866BB5" w:rsidRPr="00866BB5">
        <w:t>[82]</w:t>
      </w:r>
      <w:r w:rsidR="00C80B29">
        <w:rPr>
          <w:szCs w:val="24"/>
        </w:rPr>
        <w:fldChar w:fldCharType="end"/>
      </w:r>
      <w:r w:rsidRPr="00145C6F">
        <w:rPr>
          <w:szCs w:val="24"/>
        </w:rPr>
        <w:t xml:space="preserve"> are all available as options for mitigation. The use of power factor correction (PFC) circuits in the modern server power supply has minimized the harmonic contribution from IT equipment, and most modern servers have a power factor &gt; 0.95 and THD &lt; 10</w:t>
      </w:r>
      <w:r w:rsidR="007D4972">
        <w:rPr>
          <w:szCs w:val="24"/>
        </w:rPr>
        <w:t xml:space="preserve">% </w:t>
      </w:r>
      <w:r w:rsidRPr="00145C6F">
        <w:rPr>
          <w:szCs w:val="24"/>
        </w:rPr>
        <w:t>at the input terminals</w:t>
      </w:r>
      <w:r w:rsidR="00310653">
        <w:rPr>
          <w:szCs w:val="24"/>
        </w:rPr>
        <w:fldChar w:fldCharType="begin"/>
      </w:r>
      <w:r w:rsidR="00866BB5">
        <w:rPr>
          <w:szCs w:val="24"/>
        </w:rPr>
        <w:instrText xml:space="preserve"> ADDIN ZOTERO_ITEM CSL_CITATION {"citationID":"pxV0xqgq","properties":{"unsorted":false,"formattedCitation":"[83]","plainCitation":"[83]","noteIndex":0},"citationItems":[{"id":2042,"uris":["http://zotero.org/users/9870935/items/PXUHJN77"],"itemData":{"id":2042,"type":"article-journal","abstract":"Advances in power electronics and their use in Miscellaneous Electric Loads (MELs) in buildings have resulted in increased interest in using low-voltage direct current (DC) power distribution as a replacement for the standard alternating current (AC) power distribution in buildings. Both systems require an endpoint converter to convert the distribution system voltage to the MELs voltage requirements. This study focused on the efficiency of these endpoint converters by testing pairs of AC/DC and DC/DC power converters powering the same load profile. In contrast to prior studies, which estimated losses based on data sheet efficiency and rated loads, in this study, we used part load data derived from real-world time-series load measurements of MELs and experimentally characterized efficiency curves for all converters. The measurements performed for this study showed no systematic efficiency advantage for commercially available DC/DC endpoint converters relative to comparable, commercially available AC/DC endpoint converters. For the eight appliances analyzed with the pair of converters tested, in 50%, the weighted energy efficiency of the DC/DC converter was higher, while, for the other 50%, the AC/DC converter was. Additionally, the measurements indicated that the common assumption of using either data sheet efficiency values or efficiency at full load may result in substantial mis-estimates of the system efficiency.","container-title":"Energies","DOI":"10.3390/en14185863","ISSN":"1996-1073","issue":"18","journalAbbreviation":"Energies","language":"en","page":"5863","source":"DOI.org (Crossref)","title":"Endpoint Use Efficiency Comparison for AC and DC Power Distribution in Commercial Buildings","volume":"14","author":[{"family":"Santos","given":"Arthur"},{"family":"Duggan","given":"Gerald"},{"family":"Frank","given":"Stephen"},{"family":"Gerber","given":"Daniel"},{"family":"Zimmerle","given":"Daniel"}],"issued":{"date-parts":[["2021",9,16]]}}}],"schema":"https://github.com/citation-style-language/schema/raw/master/csl-citation.json"} </w:instrText>
      </w:r>
      <w:r w:rsidR="00310653">
        <w:rPr>
          <w:szCs w:val="24"/>
        </w:rPr>
        <w:fldChar w:fldCharType="separate"/>
      </w:r>
      <w:r w:rsidR="00866BB5" w:rsidRPr="00866BB5">
        <w:t>[83]</w:t>
      </w:r>
      <w:r w:rsidR="00310653">
        <w:rPr>
          <w:szCs w:val="24"/>
        </w:rPr>
        <w:fldChar w:fldCharType="end"/>
      </w:r>
      <w:r w:rsidRPr="00145C6F">
        <w:rPr>
          <w:szCs w:val="24"/>
        </w:rPr>
        <w:t>. The overall impact of thousands of nonlinear loads, however, is best addressed through facility-level harmonic analysis and mitigation.</w:t>
      </w:r>
    </w:p>
    <w:p w14:paraId="3D69B493" w14:textId="43379D4D" w:rsidR="00540990" w:rsidRDefault="00540990" w:rsidP="00540990">
      <w:pPr>
        <w:pStyle w:val="Heading20"/>
        <w:rPr>
          <w:color w:val="auto"/>
        </w:rPr>
      </w:pPr>
      <w:r>
        <w:rPr>
          <w:color w:val="auto"/>
        </w:rPr>
        <w:t>3.6. Metering and Monitoring Systems</w:t>
      </w:r>
    </w:p>
    <w:p w14:paraId="086A4EF7" w14:textId="14A53DBE" w:rsidR="00540990" w:rsidRPr="00B83856" w:rsidRDefault="00E14DE0" w:rsidP="00866BB5">
      <w:pPr>
        <w:spacing w:after="120"/>
        <w:ind w:firstLine="480"/>
        <w:rPr>
          <w:szCs w:val="24"/>
        </w:rPr>
      </w:pPr>
      <w:r w:rsidRPr="00B83856">
        <w:rPr>
          <w:szCs w:val="24"/>
        </w:rPr>
        <w:t>Energy management and optimization are built on comprehensive metering and monitoring infrastructure, which ensures real-time data foundation. Revenue-grade power meters are usually ANSI C12.20 Class 0.2 accuracy and are used at key distribution points such as utility interconnections, generator outputs, UPS inputs and outputs, and PDU feed circuits</w:t>
      </w:r>
      <w:r w:rsidR="00AD1F07">
        <w:rPr>
          <w:szCs w:val="24"/>
        </w:rPr>
        <w:fldChar w:fldCharType="begin"/>
      </w:r>
      <w:r w:rsidR="00866BB5">
        <w:rPr>
          <w:szCs w:val="24"/>
        </w:rPr>
        <w:instrText xml:space="preserve"> ADDIN ZOTERO_ITEM CSL_CITATION {"citationID":"auJULgbp","properties":{"unsorted":false,"formattedCitation":"[84]","plainCitation":"[84]","noteIndex":0},"citationItems":[{"id":2043,"uris":["http://zotero.org/users/9870935/items/S5A8TX2F"],"itemData":{"id":2043,"type":"paper-conference","container-title":"2007 Power Systems Conference: Advanced Metering, Protection, Control, Communication, and Distributed Resources","DOI":"10.1109/PSAMP.2007.4740906","event-title":"2007 Power Systems Conference: Advanced Metering, Protection, Control, Communication, and Distributed Resources","ISBN":"978-1-4244-0854-2","page":"117-122","publisher":"IEEE","publisher-place":"Clemson, SC, USA","source":"DOI.org (Crossref)","title":"The ANSI C12 protocol suite - updated and now with network capabilities","URL":"http://ieeexplore.ieee.org/document/4740906/","author":[{"family":"Snyder","given":"A. F."},{"family":"Stuber","given":"M. T. Garrison"}],"accessed":{"date-parts":[["2026",5,17]]},"issued":{"date-parts":[["2007",3]]}}}],"schema":"https://github.com/citation-style-language/schema/raw/master/csl-citation.json"} </w:instrText>
      </w:r>
      <w:r w:rsidR="00AD1F07">
        <w:rPr>
          <w:szCs w:val="24"/>
        </w:rPr>
        <w:fldChar w:fldCharType="separate"/>
      </w:r>
      <w:r w:rsidR="00866BB5" w:rsidRPr="00866BB5">
        <w:t>[84]</w:t>
      </w:r>
      <w:r w:rsidR="00AD1F07">
        <w:rPr>
          <w:szCs w:val="24"/>
        </w:rPr>
        <w:fldChar w:fldCharType="end"/>
      </w:r>
      <w:r w:rsidRPr="00B83856">
        <w:rPr>
          <w:szCs w:val="24"/>
        </w:rPr>
        <w:t>. Today's energy management systems (EMS) are designed to collect data from hundreds or thousands of metering points, give a dashboard, trending, alarm management and automate reporting. The system can be integrated with building management systems (BMS), which allows for the correlation of electrical consumption with environmental conditions and cooling system performance. Modern EMS platforms provide data logging and analytics features that allow for more advanced efficiency optimization, such as identifying lost energy in equipment not being used, tracking unusual energy use patterns which can signify equipment deterioration, and comparing actual energy use to predicted energy use based on weather, occupancy, and workload parameters</w:t>
      </w:r>
      <w:r w:rsidR="008B5AA3">
        <w:rPr>
          <w:szCs w:val="24"/>
        </w:rPr>
        <w:fldChar w:fldCharType="begin"/>
      </w:r>
      <w:r w:rsidR="00866BB5">
        <w:rPr>
          <w:szCs w:val="24"/>
        </w:rPr>
        <w:instrText xml:space="preserve"> ADDIN ZOTERO_ITEM CSL_CITATION {"citationID":"ZVmq8j39","properties":{"unsorted":false,"formattedCitation":"[85]","plainCitation":"[85]","noteIndex":0},"citationItems":[{"id":2044,"uris":["http://zotero.org/users/9870935/items/6R3YK6PU"],"itemData":{"id":2044,"type":"article","abstract":"The rapid proliferation of distributed energy resources (DERs), including photovoltaics, wind power, battery energy storage, and electric vehicles, has transformed traditional power systems into highly decentralized and data-rich environments. Virtual Power Plants (VPPs) have emerged as a key mechanism for aggregating these heterogeneous assets and enabling coordinated control, market participation, and grid-support functions. Recent advances in artificial intelligence (AI) have further elevated the scalability, autonomy, and responsiveness of VPP operations.\nThis paper presents a comprehensive review of AI for VPPs, organized around a taxonomy of machine learning, deep learning, reinforcement learning, and hybrid approaches, and examines how these methods map to core VPP functions such as forecasting, scheduling, market bidding, aggregation, and ancillary services. In parallel, we analyze enabling architectural frameworks—including centralized cloud, distributed edge, hybrid cloud–edge collaboration, and emerging 5G/LEO satellite communication infrastructures—that support real-time data exchange and scalable deployment of intelligent control. By integrating methodological, functional, and architectural perspectives, this review highlights the evolution of VPPs from rule-based coordination to intelligent, autonomous energy ecosystems. Key research challenges are identified in data quality, model interpretability, multi-agent scalability, cyber-physical resilience, and the integration of AI with digital twins and edge-native computation. These findings outline promising directions for next-generation intelligent VPPs capable of delivering secure, flexible, and self-optimizing DER aggregation at scale.","DOI":"10.20944/preprints202601.1691.v1","license":"http://creativecommons.org/licenses/by/4.0","publisher":"Engineering","source":"DOI.org (Crossref)","title":"AI Driven Virtual Power Plants: A Comprehensive Review","title-short":"AI Driven Virtual Power Plants","URL":"https://www.preprints.org/manuscript/202601.1691/v1","author":[{"family":"Li","given":"Jian"},{"family":"Wang","given":"Chenxi"},{"family":"Liu","given":"Yonghe"}],"accessed":{"date-parts":[["2026",5,17]]},"issued":{"date-parts":[["2026",1,22]]}}}],"schema":"https://github.com/citation-style-language/schema/raw/master/csl-citation.json"} </w:instrText>
      </w:r>
      <w:r w:rsidR="008B5AA3">
        <w:rPr>
          <w:szCs w:val="24"/>
        </w:rPr>
        <w:fldChar w:fldCharType="separate"/>
      </w:r>
      <w:r w:rsidR="00866BB5" w:rsidRPr="00866BB5">
        <w:t>[85]</w:t>
      </w:r>
      <w:r w:rsidR="008B5AA3">
        <w:rPr>
          <w:szCs w:val="24"/>
        </w:rPr>
        <w:fldChar w:fldCharType="end"/>
      </w:r>
      <w:r w:rsidRPr="00B83856">
        <w:rPr>
          <w:szCs w:val="24"/>
        </w:rPr>
        <w:t>. Machine learning algorithms have been shown to lower cooling energy use by 15-30</w:t>
      </w:r>
      <w:r w:rsidR="00E07028">
        <w:rPr>
          <w:szCs w:val="24"/>
        </w:rPr>
        <w:t xml:space="preserve">% </w:t>
      </w:r>
      <w:r w:rsidRPr="00B83856">
        <w:rPr>
          <w:szCs w:val="24"/>
        </w:rPr>
        <w:t>by optimizing setpoints and scheduling equipment in EMS</w:t>
      </w:r>
      <w:r w:rsidR="0043037D">
        <w:rPr>
          <w:szCs w:val="24"/>
        </w:rPr>
        <w:fldChar w:fldCharType="begin"/>
      </w:r>
      <w:r w:rsidR="00866BB5">
        <w:rPr>
          <w:szCs w:val="24"/>
        </w:rPr>
        <w:instrText xml:space="preserve"> ADDIN ZOTERO_ITEM CSL_CITATION {"citationID":"yq9cwOWS","properties":{"unsorted":false,"formattedCitation":"[86]","plainCitation":"[86]","noteIndex":0},"citationItems":[{"id":2046,"uris":["http://zotero.org/users/9870935/items/P4BXZMCV"],"itemData":{"id":2046,"type":"article","abstract":"Data center cooling systems consume significant auxiliary energy, yet optimization studies rarely quantify the gap between theoretically optimal and operationally deployable control strategies. This paper develops a digital twin of the liquid cooling infrastructure at the Frontier exascale supercomputer, in which a hot-temperature water system comprises three parallel subloops, each serving dedicated coolant distribution unit clusters through plate heat exchangers and variable-speed pumps. The surrogate model is built based on Modelica and validated through one full calendar year of 10-minute operational data following ASHRAE Guideline 14. The model achieves a subloop coefficient of variation of the root mean square error below 2.7% and a normalized mean bias error within 2.5%. Using this validated surrogate model, a layered optimization framework evaluates three progressively constrained strategies: an analytical flow-only optimization achieves 20.4% total energy saving, unconstrained joint optimization of flow rate and supply temperature demonstrates 30.1% total energy saving, and ramp-constrained optimization of flow rate and supply temperature, enforcing actuator rate limits, can reach total energy saving of 27.8%. The analysis reveals that the baseline system operates at 2.9 times the minimum thermally safe flow rate, and the co-optimizing supply temperature with flow rate nearly doubles the savings achievable by flow reduction alone.","DOI":"10.48550/ARXIV.2603.01198","license":"Creative Commons Attribution 4.0 International","note":"version: 3","publisher":"arXiv","source":"DOI.org (Datacite)","title":"Digital Twin-Based Cooling System Optimization for Data Center","URL":"https://arxiv.org/abs/2603.01198","author":[{"family":"Jadhav","given":"Shrenik"},{"family":"Liu","given":"Zheng"}],"accessed":{"date-parts":[["2026",5,17]]},"issued":{"date-parts":[["2026"]]}}}],"schema":"https://github.com/citation-style-language/schema/raw/master/csl-citation.json"} </w:instrText>
      </w:r>
      <w:r w:rsidR="0043037D">
        <w:rPr>
          <w:szCs w:val="24"/>
        </w:rPr>
        <w:fldChar w:fldCharType="separate"/>
      </w:r>
      <w:r w:rsidR="00866BB5" w:rsidRPr="00866BB5">
        <w:t>[86]</w:t>
      </w:r>
      <w:r w:rsidR="0043037D">
        <w:rPr>
          <w:szCs w:val="24"/>
        </w:rPr>
        <w:fldChar w:fldCharType="end"/>
      </w:r>
      <w:r w:rsidRPr="00B83856">
        <w:rPr>
          <w:szCs w:val="24"/>
        </w:rPr>
        <w:t>.</w:t>
      </w:r>
    </w:p>
    <w:p w14:paraId="24571207" w14:textId="1D40CE07" w:rsidR="00495A80" w:rsidRDefault="00495A80" w:rsidP="00495A80">
      <w:pPr>
        <w:pStyle w:val="Heading10"/>
        <w:rPr>
          <w:color w:val="auto"/>
        </w:rPr>
      </w:pPr>
      <w:r>
        <w:rPr>
          <w:color w:val="auto"/>
          <w:lang w:eastAsia="zh-CN"/>
        </w:rPr>
        <w:t xml:space="preserve">4. </w:t>
      </w:r>
      <w:r>
        <w:rPr>
          <w:color w:val="auto"/>
        </w:rPr>
        <w:t>Renewable Energy Resources and Assessment</w:t>
      </w:r>
    </w:p>
    <w:p w14:paraId="1B5F4435" w14:textId="77777777" w:rsidR="00EE5514" w:rsidRDefault="00EE5514" w:rsidP="00EE5514">
      <w:pPr>
        <w:spacing w:after="120"/>
        <w:ind w:firstLine="480"/>
      </w:pPr>
      <w:r>
        <w:t xml:space="preserve">This chapter characterizes the solar, wind, and hydroelectric resources available for data center integration, along with the methodologies used to assess these resources and quantify their variability. Understanding resource characteristics is fundamental to optimal technology </w:t>
      </w:r>
      <w:r>
        <w:lastRenderedPageBreak/>
        <w:t>selection, system sizing, and operational strategy development for renewable-powered data centers.</w:t>
      </w:r>
    </w:p>
    <w:p w14:paraId="39317912" w14:textId="562CB53D" w:rsidR="00EE5514" w:rsidRDefault="00EE5514" w:rsidP="00EE5514">
      <w:pPr>
        <w:pStyle w:val="Heading20"/>
        <w:rPr>
          <w:color w:val="auto"/>
        </w:rPr>
      </w:pPr>
      <w:r>
        <w:rPr>
          <w:color w:val="auto"/>
        </w:rPr>
        <w:t>4.1. Solar Photovoltaic Systems</w:t>
      </w:r>
    </w:p>
    <w:p w14:paraId="3B7C61CB" w14:textId="64B7AEC6" w:rsidR="00C071A1" w:rsidRPr="00C071A1" w:rsidRDefault="00C071A1" w:rsidP="00BB1439">
      <w:pPr>
        <w:spacing w:after="120"/>
        <w:ind w:firstLine="480"/>
      </w:pPr>
      <w:r w:rsidRPr="00C071A1">
        <w:t>PV is now the least expensive renewable energy option in most geographies for data centers where the sun shines. Currently available monocrystalline modules in the commercial market have efficiencies of 20–23%, while high-efficiency modules with heterojunction (HJT) or tunnel oxide passivated contact (TOPCon) cell architectures have achieved efficiencies of 23–25% under standard test conditions [13]. According to the latest global market indicators, the weighted average cost of utility-scale ground-mounted solar PV systems has continued its historic decline, sitting between $0.70 and $1.30/W ($700 to $1,300/kW) in the current market, marking an approximate 87% to 90% drop from 2010 benchmarks [14]. This downward cost trajectory is sustained by industry capacity, with IRENA’s latest 24/7 power analytics projecting an additional 30% reduction in firm solar-plus-storage configuration costs by 2030, eventually dipping beyond 40% by 2035</w:t>
      </w:r>
      <w:r w:rsidR="00BB1439">
        <w:fldChar w:fldCharType="begin"/>
      </w:r>
      <w:r w:rsidR="00BB1439">
        <w:instrText xml:space="preserve"> ADDIN ZOTERO_ITEM CSL_CITATION {"citationID":"Cv3TnBxB","properties":{"unsorted":false,"formattedCitation":"[36]","plainCitation":"[36]","noteIndex":0},"citationItems":[{"id":1967,"uris":["http://zotero.org/users/9870935/items/AQSZGCZJ"],"itemData":{"id":1967,"type":"article-journal","abstract":"Perovskite–TOPCon\n              2\n              tandem solar cells reaching 31.3% efficiency on front-textured devices, enabled by an optimized AlO\n              \n                x\n              \n              -based hydrogenation process that provides high passivation quality.\n            \n          , \n            \n              We demonstrate high-efficiency perovskite–silicon tandem solar cells using double-sided tunnel oxide passivated contacts (TOPCon\n              2\n              ) bottom cells, achieving 30.2% efficiency on both-sides flat and 31.3% on front-textured devices. The former is enabled by high passivation quality on flat surfaces and the latter by enhanced optical performance. These results highlight that TOPCon\n              2\n              is a promising platform for scalable tandem integration beyond silicon heterojunction-based bottom cells.","container-title":"EES Solar","DOI":"10.1039/D5EL00105F","ISSN":"3033-4063","issue":"5","journalAbbreviation":"EES Sol.","language":"en","page":"732-735","source":"DOI.org (Crossref)","title":"Over 31%-efficient perovskite–TOPCon solar cells enabled by AlO&lt;sub&gt; &lt;i&gt;x&lt;/i&gt; &lt;/sub&gt; -based hydrogenation and front sub-micron texturing","volume":"1","author":[{"family":"Hurni","given":"Julien"},{"family":"Artuk","given":"Kerem"},{"family":"Schaller","given":"Thibault"},{"family":"Austin","given":"Jonathan S."},{"family":"Sakakibara","given":"Reyu"},{"family":"Paviet-Salomon","given":"Bertrand"},{"family":"Morisset","given":"Audrey"},{"family":"Fu","given":"Fan"},{"family":"Ballif","given":"Christophe"},{"family":"Wolff","given":"Christian M."},{"family":"Haug","given":"Franz-Josef"}],"issued":{"date-parts":[["2025"]]}}}],"schema":"https://github.com/citation-style-language/schema/raw/master/csl-citation.json"} </w:instrText>
      </w:r>
      <w:r w:rsidR="00BB1439">
        <w:fldChar w:fldCharType="separate"/>
      </w:r>
      <w:r w:rsidR="00BB1439" w:rsidRPr="00BB1439">
        <w:t>[36]</w:t>
      </w:r>
      <w:r w:rsidR="00BB1439">
        <w:fldChar w:fldCharType="end"/>
      </w:r>
      <w:r w:rsidRPr="00C071A1">
        <w:t>.</w:t>
      </w:r>
    </w:p>
    <w:p w14:paraId="2DC0819D" w14:textId="6EE2258F" w:rsidR="00C071A1" w:rsidRDefault="00C071A1" w:rsidP="00866BB5">
      <w:pPr>
        <w:spacing w:after="120"/>
        <w:ind w:firstLine="480"/>
      </w:pPr>
      <w:r w:rsidRPr="00C071A1">
        <w:t>The geographic variability of solar capacity factors is high, with values ranging from 13</w:t>
      </w:r>
      <w:r w:rsidR="009C775C">
        <w:t>-</w:t>
      </w:r>
      <w:r w:rsidRPr="00C071A1">
        <w:t>17</w:t>
      </w:r>
      <w:r w:rsidR="009C775C">
        <w:t xml:space="preserve">% </w:t>
      </w:r>
      <w:r w:rsidRPr="00C071A1">
        <w:t>in the northern part of Europe and the Pacific Northwest, to 25</w:t>
      </w:r>
      <w:r w:rsidR="000C1B14">
        <w:t>-</w:t>
      </w:r>
      <w:r w:rsidRPr="00C071A1">
        <w:t>30</w:t>
      </w:r>
      <w:r w:rsidR="000C1B14">
        <w:t xml:space="preserve">% </w:t>
      </w:r>
      <w:r w:rsidRPr="00C071A1">
        <w:t>in the desert Southwest of the U.S. and arid areas of the Middle East and North Africa</w:t>
      </w:r>
      <w:r w:rsidR="002A0616">
        <w:fldChar w:fldCharType="begin"/>
      </w:r>
      <w:r w:rsidR="00866BB5">
        <w:instrText xml:space="preserve"> ADDIN ZOTERO_ITEM CSL_CITATION {"citationID":"HbEEfmjc","properties":{"unsorted":false,"formattedCitation":"[87]","plainCitation":"[87]","noteIndex":0},"citationItems":[{"id":2048,"uris":["http://zotero.org/users/9870935/items/2IV8CPDJ"],"itemData":{"id":2048,"type":"post-weblog","title":"National Renewable Energy Laboratory (NREL). (2026)","URL":"https://atb.nrel.gov/","author":[{"family":"NREL","given":""}]}}],"schema":"https://github.com/citation-style-language/schema/raw/master/csl-citation.json"} </w:instrText>
      </w:r>
      <w:r w:rsidR="002A0616">
        <w:fldChar w:fldCharType="separate"/>
      </w:r>
      <w:r w:rsidR="00866BB5" w:rsidRPr="00866BB5">
        <w:t>[87]</w:t>
      </w:r>
      <w:r w:rsidR="002A0616">
        <w:fldChar w:fldCharType="end"/>
      </w:r>
      <w:r w:rsidRPr="00C071A1">
        <w:t>. NREL's Annual Technology Baseline reports net capacity factors spanning 21</w:t>
      </w:r>
      <w:r w:rsidR="00614114">
        <w:t>-</w:t>
      </w:r>
      <w:r w:rsidRPr="00C071A1">
        <w:t>34</w:t>
      </w:r>
      <w:r w:rsidR="00614114">
        <w:t>%</w:t>
      </w:r>
      <w:r w:rsidR="005117D6">
        <w:t xml:space="preserve"> </w:t>
      </w:r>
      <w:r w:rsidRPr="00C071A1">
        <w:t>for utility-scale PV across solar resource classes</w:t>
      </w:r>
      <w:r w:rsidR="000E4885">
        <w:fldChar w:fldCharType="begin"/>
      </w:r>
      <w:r w:rsidR="00866BB5">
        <w:instrText xml:space="preserve"> ADDIN ZOTERO_ITEM CSL_CITATION {"citationID":"JNDExKFF","properties":{"unsorted":false,"formattedCitation":"[88]","plainCitation":"[88]","noteIndex":0},"citationItems":[{"id":2049,"uris":["http://zotero.org/users/9870935/items/HTQQE34D"],"itemData":{"id":2049,"type":"post-weblog","title":"National Renewable Energy Laboratory (NREL)","URL":"https://www.google.com/search?q=https://atb.nrel.gov/electricity","author":[{"family":"NREL","given":""}]}}],"schema":"https://github.com/citation-style-language/schema/raw/master/csl-citation.json"} </w:instrText>
      </w:r>
      <w:r w:rsidR="000E4885">
        <w:fldChar w:fldCharType="separate"/>
      </w:r>
      <w:r w:rsidR="00866BB5" w:rsidRPr="00866BB5">
        <w:t>[88]</w:t>
      </w:r>
      <w:r w:rsidR="000E4885">
        <w:fldChar w:fldCharType="end"/>
      </w:r>
      <w:r w:rsidRPr="00C071A1">
        <w:t>. The performance of the inverter is a key factor; modern string and central inverters provide weighted average efficiencies of 95</w:t>
      </w:r>
      <w:r w:rsidR="004A6040">
        <w:t>-</w:t>
      </w:r>
      <w:r w:rsidRPr="00C071A1">
        <w:t>98.5</w:t>
      </w:r>
      <w:r w:rsidR="004A6040">
        <w:t>%</w:t>
      </w:r>
      <w:r w:rsidRPr="00C071A1">
        <w:t xml:space="preserve"> under varying irradiance and temperature conditions. Going beyond basic energy conversion, advanced inverter functions such as reactive power control, voltage ride-through, and dynamic frequency response are becoming mandatory under modern grid interconnection standards, adding crucial resilience and value to the host network</w:t>
      </w:r>
      <w:r w:rsidR="003A6352">
        <w:fldChar w:fldCharType="begin"/>
      </w:r>
      <w:r w:rsidR="00866BB5">
        <w:instrText xml:space="preserve"> ADDIN ZOTERO_ITEM CSL_CITATION {"citationID":"XP0P73le","properties":{"unsorted":false,"formattedCitation":"[89]","plainCitation":"[89]","noteIndex":0},"citationItems":[{"id":2050,"uris":["http://zotero.org/users/9870935/items/XRT6BU8P"],"itemData":{"id":2050,"type":"article-journal","DOI":"10.5445/IR/1000191363","language":"en","license":"Open Access, Creative Commons Namensnennung 4.0 International","publisher":"Elsevier","source":"DOI.org (Datacite)","title":"Photovoltaic system reduces grid voltage waveform distortions in the frequency range from 700 Hz to 1250 Hz","URL":"https://publikationen.bibliothek.kit.edu/1000191363","author":[{"family":"Förstner","given":"Ellen"},{"family":"Dughmosh","given":"Mohamad"},{"family":"Mikut","given":"Ralf"},{"family":"Haefele","given":"Karl-Heinz"},{"family":"Jakel","given":"Denis"},{"family":"Bao","given":"Kaibin"},{"family":"Maaß","given":"Heiko"},{"family":"Jumar","given":"Richard"},{"family":"Fotler","given":"Andreas"},{"family":"Kühnapfel","given":"Uwe"},{"family":"Hagenmeyer","given":"Veit"}],"accessed":{"date-parts":[["2026",5,17]]},"issued":{"date-parts":[["2026"]]}}}],"schema":"https://github.com/citation-style-language/schema/raw/master/csl-citation.json"} </w:instrText>
      </w:r>
      <w:r w:rsidR="003A6352">
        <w:fldChar w:fldCharType="separate"/>
      </w:r>
      <w:r w:rsidR="00866BB5" w:rsidRPr="00866BB5">
        <w:t>[89]</w:t>
      </w:r>
      <w:r w:rsidR="003A6352">
        <w:fldChar w:fldCharType="end"/>
      </w:r>
      <w:r w:rsidRPr="00C071A1">
        <w:t>.</w:t>
      </w:r>
    </w:p>
    <w:p w14:paraId="204763E3" w14:textId="48348608" w:rsidR="00BC16C4" w:rsidRDefault="00BC16C4" w:rsidP="00BC16C4">
      <w:pPr>
        <w:pStyle w:val="Caption"/>
        <w:keepNext/>
      </w:pPr>
      <w:r>
        <w:t xml:space="preserve">Table </w:t>
      </w:r>
      <w:r w:rsidR="002C06D9">
        <w:fldChar w:fldCharType="begin"/>
      </w:r>
      <w:r w:rsidR="002C06D9">
        <w:instrText xml:space="preserve"> SEQ Table \* ARABIC </w:instrText>
      </w:r>
      <w:r w:rsidR="002C06D9">
        <w:fldChar w:fldCharType="separate"/>
      </w:r>
      <w:r w:rsidR="00516167">
        <w:rPr>
          <w:noProof/>
        </w:rPr>
        <w:t>1</w:t>
      </w:r>
      <w:r w:rsidR="002C06D9">
        <w:rPr>
          <w:noProof/>
        </w:rPr>
        <w:fldChar w:fldCharType="end"/>
      </w:r>
      <w:r>
        <w:t xml:space="preserve"> Solar PV capacity factors by U.S. region</w:t>
      </w:r>
    </w:p>
    <w:tbl>
      <w:tblPr>
        <w:tblStyle w:val="Mdeck5tablebodythreelines"/>
        <w:tblW w:w="0" w:type="auto"/>
        <w:tblLook w:val="04A0" w:firstRow="1" w:lastRow="0" w:firstColumn="1" w:lastColumn="0" w:noHBand="0" w:noVBand="1"/>
      </w:tblPr>
      <w:tblGrid>
        <w:gridCol w:w="2683"/>
        <w:gridCol w:w="1583"/>
        <w:gridCol w:w="1304"/>
        <w:gridCol w:w="1303"/>
        <w:gridCol w:w="1971"/>
      </w:tblGrid>
      <w:tr w:rsidR="00877478" w:rsidRPr="00877478" w14:paraId="2702E625" w14:textId="77777777" w:rsidTr="00CC7EAF">
        <w:trPr>
          <w:cnfStyle w:val="100000000000" w:firstRow="1" w:lastRow="0" w:firstColumn="0" w:lastColumn="0" w:oddVBand="0" w:evenVBand="0" w:oddHBand="0" w:evenHBand="0" w:firstRowFirstColumn="0" w:firstRowLastColumn="0" w:lastRowFirstColumn="0" w:lastRowLastColumn="0"/>
        </w:trPr>
        <w:tc>
          <w:tcPr>
            <w:tcW w:w="0" w:type="auto"/>
            <w:hideMark/>
          </w:tcPr>
          <w:p w14:paraId="2EB7826E" w14:textId="77777777" w:rsidR="00877478" w:rsidRPr="00CC7EAF" w:rsidRDefault="00877478" w:rsidP="00CC7EAF">
            <w:pPr>
              <w:pStyle w:val="TableBody"/>
              <w:rPr>
                <w:b/>
                <w:bCs/>
                <w:color w:val="auto"/>
                <w:lang w:val="en-US"/>
              </w:rPr>
            </w:pPr>
            <w:r w:rsidRPr="00CC7EAF">
              <w:rPr>
                <w:b/>
                <w:bCs/>
                <w:color w:val="auto"/>
                <w:lang w:val="en-US"/>
              </w:rPr>
              <w:t>Region</w:t>
            </w:r>
          </w:p>
        </w:tc>
        <w:tc>
          <w:tcPr>
            <w:tcW w:w="0" w:type="auto"/>
            <w:hideMark/>
          </w:tcPr>
          <w:p w14:paraId="51137846" w14:textId="77777777" w:rsidR="00877478" w:rsidRPr="00CC7EAF" w:rsidRDefault="00877478" w:rsidP="00CC7EAF">
            <w:pPr>
              <w:pStyle w:val="TableBody"/>
              <w:rPr>
                <w:b/>
                <w:bCs/>
                <w:color w:val="auto"/>
                <w:lang w:val="en-US"/>
              </w:rPr>
            </w:pPr>
            <w:r w:rsidRPr="00CC7EAF">
              <w:rPr>
                <w:b/>
                <w:bCs/>
                <w:color w:val="auto"/>
                <w:lang w:val="en-US"/>
              </w:rPr>
              <w:t>Annual CF (%)</w:t>
            </w:r>
          </w:p>
        </w:tc>
        <w:tc>
          <w:tcPr>
            <w:tcW w:w="0" w:type="auto"/>
            <w:hideMark/>
          </w:tcPr>
          <w:p w14:paraId="72F9E5C0" w14:textId="77777777" w:rsidR="00877478" w:rsidRPr="00CC7EAF" w:rsidRDefault="00877478" w:rsidP="00CC7EAF">
            <w:pPr>
              <w:pStyle w:val="TableBody"/>
              <w:rPr>
                <w:b/>
                <w:bCs/>
                <w:color w:val="auto"/>
                <w:lang w:val="en-US"/>
              </w:rPr>
            </w:pPr>
            <w:r w:rsidRPr="00CC7EAF">
              <w:rPr>
                <w:b/>
                <w:bCs/>
                <w:color w:val="auto"/>
                <w:lang w:val="en-US"/>
              </w:rPr>
              <w:t>Peak Month</w:t>
            </w:r>
          </w:p>
        </w:tc>
        <w:tc>
          <w:tcPr>
            <w:tcW w:w="0" w:type="auto"/>
            <w:hideMark/>
          </w:tcPr>
          <w:p w14:paraId="77EFEC29" w14:textId="77777777" w:rsidR="00877478" w:rsidRPr="00CC7EAF" w:rsidRDefault="00877478" w:rsidP="00CC7EAF">
            <w:pPr>
              <w:pStyle w:val="TableBody"/>
              <w:rPr>
                <w:b/>
                <w:bCs/>
                <w:color w:val="auto"/>
                <w:lang w:val="en-US"/>
              </w:rPr>
            </w:pPr>
            <w:r w:rsidRPr="00CC7EAF">
              <w:rPr>
                <w:b/>
                <w:bCs/>
                <w:color w:val="auto"/>
                <w:lang w:val="en-US"/>
              </w:rPr>
              <w:t>Low Month</w:t>
            </w:r>
          </w:p>
        </w:tc>
        <w:tc>
          <w:tcPr>
            <w:tcW w:w="0" w:type="auto"/>
            <w:hideMark/>
          </w:tcPr>
          <w:p w14:paraId="4A43D303" w14:textId="77777777" w:rsidR="00877478" w:rsidRPr="00CC7EAF" w:rsidRDefault="00877478" w:rsidP="00CC7EAF">
            <w:pPr>
              <w:pStyle w:val="TableBody"/>
              <w:rPr>
                <w:b/>
                <w:bCs/>
                <w:color w:val="auto"/>
                <w:lang w:val="en-US"/>
              </w:rPr>
            </w:pPr>
            <w:r w:rsidRPr="00CC7EAF">
              <w:rPr>
                <w:b/>
                <w:bCs/>
                <w:color w:val="auto"/>
                <w:lang w:val="en-US"/>
              </w:rPr>
              <w:t>Installed Cost ($/W)</w:t>
            </w:r>
          </w:p>
        </w:tc>
      </w:tr>
      <w:tr w:rsidR="00877478" w:rsidRPr="00877478" w14:paraId="4D0A1E11" w14:textId="77777777" w:rsidTr="00CC7EAF">
        <w:tc>
          <w:tcPr>
            <w:tcW w:w="0" w:type="auto"/>
            <w:hideMark/>
          </w:tcPr>
          <w:p w14:paraId="3543DAEE" w14:textId="77777777" w:rsidR="00877478" w:rsidRPr="00CC7EAF" w:rsidRDefault="00877478" w:rsidP="00CC7EAF">
            <w:pPr>
              <w:pStyle w:val="TableBody"/>
              <w:rPr>
                <w:b/>
                <w:bCs/>
                <w:color w:val="auto"/>
                <w:lang w:val="en-US"/>
              </w:rPr>
            </w:pPr>
            <w:r w:rsidRPr="00CC7EAF">
              <w:rPr>
                <w:b/>
                <w:bCs/>
                <w:color w:val="auto"/>
                <w:lang w:val="en-US"/>
              </w:rPr>
              <w:t>Southwest (AZ, NM, NV)</w:t>
            </w:r>
          </w:p>
        </w:tc>
        <w:tc>
          <w:tcPr>
            <w:tcW w:w="0" w:type="auto"/>
            <w:hideMark/>
          </w:tcPr>
          <w:p w14:paraId="0732ACDD" w14:textId="77777777" w:rsidR="00877478" w:rsidRPr="00CC7EAF" w:rsidRDefault="00877478" w:rsidP="00CC7EAF">
            <w:pPr>
              <w:pStyle w:val="TableBody"/>
              <w:rPr>
                <w:b/>
                <w:bCs/>
                <w:color w:val="auto"/>
                <w:lang w:val="en-US"/>
              </w:rPr>
            </w:pPr>
            <w:r w:rsidRPr="00CC7EAF">
              <w:rPr>
                <w:b/>
                <w:bCs/>
                <w:color w:val="auto"/>
                <w:lang w:val="en-US"/>
              </w:rPr>
              <w:t>25–30%</w:t>
            </w:r>
          </w:p>
        </w:tc>
        <w:tc>
          <w:tcPr>
            <w:tcW w:w="0" w:type="auto"/>
            <w:hideMark/>
          </w:tcPr>
          <w:p w14:paraId="3E1E49F1" w14:textId="77777777" w:rsidR="00877478" w:rsidRPr="00CC7EAF" w:rsidRDefault="00877478" w:rsidP="00CC7EAF">
            <w:pPr>
              <w:pStyle w:val="TableBody"/>
              <w:rPr>
                <w:b/>
                <w:bCs/>
                <w:color w:val="auto"/>
                <w:lang w:val="en-US"/>
              </w:rPr>
            </w:pPr>
            <w:r w:rsidRPr="00CC7EAF">
              <w:rPr>
                <w:b/>
                <w:bCs/>
                <w:color w:val="auto"/>
                <w:lang w:val="en-US"/>
              </w:rPr>
              <w:t>June</w:t>
            </w:r>
          </w:p>
        </w:tc>
        <w:tc>
          <w:tcPr>
            <w:tcW w:w="0" w:type="auto"/>
            <w:hideMark/>
          </w:tcPr>
          <w:p w14:paraId="2B076A1C" w14:textId="77777777" w:rsidR="00877478" w:rsidRPr="00CC7EAF" w:rsidRDefault="00877478" w:rsidP="00CC7EAF">
            <w:pPr>
              <w:pStyle w:val="TableBody"/>
              <w:rPr>
                <w:b/>
                <w:bCs/>
                <w:color w:val="auto"/>
                <w:lang w:val="en-US"/>
              </w:rPr>
            </w:pPr>
            <w:r w:rsidRPr="00CC7EAF">
              <w:rPr>
                <w:b/>
                <w:bCs/>
                <w:color w:val="auto"/>
                <w:lang w:val="en-US"/>
              </w:rPr>
              <w:t>December</w:t>
            </w:r>
          </w:p>
        </w:tc>
        <w:tc>
          <w:tcPr>
            <w:tcW w:w="0" w:type="auto"/>
            <w:hideMark/>
          </w:tcPr>
          <w:p w14:paraId="567E798E" w14:textId="77777777" w:rsidR="00877478" w:rsidRPr="00CC7EAF" w:rsidRDefault="00877478" w:rsidP="00CC7EAF">
            <w:pPr>
              <w:pStyle w:val="TableBody"/>
              <w:rPr>
                <w:b/>
                <w:bCs/>
                <w:color w:val="auto"/>
                <w:lang w:val="en-US"/>
              </w:rPr>
            </w:pPr>
            <w:r w:rsidRPr="00CC7EAF">
              <w:rPr>
                <w:b/>
                <w:bCs/>
                <w:color w:val="auto"/>
                <w:lang w:val="en-US"/>
              </w:rPr>
              <w:t>$0.70–$0.90</w:t>
            </w:r>
          </w:p>
        </w:tc>
      </w:tr>
      <w:tr w:rsidR="00877478" w:rsidRPr="00877478" w14:paraId="70ED58A4" w14:textId="77777777" w:rsidTr="00CC7EAF">
        <w:tc>
          <w:tcPr>
            <w:tcW w:w="0" w:type="auto"/>
            <w:hideMark/>
          </w:tcPr>
          <w:p w14:paraId="18305815" w14:textId="77777777" w:rsidR="00877478" w:rsidRPr="00CC7EAF" w:rsidRDefault="00877478" w:rsidP="00CC7EAF">
            <w:pPr>
              <w:pStyle w:val="TableBody"/>
              <w:rPr>
                <w:b/>
                <w:bCs/>
                <w:color w:val="auto"/>
                <w:lang w:val="en-US"/>
              </w:rPr>
            </w:pPr>
            <w:r w:rsidRPr="00CC7EAF">
              <w:rPr>
                <w:b/>
                <w:bCs/>
                <w:color w:val="auto"/>
                <w:lang w:val="en-US"/>
              </w:rPr>
              <w:t>Southeast (FL, TX, GA)</w:t>
            </w:r>
          </w:p>
        </w:tc>
        <w:tc>
          <w:tcPr>
            <w:tcW w:w="0" w:type="auto"/>
            <w:hideMark/>
          </w:tcPr>
          <w:p w14:paraId="11AFD24F" w14:textId="77777777" w:rsidR="00877478" w:rsidRPr="00CC7EAF" w:rsidRDefault="00877478" w:rsidP="00CC7EAF">
            <w:pPr>
              <w:pStyle w:val="TableBody"/>
              <w:rPr>
                <w:b/>
                <w:bCs/>
                <w:color w:val="auto"/>
                <w:lang w:val="en-US"/>
              </w:rPr>
            </w:pPr>
            <w:r w:rsidRPr="00CC7EAF">
              <w:rPr>
                <w:b/>
                <w:bCs/>
                <w:color w:val="auto"/>
                <w:lang w:val="en-US"/>
              </w:rPr>
              <w:t>18–22%</w:t>
            </w:r>
          </w:p>
        </w:tc>
        <w:tc>
          <w:tcPr>
            <w:tcW w:w="0" w:type="auto"/>
            <w:hideMark/>
          </w:tcPr>
          <w:p w14:paraId="2123C86A" w14:textId="77777777" w:rsidR="00877478" w:rsidRPr="00CC7EAF" w:rsidRDefault="00877478" w:rsidP="00CC7EAF">
            <w:pPr>
              <w:pStyle w:val="TableBody"/>
              <w:rPr>
                <w:b/>
                <w:bCs/>
                <w:color w:val="auto"/>
                <w:lang w:val="en-US"/>
              </w:rPr>
            </w:pPr>
            <w:r w:rsidRPr="00CC7EAF">
              <w:rPr>
                <w:b/>
                <w:bCs/>
                <w:color w:val="auto"/>
                <w:lang w:val="en-US"/>
              </w:rPr>
              <w:t>May</w:t>
            </w:r>
          </w:p>
        </w:tc>
        <w:tc>
          <w:tcPr>
            <w:tcW w:w="0" w:type="auto"/>
            <w:hideMark/>
          </w:tcPr>
          <w:p w14:paraId="74CC4852" w14:textId="77777777" w:rsidR="00877478" w:rsidRPr="00CC7EAF" w:rsidRDefault="00877478" w:rsidP="00CC7EAF">
            <w:pPr>
              <w:pStyle w:val="TableBody"/>
              <w:rPr>
                <w:b/>
                <w:bCs/>
                <w:color w:val="auto"/>
                <w:lang w:val="en-US"/>
              </w:rPr>
            </w:pPr>
            <w:r w:rsidRPr="00CC7EAF">
              <w:rPr>
                <w:b/>
                <w:bCs/>
                <w:color w:val="auto"/>
                <w:lang w:val="en-US"/>
              </w:rPr>
              <w:t>December</w:t>
            </w:r>
          </w:p>
        </w:tc>
        <w:tc>
          <w:tcPr>
            <w:tcW w:w="0" w:type="auto"/>
            <w:hideMark/>
          </w:tcPr>
          <w:p w14:paraId="5BFF6C5F" w14:textId="77777777" w:rsidR="00877478" w:rsidRPr="00CC7EAF" w:rsidRDefault="00877478" w:rsidP="00CC7EAF">
            <w:pPr>
              <w:pStyle w:val="TableBody"/>
              <w:rPr>
                <w:b/>
                <w:bCs/>
                <w:color w:val="auto"/>
                <w:lang w:val="en-US"/>
              </w:rPr>
            </w:pPr>
            <w:r w:rsidRPr="00CC7EAF">
              <w:rPr>
                <w:b/>
                <w:bCs/>
                <w:color w:val="auto"/>
                <w:lang w:val="en-US"/>
              </w:rPr>
              <w:t>$0.80–$1.05</w:t>
            </w:r>
          </w:p>
        </w:tc>
      </w:tr>
      <w:tr w:rsidR="00877478" w:rsidRPr="00877478" w14:paraId="76BBEEBE" w14:textId="77777777" w:rsidTr="00CC7EAF">
        <w:tc>
          <w:tcPr>
            <w:tcW w:w="0" w:type="auto"/>
            <w:hideMark/>
          </w:tcPr>
          <w:p w14:paraId="5C6E8D81" w14:textId="77777777" w:rsidR="00877478" w:rsidRPr="00CC7EAF" w:rsidRDefault="00877478" w:rsidP="00CC7EAF">
            <w:pPr>
              <w:pStyle w:val="TableBody"/>
              <w:rPr>
                <w:b/>
                <w:bCs/>
                <w:color w:val="auto"/>
                <w:lang w:val="en-US"/>
              </w:rPr>
            </w:pPr>
            <w:r w:rsidRPr="00CC7EAF">
              <w:rPr>
                <w:b/>
                <w:bCs/>
                <w:color w:val="auto"/>
                <w:lang w:val="en-US"/>
              </w:rPr>
              <w:t>Midwest (IL, MN)</w:t>
            </w:r>
          </w:p>
        </w:tc>
        <w:tc>
          <w:tcPr>
            <w:tcW w:w="0" w:type="auto"/>
            <w:hideMark/>
          </w:tcPr>
          <w:p w14:paraId="18376682" w14:textId="77777777" w:rsidR="00877478" w:rsidRPr="00CC7EAF" w:rsidRDefault="00877478" w:rsidP="00CC7EAF">
            <w:pPr>
              <w:pStyle w:val="TableBody"/>
              <w:rPr>
                <w:b/>
                <w:bCs/>
                <w:color w:val="auto"/>
                <w:lang w:val="en-US"/>
              </w:rPr>
            </w:pPr>
            <w:r w:rsidRPr="00CC7EAF">
              <w:rPr>
                <w:b/>
                <w:bCs/>
                <w:color w:val="auto"/>
                <w:lang w:val="en-US"/>
              </w:rPr>
              <w:t>15–19%</w:t>
            </w:r>
          </w:p>
        </w:tc>
        <w:tc>
          <w:tcPr>
            <w:tcW w:w="0" w:type="auto"/>
            <w:hideMark/>
          </w:tcPr>
          <w:p w14:paraId="20643822" w14:textId="77777777" w:rsidR="00877478" w:rsidRPr="00CC7EAF" w:rsidRDefault="00877478" w:rsidP="00CC7EAF">
            <w:pPr>
              <w:pStyle w:val="TableBody"/>
              <w:rPr>
                <w:b/>
                <w:bCs/>
                <w:color w:val="auto"/>
                <w:lang w:val="en-US"/>
              </w:rPr>
            </w:pPr>
            <w:r w:rsidRPr="00CC7EAF">
              <w:rPr>
                <w:b/>
                <w:bCs/>
                <w:color w:val="auto"/>
                <w:lang w:val="en-US"/>
              </w:rPr>
              <w:t>June</w:t>
            </w:r>
          </w:p>
        </w:tc>
        <w:tc>
          <w:tcPr>
            <w:tcW w:w="0" w:type="auto"/>
            <w:hideMark/>
          </w:tcPr>
          <w:p w14:paraId="3FCA3EF4" w14:textId="77777777" w:rsidR="00877478" w:rsidRPr="00CC7EAF" w:rsidRDefault="00877478" w:rsidP="00CC7EAF">
            <w:pPr>
              <w:pStyle w:val="TableBody"/>
              <w:rPr>
                <w:b/>
                <w:bCs/>
                <w:color w:val="auto"/>
                <w:lang w:val="en-US"/>
              </w:rPr>
            </w:pPr>
            <w:r w:rsidRPr="00CC7EAF">
              <w:rPr>
                <w:b/>
                <w:bCs/>
                <w:color w:val="auto"/>
                <w:lang w:val="en-US"/>
              </w:rPr>
              <w:t>December</w:t>
            </w:r>
          </w:p>
        </w:tc>
        <w:tc>
          <w:tcPr>
            <w:tcW w:w="0" w:type="auto"/>
            <w:hideMark/>
          </w:tcPr>
          <w:p w14:paraId="4CDDDEDF" w14:textId="77777777" w:rsidR="00877478" w:rsidRPr="00CC7EAF" w:rsidRDefault="00877478" w:rsidP="00CC7EAF">
            <w:pPr>
              <w:pStyle w:val="TableBody"/>
              <w:rPr>
                <w:b/>
                <w:bCs/>
                <w:color w:val="auto"/>
                <w:lang w:val="en-US"/>
              </w:rPr>
            </w:pPr>
            <w:r w:rsidRPr="00CC7EAF">
              <w:rPr>
                <w:b/>
                <w:bCs/>
                <w:color w:val="auto"/>
                <w:lang w:val="en-US"/>
              </w:rPr>
              <w:t>$0.80–$1.05</w:t>
            </w:r>
          </w:p>
        </w:tc>
      </w:tr>
      <w:tr w:rsidR="00877478" w:rsidRPr="00877478" w14:paraId="3BBBAE2D" w14:textId="77777777" w:rsidTr="00CC7EAF">
        <w:tc>
          <w:tcPr>
            <w:tcW w:w="0" w:type="auto"/>
            <w:hideMark/>
          </w:tcPr>
          <w:p w14:paraId="22C2F825" w14:textId="77777777" w:rsidR="00877478" w:rsidRPr="00CC7EAF" w:rsidRDefault="00877478" w:rsidP="00CC7EAF">
            <w:pPr>
              <w:pStyle w:val="TableBody"/>
              <w:rPr>
                <w:b/>
                <w:bCs/>
                <w:color w:val="auto"/>
                <w:lang w:val="en-US"/>
              </w:rPr>
            </w:pPr>
            <w:r w:rsidRPr="00CC7EAF">
              <w:rPr>
                <w:b/>
                <w:bCs/>
                <w:color w:val="auto"/>
                <w:lang w:val="en-US"/>
              </w:rPr>
              <w:t>Mid-Atlantic (NC, VA)</w:t>
            </w:r>
          </w:p>
        </w:tc>
        <w:tc>
          <w:tcPr>
            <w:tcW w:w="0" w:type="auto"/>
            <w:hideMark/>
          </w:tcPr>
          <w:p w14:paraId="2CB66681" w14:textId="77777777" w:rsidR="00877478" w:rsidRPr="00CC7EAF" w:rsidRDefault="00877478" w:rsidP="00CC7EAF">
            <w:pPr>
              <w:pStyle w:val="TableBody"/>
              <w:rPr>
                <w:b/>
                <w:bCs/>
                <w:color w:val="auto"/>
                <w:lang w:val="en-US"/>
              </w:rPr>
            </w:pPr>
            <w:r w:rsidRPr="00CC7EAF">
              <w:rPr>
                <w:b/>
                <w:bCs/>
                <w:color w:val="auto"/>
                <w:lang w:val="en-US"/>
              </w:rPr>
              <w:t>17–20%</w:t>
            </w:r>
          </w:p>
        </w:tc>
        <w:tc>
          <w:tcPr>
            <w:tcW w:w="0" w:type="auto"/>
            <w:hideMark/>
          </w:tcPr>
          <w:p w14:paraId="6C872C24" w14:textId="77777777" w:rsidR="00877478" w:rsidRPr="00CC7EAF" w:rsidRDefault="00877478" w:rsidP="00CC7EAF">
            <w:pPr>
              <w:pStyle w:val="TableBody"/>
              <w:rPr>
                <w:b/>
                <w:bCs/>
                <w:color w:val="auto"/>
                <w:lang w:val="en-US"/>
              </w:rPr>
            </w:pPr>
            <w:r w:rsidRPr="00CC7EAF">
              <w:rPr>
                <w:b/>
                <w:bCs/>
                <w:color w:val="auto"/>
                <w:lang w:val="en-US"/>
              </w:rPr>
              <w:t>July</w:t>
            </w:r>
          </w:p>
        </w:tc>
        <w:tc>
          <w:tcPr>
            <w:tcW w:w="0" w:type="auto"/>
            <w:hideMark/>
          </w:tcPr>
          <w:p w14:paraId="18B553A5" w14:textId="77777777" w:rsidR="00877478" w:rsidRPr="00CC7EAF" w:rsidRDefault="00877478" w:rsidP="00CC7EAF">
            <w:pPr>
              <w:pStyle w:val="TableBody"/>
              <w:rPr>
                <w:b/>
                <w:bCs/>
                <w:color w:val="auto"/>
                <w:lang w:val="en-US"/>
              </w:rPr>
            </w:pPr>
            <w:r w:rsidRPr="00CC7EAF">
              <w:rPr>
                <w:b/>
                <w:bCs/>
                <w:color w:val="auto"/>
                <w:lang w:val="en-US"/>
              </w:rPr>
              <w:t>December</w:t>
            </w:r>
          </w:p>
        </w:tc>
        <w:tc>
          <w:tcPr>
            <w:tcW w:w="0" w:type="auto"/>
            <w:hideMark/>
          </w:tcPr>
          <w:p w14:paraId="7F56B070" w14:textId="77777777" w:rsidR="00877478" w:rsidRPr="00CC7EAF" w:rsidRDefault="00877478" w:rsidP="00CC7EAF">
            <w:pPr>
              <w:pStyle w:val="TableBody"/>
              <w:rPr>
                <w:b/>
                <w:bCs/>
                <w:color w:val="auto"/>
                <w:lang w:val="en-US"/>
              </w:rPr>
            </w:pPr>
            <w:r w:rsidRPr="00CC7EAF">
              <w:rPr>
                <w:b/>
                <w:bCs/>
                <w:color w:val="auto"/>
                <w:lang w:val="en-US"/>
              </w:rPr>
              <w:t>$0.85–$1.10</w:t>
            </w:r>
          </w:p>
        </w:tc>
      </w:tr>
      <w:tr w:rsidR="00877478" w:rsidRPr="00877478" w14:paraId="053E006E" w14:textId="77777777" w:rsidTr="00CC7EAF">
        <w:tc>
          <w:tcPr>
            <w:tcW w:w="0" w:type="auto"/>
            <w:hideMark/>
          </w:tcPr>
          <w:p w14:paraId="2A15C6FF" w14:textId="77777777" w:rsidR="00877478" w:rsidRPr="00CC7EAF" w:rsidRDefault="00877478" w:rsidP="00CC7EAF">
            <w:pPr>
              <w:pStyle w:val="TableBody"/>
              <w:rPr>
                <w:b/>
                <w:bCs/>
                <w:color w:val="auto"/>
                <w:lang w:val="en-US"/>
              </w:rPr>
            </w:pPr>
            <w:r w:rsidRPr="00CC7EAF">
              <w:rPr>
                <w:b/>
                <w:bCs/>
                <w:color w:val="auto"/>
                <w:lang w:val="en-US"/>
              </w:rPr>
              <w:t>Pacific Northwest (WA, OR)</w:t>
            </w:r>
          </w:p>
        </w:tc>
        <w:tc>
          <w:tcPr>
            <w:tcW w:w="0" w:type="auto"/>
            <w:hideMark/>
          </w:tcPr>
          <w:p w14:paraId="207FE587" w14:textId="77777777" w:rsidR="00877478" w:rsidRPr="00CC7EAF" w:rsidRDefault="00877478" w:rsidP="00CC7EAF">
            <w:pPr>
              <w:pStyle w:val="TableBody"/>
              <w:rPr>
                <w:b/>
                <w:bCs/>
                <w:color w:val="auto"/>
                <w:lang w:val="en-US"/>
              </w:rPr>
            </w:pPr>
            <w:r w:rsidRPr="00CC7EAF">
              <w:rPr>
                <w:b/>
                <w:bCs/>
                <w:color w:val="auto"/>
                <w:lang w:val="en-US"/>
              </w:rPr>
              <w:t>13–16%</w:t>
            </w:r>
          </w:p>
        </w:tc>
        <w:tc>
          <w:tcPr>
            <w:tcW w:w="0" w:type="auto"/>
            <w:hideMark/>
          </w:tcPr>
          <w:p w14:paraId="65952B0E" w14:textId="77777777" w:rsidR="00877478" w:rsidRPr="00CC7EAF" w:rsidRDefault="00877478" w:rsidP="00CC7EAF">
            <w:pPr>
              <w:pStyle w:val="TableBody"/>
              <w:rPr>
                <w:b/>
                <w:bCs/>
                <w:color w:val="auto"/>
                <w:lang w:val="en-US"/>
              </w:rPr>
            </w:pPr>
            <w:r w:rsidRPr="00CC7EAF">
              <w:rPr>
                <w:b/>
                <w:bCs/>
                <w:color w:val="auto"/>
                <w:lang w:val="en-US"/>
              </w:rPr>
              <w:t>July</w:t>
            </w:r>
          </w:p>
        </w:tc>
        <w:tc>
          <w:tcPr>
            <w:tcW w:w="0" w:type="auto"/>
            <w:hideMark/>
          </w:tcPr>
          <w:p w14:paraId="26A1AF13" w14:textId="77777777" w:rsidR="00877478" w:rsidRPr="00CC7EAF" w:rsidRDefault="00877478" w:rsidP="00CC7EAF">
            <w:pPr>
              <w:pStyle w:val="TableBody"/>
              <w:rPr>
                <w:b/>
                <w:bCs/>
                <w:color w:val="auto"/>
                <w:lang w:val="en-US"/>
              </w:rPr>
            </w:pPr>
            <w:r w:rsidRPr="00CC7EAF">
              <w:rPr>
                <w:b/>
                <w:bCs/>
                <w:color w:val="auto"/>
                <w:lang w:val="en-US"/>
              </w:rPr>
              <w:t>December</w:t>
            </w:r>
          </w:p>
        </w:tc>
        <w:tc>
          <w:tcPr>
            <w:tcW w:w="0" w:type="auto"/>
            <w:hideMark/>
          </w:tcPr>
          <w:p w14:paraId="23C63077" w14:textId="77777777" w:rsidR="00877478" w:rsidRPr="00CC7EAF" w:rsidRDefault="00877478" w:rsidP="00CC7EAF">
            <w:pPr>
              <w:pStyle w:val="TableBody"/>
              <w:rPr>
                <w:b/>
                <w:bCs/>
                <w:color w:val="auto"/>
                <w:lang w:val="en-US"/>
              </w:rPr>
            </w:pPr>
            <w:r w:rsidRPr="00CC7EAF">
              <w:rPr>
                <w:b/>
                <w:bCs/>
                <w:color w:val="auto"/>
                <w:lang w:val="en-US"/>
              </w:rPr>
              <w:t>$0.95–$1.20</w:t>
            </w:r>
          </w:p>
        </w:tc>
      </w:tr>
      <w:tr w:rsidR="00877478" w:rsidRPr="00877478" w14:paraId="0055B1E9" w14:textId="77777777" w:rsidTr="00CC7EAF">
        <w:tc>
          <w:tcPr>
            <w:tcW w:w="0" w:type="auto"/>
            <w:hideMark/>
          </w:tcPr>
          <w:p w14:paraId="36A31C1B" w14:textId="77777777" w:rsidR="00877478" w:rsidRPr="00CC7EAF" w:rsidRDefault="00877478" w:rsidP="00CC7EAF">
            <w:pPr>
              <w:pStyle w:val="TableBody"/>
              <w:rPr>
                <w:b/>
                <w:bCs/>
                <w:color w:val="auto"/>
                <w:lang w:val="en-US"/>
              </w:rPr>
            </w:pPr>
            <w:r w:rsidRPr="00CC7EAF">
              <w:rPr>
                <w:b/>
                <w:bCs/>
                <w:color w:val="auto"/>
                <w:lang w:val="en-US"/>
              </w:rPr>
              <w:t>Northeast (NY, MA)</w:t>
            </w:r>
          </w:p>
        </w:tc>
        <w:tc>
          <w:tcPr>
            <w:tcW w:w="0" w:type="auto"/>
            <w:hideMark/>
          </w:tcPr>
          <w:p w14:paraId="2A7A0EBA" w14:textId="77777777" w:rsidR="00877478" w:rsidRPr="00CC7EAF" w:rsidRDefault="00877478" w:rsidP="00CC7EAF">
            <w:pPr>
              <w:pStyle w:val="TableBody"/>
              <w:rPr>
                <w:b/>
                <w:bCs/>
                <w:color w:val="auto"/>
                <w:lang w:val="en-US"/>
              </w:rPr>
            </w:pPr>
            <w:r w:rsidRPr="00CC7EAF">
              <w:rPr>
                <w:b/>
                <w:bCs/>
                <w:color w:val="auto"/>
                <w:lang w:val="en-US"/>
              </w:rPr>
              <w:t>14–17%</w:t>
            </w:r>
          </w:p>
        </w:tc>
        <w:tc>
          <w:tcPr>
            <w:tcW w:w="0" w:type="auto"/>
            <w:hideMark/>
          </w:tcPr>
          <w:p w14:paraId="2793C406" w14:textId="77777777" w:rsidR="00877478" w:rsidRPr="00CC7EAF" w:rsidRDefault="00877478" w:rsidP="00CC7EAF">
            <w:pPr>
              <w:pStyle w:val="TableBody"/>
              <w:rPr>
                <w:b/>
                <w:bCs/>
                <w:color w:val="auto"/>
                <w:lang w:val="en-US"/>
              </w:rPr>
            </w:pPr>
            <w:r w:rsidRPr="00CC7EAF">
              <w:rPr>
                <w:b/>
                <w:bCs/>
                <w:color w:val="auto"/>
                <w:lang w:val="en-US"/>
              </w:rPr>
              <w:t>June</w:t>
            </w:r>
          </w:p>
        </w:tc>
        <w:tc>
          <w:tcPr>
            <w:tcW w:w="0" w:type="auto"/>
            <w:hideMark/>
          </w:tcPr>
          <w:p w14:paraId="6AD3D479" w14:textId="77777777" w:rsidR="00877478" w:rsidRPr="00CC7EAF" w:rsidRDefault="00877478" w:rsidP="00CC7EAF">
            <w:pPr>
              <w:pStyle w:val="TableBody"/>
              <w:rPr>
                <w:b/>
                <w:bCs/>
                <w:color w:val="auto"/>
                <w:lang w:val="en-US"/>
              </w:rPr>
            </w:pPr>
            <w:r w:rsidRPr="00CC7EAF">
              <w:rPr>
                <w:b/>
                <w:bCs/>
                <w:color w:val="auto"/>
                <w:lang w:val="en-US"/>
              </w:rPr>
              <w:t>December</w:t>
            </w:r>
          </w:p>
        </w:tc>
        <w:tc>
          <w:tcPr>
            <w:tcW w:w="0" w:type="auto"/>
            <w:hideMark/>
          </w:tcPr>
          <w:p w14:paraId="5B8B0BEF" w14:textId="77777777" w:rsidR="00877478" w:rsidRPr="00CC7EAF" w:rsidRDefault="00877478" w:rsidP="00CC7EAF">
            <w:pPr>
              <w:pStyle w:val="TableBody"/>
              <w:rPr>
                <w:b/>
                <w:bCs/>
                <w:color w:val="auto"/>
                <w:lang w:val="en-US"/>
              </w:rPr>
            </w:pPr>
            <w:r w:rsidRPr="00CC7EAF">
              <w:rPr>
                <w:b/>
                <w:bCs/>
                <w:color w:val="auto"/>
                <w:lang w:val="en-US"/>
              </w:rPr>
              <w:t>$0.95–$1.25</w:t>
            </w:r>
          </w:p>
        </w:tc>
      </w:tr>
    </w:tbl>
    <w:p w14:paraId="3F76A777" w14:textId="77777777" w:rsidR="00877478" w:rsidRDefault="00877478" w:rsidP="003A6352">
      <w:pPr>
        <w:spacing w:after="120"/>
        <w:ind w:firstLine="480"/>
      </w:pPr>
    </w:p>
    <w:p w14:paraId="458FFAA9" w14:textId="77777777" w:rsidR="00DC09E9" w:rsidRDefault="00D65F06" w:rsidP="00DC09E9">
      <w:pPr>
        <w:keepNext/>
      </w:pPr>
      <w:r w:rsidRPr="00D65F06">
        <w:rPr>
          <w:noProof/>
          <w:lang w:val="en-CA"/>
        </w:rPr>
        <w:lastRenderedPageBreak/>
        <w:drawing>
          <wp:inline distT="0" distB="0" distL="0" distR="0" wp14:anchorId="33ACF5FB" wp14:editId="03D71BC2">
            <wp:extent cx="5615940" cy="1714500"/>
            <wp:effectExtent l="0" t="0" r="3810" b="0"/>
            <wp:docPr id="20851348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rotWithShape="1">
                    <a:blip r:embed="rId13">
                      <a:extLst>
                        <a:ext uri="{28A0092B-C50C-407E-A947-70E740481C1C}">
                          <a14:useLocalDpi xmlns:a14="http://schemas.microsoft.com/office/drawing/2010/main" val="0"/>
                        </a:ext>
                      </a:extLst>
                    </a:blip>
                    <a:srcRect t="9638"/>
                    <a:stretch>
                      <a:fillRect/>
                    </a:stretch>
                  </pic:blipFill>
                  <pic:spPr bwMode="auto">
                    <a:xfrm>
                      <a:off x="0" y="0"/>
                      <a:ext cx="5615940" cy="1714500"/>
                    </a:xfrm>
                    <a:prstGeom prst="rect">
                      <a:avLst/>
                    </a:prstGeom>
                    <a:noFill/>
                    <a:ln>
                      <a:noFill/>
                    </a:ln>
                    <a:extLst>
                      <a:ext uri="{53640926-AAD7-44D8-BBD7-CCE9431645EC}">
                        <a14:shadowObscured xmlns:a14="http://schemas.microsoft.com/office/drawing/2010/main"/>
                      </a:ext>
                    </a:extLst>
                  </pic:spPr>
                </pic:pic>
              </a:graphicData>
            </a:graphic>
          </wp:inline>
        </w:drawing>
      </w:r>
    </w:p>
    <w:p w14:paraId="0D655F26" w14:textId="1F9E60FA" w:rsidR="00D65F06" w:rsidRPr="00D65F06" w:rsidRDefault="00DC09E9" w:rsidP="00DC09E9">
      <w:pPr>
        <w:pStyle w:val="Caption"/>
        <w:jc w:val="center"/>
        <w:rPr>
          <w:lang w:val="en-CA"/>
        </w:rPr>
      </w:pPr>
      <w:r>
        <w:t xml:space="preserve">Figure </w:t>
      </w:r>
      <w:r w:rsidR="002462C2">
        <w:fldChar w:fldCharType="begin"/>
      </w:r>
      <w:r w:rsidR="002462C2">
        <w:instrText xml:space="preserve"> SEQ Figure \* ARABIC </w:instrText>
      </w:r>
      <w:r w:rsidR="002462C2">
        <w:fldChar w:fldCharType="separate"/>
      </w:r>
      <w:r w:rsidR="002462C2">
        <w:rPr>
          <w:noProof/>
        </w:rPr>
        <w:t>2</w:t>
      </w:r>
      <w:r w:rsidR="002462C2">
        <w:rPr>
          <w:noProof/>
        </w:rPr>
        <w:fldChar w:fldCharType="end"/>
      </w:r>
      <w:r>
        <w:t xml:space="preserve"> </w:t>
      </w:r>
      <w:r w:rsidRPr="00D34E72">
        <w:t>. Solar PV installed cost decline (2010-202</w:t>
      </w:r>
      <w:r>
        <w:t>6</w:t>
      </w:r>
      <w:r w:rsidRPr="00D34E72">
        <w:t>)</w:t>
      </w:r>
    </w:p>
    <w:p w14:paraId="554F20B0" w14:textId="43F606AE" w:rsidR="00F11272" w:rsidRDefault="00F11272" w:rsidP="00F11272">
      <w:pPr>
        <w:pStyle w:val="Heading20"/>
        <w:rPr>
          <w:color w:val="auto"/>
        </w:rPr>
      </w:pPr>
      <w:r>
        <w:rPr>
          <w:color w:val="auto"/>
        </w:rPr>
        <w:t>4.2. Solar Photovoltaic Systems</w:t>
      </w:r>
    </w:p>
    <w:p w14:paraId="6D187E94" w14:textId="716F6FEF" w:rsidR="00666BB6" w:rsidRDefault="00666BB6" w:rsidP="00866BB5">
      <w:pPr>
        <w:spacing w:after="120"/>
        <w:ind w:firstLine="480"/>
      </w:pPr>
      <w:r>
        <w:t xml:space="preserve">Wind energy contributes to a complementary generation profile to solar PV, as it is more productive during late-night and winter when solar PV is less </w:t>
      </w:r>
      <w:r w:rsidR="0014625D">
        <w:t>industrious</w:t>
      </w:r>
      <w:r>
        <w:t>. In high resource areas, onshore wind turbines generally have capacity factors of 30-45%, and these are highest in areas like the U.S. Great Plains and in coastal areas which are influenced by offshore wind. The technology for generating power from offshore wind has come a long way and has reached a stage of maturity, where the capacity factor for fixed bottom installations is typically 40-55%, and for floating offshore wind, this is still in line with fixed bottom installations, with deployment to deeper waters underway. Onshore wind's levelized cost has also reduced significantly, now around $26-$50/MWh in recent analyses, making it one of the lowest cost generation sources in the world</w:t>
      </w:r>
      <w:r w:rsidR="00AB5408">
        <w:fldChar w:fldCharType="begin"/>
      </w:r>
      <w:r w:rsidR="00866BB5">
        <w:instrText xml:space="preserve"> ADDIN ZOTERO_ITEM CSL_CITATION {"citationID":"h6bmKIqm","properties":{"unsorted":false,"formattedCitation":"[90]","plainCitation":"[90]","noteIndex":0},"citationItems":[{"id":2051,"uris":["http://zotero.org/users/9870935/items/4VD6QWRZ"],"itemData":{"id":2051,"type":"article-journal","abstract":"Renewable energy sources (RESs), as clean, abundant, and inexhaustible source of energy, have developed quickly in recent years and played more and more important roles around the world. However, RESs also have some disadvantages, such as the weakness of stability, and by the the estimated increase of utilizing RESs in the near future, researchers began to give more attention to these issues. This paper presents a novel output power fluctuate compensation scheme in the small-scale power system, verifying the effect of output power control using storage battery, demand response and RESs. Four scenarios are considered in the proposed approach: real-time pricing demand response employment, RESs output control use and both of demand response and RESs output control implementation. The performance of the proposed control technique is investigated using the real 10-bus power system model of Okinawa island, Japan. Moreover, the system stability is checked using the pole-zero maps for all of the control loops associated with the proposed scheme. The robustness and effectiveness of the proposed method was verified by simulation using Matlab®/Simulink®.","container-title":"Energies","DOI":"10.3390/en11123412","ISSN":"1996-1073","issue":"12","journalAbbreviation":"Energies","language":"en","page":"3412","source":"DOI.org (Crossref)","title":"Load Frequency Control Using Demand Response and Storage Battery by Considering Renewable Energy Sources","volume":"11","author":[{"family":"Liu","given":"Lei"},{"family":"Matayoshi","given":"Hidehito"},{"family":"Lotfy","given":"Mohammed Elsayed"},{"family":"Datta","given":"Manoj"},{"family":"Senjyu","given":"Tomonobu"}],"issued":{"date-parts":[["2018",12,5]]}}}],"schema":"https://github.com/citation-style-language/schema/raw/master/csl-citation.json"} </w:instrText>
      </w:r>
      <w:r w:rsidR="00AB5408">
        <w:fldChar w:fldCharType="separate"/>
      </w:r>
      <w:r w:rsidR="00866BB5" w:rsidRPr="00866BB5">
        <w:t>[90]</w:t>
      </w:r>
      <w:r w:rsidR="00AB5408">
        <w:fldChar w:fldCharType="end"/>
      </w:r>
      <w:r w:rsidR="00AB5408">
        <w:t>.</w:t>
      </w:r>
    </w:p>
    <w:p w14:paraId="5EB5247A" w14:textId="0E114E25" w:rsidR="00D65F06" w:rsidRDefault="00666BB6" w:rsidP="00866BB5">
      <w:pPr>
        <w:spacing w:after="120"/>
        <w:ind w:firstLine="480"/>
      </w:pPr>
      <w:r>
        <w:t>There have been improvements in wind resource assessment through the development of tools for measuring wind resources and atmospheric modeling. While ground-based anemometry is the standard for project-level assessment, the use of LiDAR systems is becoming common for remote wind profiling and wake characterization, providing flexible and cost-effective measurement capabilities. The use of numerical weather prediction (NWP) models and computational fluid dynamics (CFD) can now provide detailed flow characterization of wind over complex terrain. These models account for the loss of downstream turbine energy production due to turbine wake, which can reach 10–30% depending on spacing and atmospheric circumstances. The NREL Offshore Wind Market Report: 2024 Edition reports that the U.S. offshore wind project pipeline is nearly 80,000 MW (about 79.5 GW) in size, reflecting the scale of offshore wind installation in the country</w:t>
      </w:r>
      <w:r w:rsidR="00653A57">
        <w:fldChar w:fldCharType="begin"/>
      </w:r>
      <w:r w:rsidR="00866BB5">
        <w:instrText xml:space="preserve"> ADDIN ZOTERO_ITEM CSL_CITATION {"citationID":"vGg2z3bh","properties":{"unsorted":false,"formattedCitation":"[91]","plainCitation":"[91]","noteIndex":0},"citationItems":[{"id":2054,"uris":["http://zotero.org/users/9870935/items/9TII72A6"],"itemData":{"id":2054,"type":"article","abstract":"Recent work by Lanzilao and Meyers (2024) has shown that wind-farm blockage introduces an unfavourable pressure gradient in front of the farm and a favourable pressure gradient in the farm, which are strongly correlated with the nonlocal efﬁciency and wake efﬁciency, respectively. In particular, the favourable pressure gradient in the farm increases the farm wake efﬁciency, deﬁned as the average farm power normalized by the average front-row power. Here, we investigate the impact of blockage on wake development and the power of wind turbines using an idealized large-eddy simulation setup in which blockage conditions are artiﬁcially introduced using a rigid lid, in addition to using neutral stratiﬁcation and no wind veer. We simulate both inﬁnite and ﬁnite single turbine rows, as well as a setup with two staggered rows. Blockage strength is adjusted by varying the boundary layer height (H ) and turbine spacing (S). We ﬁnd that blockage strongly affects near-wake behaviour, altering Froude momentum theory, by introducing a favourable pressure difference (1pNW) across the turbine row. The same setup also leads to an unfavourable pressure difference (1pFW) in the far wake, which simply follows from the rigid-lid conditions and the change in momentum ﬂux due to wake recovery. A strong positive correlation of −1pNW with both the power coefﬁcient (CP) and thrust coefﬁcient (CT) is observed. Speciﬁcally, as S and H decrease, −1pNW, CP, and CT increase. At the same time, a lower induction is observed at the rotor disc, and a lower wake deﬁcit, in the near wake. The reduction of near-wake velocity deﬁcit as a result of blockage also translates into lower deﬁcits and wake widths in the far wake. When scaling the far-wake development with the initial far-wake deﬁcit and width, we do not see a direct effect of the adverse pressure gradient on the wake recovery. However, we do see a profound effect of H on the wake spreading, with higher boundary layers leading to faster spreading. This relates to the fact that the wake can more freely expand vertically in high-boundary layer cases into a larger region of high-speed ﬂow than for shallow boundary layers. Finally, we introduce a simpliﬁed Froude momentum balance to parameterize the relation between blockage, pressure drop, and near-wake properties and compare it to the large-eddy simulation results.","DOI":"10.5194/wes-2025-6","language":"en","license":"https://creativecommons.org/licenses/by/4.0/","publisher":"Fluid mechanics/Wakes and wind farm aerodynamics","source":"DOI.org (Crossref)","title":"Effect of blockage on wind turbine power and wake development","URL":"https://wes.copernicus.org/articles/10/2079/2025/wes-10-2079-2025-discussion.html","author":[{"family":"Ndindayino","given":"Olivier"},{"family":"Puel","given":"Augustin"},{"family":"Meyers","given":"Johan"}],"accessed":{"date-parts":[["2026",5,17]]},"issued":{"date-parts":[["2025",2,12]]}}}],"schema":"https://github.com/citation-style-language/schema/raw/master/csl-citation.json"} </w:instrText>
      </w:r>
      <w:r w:rsidR="00653A57">
        <w:fldChar w:fldCharType="separate"/>
      </w:r>
      <w:r w:rsidR="00866BB5" w:rsidRPr="00866BB5">
        <w:t>[91]</w:t>
      </w:r>
      <w:r w:rsidR="00653A57">
        <w:fldChar w:fldCharType="end"/>
      </w:r>
      <w:r>
        <w:t>.</w:t>
      </w:r>
    </w:p>
    <w:p w14:paraId="321DFD9D" w14:textId="750D88E6" w:rsidR="00436A2E" w:rsidRDefault="00436A2E" w:rsidP="00436A2E">
      <w:pPr>
        <w:pStyle w:val="Heading20"/>
        <w:rPr>
          <w:color w:val="auto"/>
        </w:rPr>
      </w:pPr>
      <w:r>
        <w:rPr>
          <w:color w:val="auto"/>
        </w:rPr>
        <w:t>4.3. Hydroelectric Power</w:t>
      </w:r>
    </w:p>
    <w:p w14:paraId="39738758" w14:textId="0EB81851" w:rsidR="009035F8" w:rsidRDefault="009035F8" w:rsidP="001623F2">
      <w:pPr>
        <w:spacing w:after="120"/>
        <w:ind w:firstLine="480"/>
      </w:pPr>
      <w:r>
        <w:t>The dispatchability and ability to use hydro assets as generation and storage resources give it special attributes for data center integration. ROR (run of river) hydroelectric projects provide relatively stable baseload production, dependent on the flow variability for a particular season, and capacity factors are generally between 40</w:t>
      </w:r>
      <w:r w:rsidR="002641B9">
        <w:t>-</w:t>
      </w:r>
      <w:r>
        <w:t>60</w:t>
      </w:r>
      <w:r w:rsidR="002641B9">
        <w:t>%</w:t>
      </w:r>
      <w:r w:rsidR="00095712">
        <w:fldChar w:fldCharType="begin"/>
      </w:r>
      <w:r w:rsidR="00095712">
        <w:instrText xml:space="preserve"> ADDIN ZOTERO_ITEM CSL_CITATION {"citationID":"HWrKIYzN","properties":{"unsorted":false,"formattedCitation":"[43]","plainCitation":"[43]","noteIndex":0},"citationItems":[{"id":1977,"uris":["http://zotero.org/users/9870935/items/F2FF39J5"],"itemData":{"id":1977,"type":"article-journal","abstract":"Energy storage technologies are becoming increasingly important when it comes to maintaining the balance between electricity generation and consumption, especially with the increasing share of variable renewable energy sources (VRES). Pumped storage hydropower plants (PSHs) are currently the largest form of energy storage at the grid level. The aim of this study is to investigate the importance and prospects of using PSHs as part of the energy transition to decarbonize energy sources. A comparison was made between PSHs and battery energy storage systems (BESSs) in terms of technical, economic, and ecological aspects. To identify the key factors influencing the wider adoption of PSHs, a combined approach using SWOT analysis (which assesses strengths, weaknesses, opportunities, and threats) and the Analytical Hierarchy Process (AHP) as a decision support tool was applied. Regulatory and market uncertainties (13.54%) and financial inequality (12.77%) rank first and belong to the “Threats” group, with energy storage capacity (10.11%) as the most important factor from the “Strengths” group and increased demand for energy storage (9.01%) as the most important factor from the “Opportunities” group. Forecasts up to 2050 show that the capacity of PSHs must be doubled to enable the integration of 80% of VRES into the grids. The study concludes that PSHs play a key role in the energy transition, especially for long-term energy storage and grid stabilization, while BESSs offer complementary benefits for short-term storage and fast frequency regulation. Recommendations to policymakers include the development of clear, accelerated project approval procedures, financial incentives, and support for hybrid PSH systems to accelerate the energy transition and meet decarbonization targets.","container-title":"Technologies","DOI":"10.3390/technologies13070305","ISSN":"2227-7080","issue":"7","journalAbbreviation":"Technologies","language":"en","page":"305","source":"DOI.org (Crossref)","title":"SWOT-AHP Analysis of the Importance and Adoption of Pumped-Storage Hydropower","volume":"13","author":[{"family":"Bošnjaković","given":"Mladen"},{"family":"Veljić","given":"Nataša"},{"family":"Božič","given":"Jelena Topić"},{"family":"Muhič","given":"Simon"}],"issued":{"date-parts":[["2025",7,16]]}}}],"schema":"https://github.com/citation-style-language/schema/raw/master/csl-citation.json"} </w:instrText>
      </w:r>
      <w:r w:rsidR="00095712">
        <w:fldChar w:fldCharType="separate"/>
      </w:r>
      <w:r w:rsidR="00095712" w:rsidRPr="00095712">
        <w:t>[43]</w:t>
      </w:r>
      <w:r w:rsidR="00095712">
        <w:fldChar w:fldCharType="end"/>
      </w:r>
      <w:r>
        <w:t xml:space="preserve">. Reservoir based systems provide storage capacity from days to months and thus can provide firming capacity for variable renewables. The largest technology for grid-scale energy storage is pumped </w:t>
      </w:r>
      <w:r>
        <w:lastRenderedPageBreak/>
        <w:t>storage hydropower (PSH), which now makes up about 95</w:t>
      </w:r>
      <w:r w:rsidR="00EE6C9C">
        <w:t xml:space="preserve">% of </w:t>
      </w:r>
      <w:r>
        <w:t>installed storage worldwide and has a round-trip efficiency between 70</w:t>
      </w:r>
      <w:r w:rsidR="00EE6C9C">
        <w:t>-</w:t>
      </w:r>
      <w:r>
        <w:t>85</w:t>
      </w:r>
      <w:r w:rsidR="00EE6C9C">
        <w:t>%</w:t>
      </w:r>
      <w:r w:rsidR="001623F2">
        <w:fldChar w:fldCharType="begin"/>
      </w:r>
      <w:r w:rsidR="001623F2">
        <w:instrText xml:space="preserve"> ADDIN ZOTERO_ITEM CSL_CITATION {"citationID":"iKGaFVBd","properties":{"unsorted":false,"formattedCitation":"[44]","plainCitation":"[44]","noteIndex":0},"citationItems":[{"id":1980,"uris":["http://zotero.org/users/9870935/items/LG6W4RRX"],"itemData":{"id":1980,"type":"article-journal","container-title":"Renewable Energy","DOI":"10.1016/j.renene.2024.121411","ISSN":"09601481","journalAbbreviation":"Renewable Energy","language":"en","page":"121411","source":"DOI.org (Crossref)","title":"The role of hydropower in decarbonisation scenarios","volume":"236","author":[{"family":"Catania","given":"M."},{"family":"Parolin","given":"F."},{"family":"Fattori","given":"F."},{"family":"Colbertaldo","given":"P."}],"issued":{"date-parts":[["2024",12]]}}}],"schema":"https://github.com/citation-style-language/schema/raw/master/csl-citation.json"} </w:instrText>
      </w:r>
      <w:r w:rsidR="001623F2">
        <w:fldChar w:fldCharType="separate"/>
      </w:r>
      <w:r w:rsidR="001623F2" w:rsidRPr="001623F2">
        <w:t>[44]</w:t>
      </w:r>
      <w:r w:rsidR="001623F2">
        <w:fldChar w:fldCharType="end"/>
      </w:r>
      <w:r>
        <w:t>.</w:t>
      </w:r>
    </w:p>
    <w:p w14:paraId="76EB0B50" w14:textId="2F141321" w:rsidR="00436A2E" w:rsidRDefault="009035F8" w:rsidP="00866BB5">
      <w:pPr>
        <w:spacing w:after="120"/>
        <w:ind w:firstLine="480"/>
      </w:pPr>
      <w:r>
        <w:t>Hydro is not scalable for data center applications, primarily due to geographic constraints. The geomorphic conditions required for developing new PSH include a large vertical difference in elevation between the upper and lower reservoirs, the presence of a data center load center, and availability of water. New hydroelectric developments can take 5 to 10 years to obtain environmental permits, and the requirements are complex, covering impacts to aquatic ecosystems, recreational use, and recreational values</w:t>
      </w:r>
      <w:r w:rsidR="001E2527">
        <w:fldChar w:fldCharType="begin"/>
      </w:r>
      <w:r w:rsidR="00866BB5">
        <w:instrText xml:space="preserve"> ADDIN ZOTERO_ITEM CSL_CITATION {"citationID":"dA9ckfvX","properties":{"unsorted":false,"formattedCitation":"[92]","plainCitation":"[92]","noteIndex":0},"citationItems":[{"id":2055,"uris":["http://zotero.org/users/9870935/items/L7F3BAIB"],"itemData":{"id":2055,"type":"article-journal","container-title":"Journal of Energy Storage","DOI":"10.1016/j.est.2023.109306","ISSN":"2352152X","journalAbbreviation":"Journal of Energy Storage","language":"en","page":"109306","source":"DOI.org (Crossref)","title":"Optimization of pumped hydro energy storage systems under uncertainty: A review","title-short":"Optimization of pumped hydro energy storage systems under uncertainty","volume":"73","author":[{"family":"Toufani","given":"Parinaz"},{"family":"Karakoyun","given":"Ece Cigdem"},{"family":"Nadar","given":"Emre"},{"family":"Fosso","given":"Olav B."},{"family":"Kocaman","given":"Ayse Selin"}],"issued":{"date-parts":[["2023",12]]}}}],"schema":"https://github.com/citation-style-language/schema/raw/master/csl-citation.json"} </w:instrText>
      </w:r>
      <w:r w:rsidR="001E2527">
        <w:fldChar w:fldCharType="separate"/>
      </w:r>
      <w:r w:rsidR="00866BB5" w:rsidRPr="00866BB5">
        <w:t>[92]</w:t>
      </w:r>
      <w:r w:rsidR="001E2527">
        <w:fldChar w:fldCharType="end"/>
      </w:r>
      <w:r>
        <w:t>. But the current PSH facilities are an underutilized asset in data center integration, especially in areas with substantial capacity like the Appalachian Mountains (U.S.), the Alps (Europe), and the Scandinavian Peninsula.</w:t>
      </w:r>
    </w:p>
    <w:p w14:paraId="31085ED5" w14:textId="17CA1F7D" w:rsidR="00AA7BA7" w:rsidRDefault="00AA7BA7" w:rsidP="00AA7BA7">
      <w:pPr>
        <w:pStyle w:val="Heading20"/>
        <w:rPr>
          <w:color w:val="auto"/>
        </w:rPr>
      </w:pPr>
      <w:r>
        <w:rPr>
          <w:color w:val="auto"/>
        </w:rPr>
        <w:t>4.4. Resource Assessment Methodlogies</w:t>
      </w:r>
    </w:p>
    <w:p w14:paraId="23840D5E" w14:textId="1A9C6815" w:rsidR="00F432AD" w:rsidRPr="00F432AD" w:rsidRDefault="00F432AD" w:rsidP="00866BB5">
      <w:pPr>
        <w:spacing w:after="120"/>
        <w:ind w:firstLine="480"/>
      </w:pPr>
      <w:r w:rsidRPr="00F432AD">
        <w:t>Proper resource assessment is the backbone of economic success for renewable powered data centers. Solar irradiance data has been drawn from databases that are derived from satellite observations, including the Global Solar Atlas generated by the World Bank (WB), PVGIS [94] generated by European Commission Joint Research Centre (JRC), and ground-station measurements from networks like the National Solar Radiation Database (NSRDB) by NREL</w:t>
      </w:r>
      <w:r w:rsidR="00EC11D5">
        <w:fldChar w:fldCharType="begin"/>
      </w:r>
      <w:r w:rsidR="00866BB5">
        <w:instrText xml:space="preserve"> ADDIN ZOTERO_ITEM CSL_CITATION {"citationID":"IvpZO7M8","properties":{"unsorted":false,"formattedCitation":"[93]","plainCitation":"[93]","noteIndex":0},"citationItems":[{"id":2056,"uris":["http://zotero.org/users/9870935/items/4AKN5FB8"],"itemData":{"id":2056,"type":"paper-conference","container-title":"2025 Brazilian Power Electronics Conference (COBEP)","DOI":"10.1109/COBEP66423.2025.11231587","event-title":"2025 Brazilian Power Electronics Conference (COBEP)","ISBN":"979-8-3315-5327-2","license":"https://doi.org/10.15223/policy-029","page":"1-6","publisher":"IEEE","publisher-place":"Vitoria, Brazil","source":"DOI.org (Crossref)","title":"A Two-Stage Methodology for Accurate PV Energy Yield Estimation Using Satellite Weather Data and PV Modeling Python Library","URL":"https://ieeexplore.ieee.org/document/11231587/","author":[{"family":"De Paula","given":"João Frederico Souza"},{"family":"De Souza Silva","given":"João Lucas"},{"family":"De Paula","given":"Marcelo Vinícius"},{"family":"Fraidenraich","given":"Gustavo"},{"family":"Dos Santos Barros","given":"Tárcio André"}],"accessed":{"date-parts":[["2026",5,17]]},"issued":{"date-parts":[["2025",10,5]]}}}],"schema":"https://github.com/citation-style-language/schema/raw/master/csl-citation.json"} </w:instrText>
      </w:r>
      <w:r w:rsidR="00EC11D5">
        <w:fldChar w:fldCharType="separate"/>
      </w:r>
      <w:r w:rsidR="00866BB5" w:rsidRPr="00866BB5">
        <w:t>[93]</w:t>
      </w:r>
      <w:r w:rsidR="00EC11D5">
        <w:fldChar w:fldCharType="end"/>
      </w:r>
      <w:r w:rsidRPr="00F432AD">
        <w:t>. The standard input for energy yield simulations are datasets of typical meteorological year (TMY) data that are developed from multi-year historical records that are representative in a statistical sense. Typical uncertainty in energy yield predictions is 5% to 10% for well-characterized sites and 15% to 20% for sites with limited measurement data</w:t>
      </w:r>
      <w:r w:rsidR="00596679">
        <w:fldChar w:fldCharType="begin"/>
      </w:r>
      <w:r w:rsidR="00866BB5">
        <w:instrText xml:space="preserve"> ADDIN ZOTERO_ITEM CSL_CITATION {"citationID":"kk3W6zUf","properties":{"unsorted":false,"formattedCitation":"[94]","plainCitation":"[94]","noteIndex":0},"citationItems":[{"id":2057,"uris":["http://zotero.org/users/9870935/items/MBI2S75Z"],"itemData":{"id":2057,"type":"article-journal","container-title":"Solar Energy","DOI":"10.1016/j.solener.2019.07.069","ISSN":"0038092X","journalAbbreviation":"Solar Energy","language":"en","page":"299-306","source":"DOI.org (Crossref)","title":"Methodology for generating high time resolution typical meteorological year data for accurate photovoltaic energy yield modelling","volume":"189","author":[{"family":"Ernst","given":"Marco"},{"family":"Gooday","given":"Jack"}],"issued":{"date-parts":[["2019",9]]}}}],"schema":"https://github.com/citation-style-language/schema/raw/master/csl-citation.json"} </w:instrText>
      </w:r>
      <w:r w:rsidR="00596679">
        <w:fldChar w:fldCharType="separate"/>
      </w:r>
      <w:r w:rsidR="00866BB5" w:rsidRPr="00866BB5">
        <w:t>[94]</w:t>
      </w:r>
      <w:r w:rsidR="00596679">
        <w:fldChar w:fldCharType="end"/>
      </w:r>
      <w:r w:rsidRPr="00F432AD">
        <w:t>.</w:t>
      </w:r>
    </w:p>
    <w:p w14:paraId="2BAAB34A" w14:textId="065D58BB" w:rsidR="00AA7BA7" w:rsidRPr="00F432AD" w:rsidRDefault="00F432AD" w:rsidP="00866BB5">
      <w:pPr>
        <w:spacing w:after="120"/>
        <w:ind w:firstLine="480"/>
      </w:pPr>
      <w:r w:rsidRPr="00F432AD">
        <w:t>Geographic Information System (GIS) analysis is a powerful tool for site suitability assessment and can be used to evaluate a site based on a number of criteria including resource availability, proximity to the grid, land cost and availability, water availability for cooling, environmental constraints and construction accessibility</w:t>
      </w:r>
      <w:r w:rsidR="00DC3063">
        <w:fldChar w:fldCharType="begin"/>
      </w:r>
      <w:r w:rsidR="00866BB5">
        <w:instrText xml:space="preserve"> ADDIN ZOTERO_ITEM CSL_CITATION {"citationID":"NqfWsidk","properties":{"unsorted":false,"formattedCitation":"[95]","plainCitation":"[95]","noteIndex":0},"citationItems":[{"id":2058,"uris":["http://zotero.org/users/9870935/items/W5T4VP3N"],"itemData":{"id":2058,"type":"article-journal","container-title":"Unconventional Resources","DOI":"10.1016/j.uncres.2025.100192","ISSN":"26665190","journalAbbreviation":"Unconventional Resources","language":"en","page":"100192","source":"DOI.org (Crossref)","title":"Multi-criteria GIS-based approach for optimal site selection of solar and wind energy","volume":"7","author":[{"family":"Nassar","given":"Ahmed K."},{"family":"Al-Dulaimi","given":"Omer"},{"family":"Fakhruldeen","given":"Hassan Falah"},{"family":"Sapaev","given":"I.B."},{"family":"Jabbar","given":"Feryal Ibrahim"},{"family":"Dawood","given":"Imad Ibrahim"},{"family":"Khalaf","given":"Doaa H."},{"family":"Algburi","given":"Sameer"}],"issued":{"date-parts":[["2025",7]]}}}],"schema":"https://github.com/citation-style-language/schema/raw/master/csl-citation.json"} </w:instrText>
      </w:r>
      <w:r w:rsidR="00DC3063">
        <w:fldChar w:fldCharType="separate"/>
      </w:r>
      <w:r w:rsidR="00866BB5" w:rsidRPr="00866BB5">
        <w:t>[95]</w:t>
      </w:r>
      <w:r w:rsidR="00DC3063">
        <w:fldChar w:fldCharType="end"/>
      </w:r>
      <w:r w:rsidRPr="00F432AD">
        <w:t>. These machine learning techniques have improved the GIS-based assessment by allowing for automated selection of the best sites from large geospatial datasets, potentially saving time and money in the preliminary feasibility studies</w:t>
      </w:r>
      <w:r w:rsidR="003546AC">
        <w:fldChar w:fldCharType="begin"/>
      </w:r>
      <w:r w:rsidR="00866BB5">
        <w:instrText xml:space="preserve"> ADDIN ZOTERO_ITEM CSL_CITATION {"citationID":"XsHnBnNn","properties":{"unsorted":false,"formattedCitation":"[96]","plainCitation":"[96]","noteIndex":0},"citationItems":[{"id":2059,"uris":["http://zotero.org/users/9870935/items/JGZPYJ4A"],"itemData":{"id":2059,"type":"article-journal","abstract":"ABSTRACT\n            Many of the Pacific's small island‐nations have traditionally used diesel generators in the operation of their electricity grids. That said, more recently there has been a move towards greater use of renewable energy sources for electricity, in particular solar energy. A challenge to this, however, is ensuring that there is appropriate typical meteorological year data to facilitate an understanding of the output from these systems (especially at utility scale). Although there are numerous typical meteorological year datasets for the Pacific island‐nations many of these are based on satellite inferred data. In this study, a typical meteorological year was developed for the island of Rarotonga, Cook Islands, using ground‐based measurements. When compared to an existing typical meteorological year derived from satellite data, it was found that the satellite significantly overpredicted global horizontal irradiation for much of the year. This over‐prediction was found to be due, at least in part, to the satellite data not resolving the effect of water in the atmosphere, (clouds and rainfall) on the solar irradiation correctly. On this basis, it demonstrates that although typical meteorological year derived from satellite data are a useful starting point for energy simulations in the Pacific island‐nations, there is a need to improve these datasets to support their transition to renewable electricity generation.","container-title":"Journal of the Royal Society of New Zealand","DOI":"10.1080/03036758.2021.2013262","ISSN":"0303-6758, 1175-8899","issue":"5","journalAbbreviation":"Journal of the Royal Society of New Zealand","language":"en","license":"http://onlinelibrary.wiley.com/termsAndConditions#vor","page":"606-613","source":"DOI.org (Crossref)","title":"An improved typical meteorological year for solar energy simulations in Rarotonga, Cook Islands","volume":"52","author":[{"family":"Anderson","given":"Timothy"}],"issued":{"date-parts":[["2022",10]]}}}],"schema":"https://github.com/citation-style-language/schema/raw/master/csl-citation.json"} </w:instrText>
      </w:r>
      <w:r w:rsidR="003546AC">
        <w:fldChar w:fldCharType="separate"/>
      </w:r>
      <w:r w:rsidR="00866BB5" w:rsidRPr="00866BB5">
        <w:t>[96]</w:t>
      </w:r>
      <w:r w:rsidR="003546AC">
        <w:fldChar w:fldCharType="end"/>
      </w:r>
      <w:r w:rsidRPr="00F432AD">
        <w:t>.</w:t>
      </w:r>
    </w:p>
    <w:p w14:paraId="55876FF1" w14:textId="3D51273B" w:rsidR="00DB6901" w:rsidRDefault="00DB6901" w:rsidP="00DB6901">
      <w:pPr>
        <w:pStyle w:val="Heading20"/>
        <w:rPr>
          <w:color w:val="auto"/>
        </w:rPr>
      </w:pPr>
      <w:r>
        <w:rPr>
          <w:color w:val="auto"/>
        </w:rPr>
        <w:t>4.5. Geographic Variability and Seasonal Patterns</w:t>
      </w:r>
    </w:p>
    <w:p w14:paraId="3E9FEAFD" w14:textId="5CB4E556" w:rsidR="00F07E08" w:rsidRDefault="00F07E08" w:rsidP="00866BB5">
      <w:pPr>
        <w:spacing w:after="120"/>
        <w:ind w:firstLine="480"/>
      </w:pPr>
      <w:r w:rsidRPr="00F07E08">
        <w:t>It is important to appreciate the temporal variation of renewable resources when designing systems to satisfy reliability requirements. Solar generation fluctuates regularly on a diurnal and seasonal basis, typically peaking during the day (roughly between 6am and 6pm) and summer in temperate climates. Stochastic variability occurs on timescales of minutes to hours due to cloud cover, and the forecast errors on these timescales are generally between 5</w:t>
      </w:r>
      <w:r w:rsidR="002C35E0">
        <w:t>-</w:t>
      </w:r>
      <w:r w:rsidRPr="00F07E08">
        <w:t>10</w:t>
      </w:r>
      <w:r w:rsidR="002C35E0">
        <w:t xml:space="preserve">% </w:t>
      </w:r>
      <w:r w:rsidRPr="00F07E08">
        <w:t>mean absolute percentage error (MAPE)</w:t>
      </w:r>
      <w:r w:rsidR="00F20B6D">
        <w:fldChar w:fldCharType="begin"/>
      </w:r>
      <w:r w:rsidR="00866BB5">
        <w:instrText xml:space="preserve"> ADDIN ZOTERO_ITEM CSL_CITATION {"citationID":"OfkCYwiH","properties":{"unsorted":false,"formattedCitation":"[97]","plainCitation":"[97]","noteIndex":0},"citationItems":[{"id":2061,"uris":["http://zotero.org/users/9870935/items/9Q8RHM8Q"],"itemData":{"id":2061,"type":"article-journal","container-title":"Energy Conversion and Management","DOI":"10.1016/j.enconman.2022.116160","ISSN":"01968904","journalAbbreviation":"Energy Conversion and Management","language":"en","page":"116160","source":"DOI.org (Crossref)","title":"Projections of energy yield- and complementarity-driven wind energy expansion scenarios in the European Union","volume":"269","author":[{"family":"Jung","given":"Christopher"},{"family":"Schindler","given":"Dirk"}],"issued":{"date-parts":[["2022",10]]}}}],"schema":"https://github.com/citation-style-language/schema/raw/master/csl-citation.json"} </w:instrText>
      </w:r>
      <w:r w:rsidR="00F20B6D">
        <w:fldChar w:fldCharType="separate"/>
      </w:r>
      <w:r w:rsidR="00866BB5" w:rsidRPr="00866BB5">
        <w:t>[97]</w:t>
      </w:r>
      <w:r w:rsidR="00F20B6D">
        <w:fldChar w:fldCharType="end"/>
      </w:r>
      <w:r w:rsidRPr="00F07E08">
        <w:t>. Wind generation has also been observed to have varying temporal characteristics, in most mid-latitude regions, wind energy tends to be higher at night and through the winter season, so as to complement solar energy.</w:t>
      </w:r>
      <w:r w:rsidR="00380ED5">
        <w:t xml:space="preserve"> Figure 3, replicates the monthly wind-solar capacity factor </w:t>
      </w:r>
      <w:r w:rsidR="00CC5EED">
        <w:t>complementarity during various months of the year</w:t>
      </w:r>
      <w:r w:rsidR="00CC5EED">
        <w:fldChar w:fldCharType="begin"/>
      </w:r>
      <w:r w:rsidR="00866BB5">
        <w:instrText xml:space="preserve"> ADDIN ZOTERO_ITEM CSL_CITATION {"citationID":"RWh2n7nl","properties":{"unsorted":false,"formattedCitation":"[16], [87]","plainCitation":"[16], [87]","noteIndex":0},"citationItems":[{"id":1925,"uris":["http://zotero.org/users/9870935/items/ZT343IZI"],"itemData":{"id":1925,"type":"article-journal","language":"en","source":"Zotero","title":"Renewable power generation costs in 2024","URL":"https://www.rinnovabili.it/wp-content/uploads/2025/07/IRENA-RENEWABLE-POWER-GENERATION-COSTS-IN-2024.pdf"}},{"id":2048,"uris":["http://zotero.org/users/9870935/items/2IV8CPDJ"],"itemData":{"id":2048,"type":"post-weblog","title":"National Renewable Energy Laboratory (NREL). (2026)","URL":"https://atb.nrel.gov/","author":[{"family":"NREL","given":""}]}}],"schema":"https://github.com/citation-style-language/schema/raw/master/csl-citation.json"} </w:instrText>
      </w:r>
      <w:r w:rsidR="00CC5EED">
        <w:fldChar w:fldCharType="separate"/>
      </w:r>
      <w:r w:rsidR="00866BB5" w:rsidRPr="00866BB5">
        <w:t>[16], [87]</w:t>
      </w:r>
      <w:r w:rsidR="00CC5EED">
        <w:fldChar w:fldCharType="end"/>
      </w:r>
      <w:r w:rsidR="00CC5EED">
        <w:t>.</w:t>
      </w:r>
    </w:p>
    <w:p w14:paraId="5882EEFD" w14:textId="77777777" w:rsidR="002462C2" w:rsidRDefault="00B93B28" w:rsidP="002462C2">
      <w:pPr>
        <w:keepNext/>
        <w:spacing w:after="120"/>
        <w:ind w:firstLine="480"/>
        <w:jc w:val="center"/>
      </w:pPr>
      <w:r>
        <w:rPr>
          <w:noProof/>
        </w:rPr>
        <w:lastRenderedPageBreak/>
        <w:drawing>
          <wp:inline distT="0" distB="0" distL="0" distR="0" wp14:anchorId="2806141A" wp14:editId="5926364F">
            <wp:extent cx="4191000" cy="2372029"/>
            <wp:effectExtent l="0" t="0" r="0" b="9525"/>
            <wp:docPr id="1918854651" name="Picture 1918854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4"/>
                    <a:srcRect t="7423"/>
                    <a:stretch>
                      <a:fillRect/>
                    </a:stretch>
                  </pic:blipFill>
                  <pic:spPr bwMode="auto">
                    <a:xfrm>
                      <a:off x="0" y="0"/>
                      <a:ext cx="4191000" cy="2372029"/>
                    </a:xfrm>
                    <a:prstGeom prst="rect">
                      <a:avLst/>
                    </a:prstGeom>
                    <a:ln>
                      <a:noFill/>
                    </a:ln>
                    <a:extLst>
                      <a:ext uri="{53640926-AAD7-44D8-BBD7-CCE9431645EC}">
                        <a14:shadowObscured xmlns:a14="http://schemas.microsoft.com/office/drawing/2010/main"/>
                      </a:ext>
                    </a:extLst>
                  </pic:spPr>
                </pic:pic>
              </a:graphicData>
            </a:graphic>
          </wp:inline>
        </w:drawing>
      </w:r>
    </w:p>
    <w:p w14:paraId="59AF69B4" w14:textId="1F9B4FF4" w:rsidR="00B93B28" w:rsidRPr="00F07E08" w:rsidRDefault="002462C2" w:rsidP="002462C2">
      <w:pPr>
        <w:pStyle w:val="Caption"/>
        <w:jc w:val="center"/>
        <w:rPr>
          <w:i w:val="0"/>
          <w:color w:val="000000"/>
        </w:rPr>
      </w:pPr>
      <w:r>
        <w:t xml:space="preserve">Figure </w:t>
      </w:r>
      <w:r>
        <w:fldChar w:fldCharType="begin"/>
      </w:r>
      <w:r>
        <w:instrText xml:space="preserve"> SEQ Figure \* ARABIC </w:instrText>
      </w:r>
      <w:r>
        <w:fldChar w:fldCharType="separate"/>
      </w:r>
      <w:r>
        <w:rPr>
          <w:noProof/>
        </w:rPr>
        <w:t>3</w:t>
      </w:r>
      <w:r>
        <w:rPr>
          <w:noProof/>
        </w:rPr>
        <w:fldChar w:fldCharType="end"/>
      </w:r>
      <w:r>
        <w:t xml:space="preserve"> </w:t>
      </w:r>
      <w:r w:rsidRPr="00F80171">
        <w:t>Monthly wind-solar capacity factor complementarity</w:t>
      </w:r>
    </w:p>
    <w:p w14:paraId="4ED5DCBA" w14:textId="38A9EB56" w:rsidR="00DB6901" w:rsidRPr="00F07E08" w:rsidRDefault="00F07E08" w:rsidP="00866BB5">
      <w:pPr>
        <w:spacing w:after="120"/>
        <w:ind w:firstLine="480"/>
      </w:pPr>
      <w:r w:rsidRPr="00F07E08">
        <w:t>The most common method to quantify wind-solar complementarity is by correlation analysis using the Spearman or Pearson correlation coefficient over various time scales (Hourly, Daily or Monthly). It was shown in various regions of Europe that the combined deployment of wind and solar power can benefit from cross-country coordination, which can improve the capacity factor of the combined plant by around 22</w:t>
      </w:r>
      <w:r w:rsidR="00527876">
        <w:t xml:space="preserve">% </w:t>
      </w:r>
      <w:r w:rsidRPr="00F07E08">
        <w:t>compared to a single plant deployment</w:t>
      </w:r>
      <w:r w:rsidR="00095E8E">
        <w:fldChar w:fldCharType="begin"/>
      </w:r>
      <w:r w:rsidR="00866BB5">
        <w:instrText xml:space="preserve"> ADDIN ZOTERO_ITEM CSL_CITATION {"citationID":"anSnTjMg","properties":{"unsorted":false,"formattedCitation":"[98]","plainCitation":"[98]","noteIndex":0},"citationItems":[{"id":2063,"uris":["http://zotero.org/users/9870935/items/47PEXHYC"],"itemData":{"id":2063,"type":"article-journal","container-title":"Communications Earth &amp; Environment","DOI":"10.1038/s43247-024-01850-5","ISSN":"2662-4435","issue":"1","journalAbbreviation":"Commun Earth Environ","language":"en","page":"661","source":"DOI.org (Crossref)","title":"Renewable energy quality trilemma and coincident wind and solar droughts","volume":"5","author":[{"family":"Li","given":"Mingquan"},{"family":"Ma","given":"Qingyuan"},{"family":"Shan","given":"Rui"},{"family":"Abdulla","given":"Ahmed"},{"family":"Virguez","given":"Edgar"},{"family":"Gao","given":"Shuo"},{"family":"Patiño-Echeverri","given":"Dalia"}],"issued":{"date-parts":[["2024",11,6]]}}}],"schema":"https://github.com/citation-style-language/schema/raw/master/csl-citation.json"} </w:instrText>
      </w:r>
      <w:r w:rsidR="00095E8E">
        <w:fldChar w:fldCharType="separate"/>
      </w:r>
      <w:r w:rsidR="00866BB5" w:rsidRPr="00866BB5">
        <w:t>[98]</w:t>
      </w:r>
      <w:r w:rsidR="00095E8E">
        <w:fldChar w:fldCharType="end"/>
      </w:r>
      <w:r w:rsidRPr="00F07E08">
        <w:t>. In data center applications, this redundancy gives direct benefit in terms of reduced storage space and system costs. Access to wind resources can lower the need for battery storage by 40</w:t>
      </w:r>
      <w:r w:rsidR="00617F77">
        <w:t>-</w:t>
      </w:r>
      <w:r w:rsidRPr="00F07E08">
        <w:t>60</w:t>
      </w:r>
      <w:r w:rsidR="00617F77">
        <w:t>%</w:t>
      </w:r>
      <w:r w:rsidRPr="00F07E08">
        <w:t xml:space="preserve"> over solar-only deployments in a data center, based on complementarity at the specific site</w:t>
      </w:r>
      <w:r w:rsidR="009E0A0D">
        <w:fldChar w:fldCharType="begin"/>
      </w:r>
      <w:r w:rsidR="00866BB5">
        <w:instrText xml:space="preserve"> ADDIN ZOTERO_ITEM CSL_CITATION {"citationID":"fQgaocPm","properties":{"unsorted":false,"formattedCitation":"[99]","plainCitation":"[99]","noteIndex":0},"citationItems":[{"id":2064,"uris":["http://zotero.org/users/9870935/items/R5YJIQU4"],"itemData":{"id":2064,"type":"article-journal","container-title":"Renewable Energy","DOI":"10.1016/j.renene.2019.02.060","ISSN":"09601481","journalAbbreviation":"Renewable Energy","language":"en","page":"251-260","source":"DOI.org (Crossref)","title":"Future changes, or lack thereof, in the temporal variability of the combined wind-plus-solar power production in Europe","volume":"139","author":[{"family":"Jerez","given":"S."},{"family":"Tobin","given":"I."},{"family":"Turco","given":"M."},{"family":"Jiménez-Guerrero","given":"P."},{"family":"Vautard","given":"R."},{"family":"Montávez","given":"J.P."}],"issued":{"date-parts":[["2019",8]]}}}],"schema":"https://github.com/citation-style-language/schema/raw/master/csl-citation.json"} </w:instrText>
      </w:r>
      <w:r w:rsidR="009E0A0D">
        <w:fldChar w:fldCharType="separate"/>
      </w:r>
      <w:r w:rsidR="00866BB5" w:rsidRPr="00866BB5">
        <w:t>[99]</w:t>
      </w:r>
      <w:r w:rsidR="009E0A0D">
        <w:fldChar w:fldCharType="end"/>
      </w:r>
      <w:r w:rsidRPr="00F07E08">
        <w:t>. Climate change effects on renewable resources further increase uncertainty, including a range of small-scale changes in wind and solar resources that could influence long-term system planning as suggested in some studies</w:t>
      </w:r>
      <w:r w:rsidR="00B177C4">
        <w:fldChar w:fldCharType="begin"/>
      </w:r>
      <w:r w:rsidR="00866BB5">
        <w:instrText xml:space="preserve"> ADDIN ZOTERO_ITEM CSL_CITATION {"citationID":"KHI2AIIg","properties":{"unsorted":false,"formattedCitation":"[100]","plainCitation":"[100]","noteIndex":0},"citationItems":[{"id":2065,"uris":["http://zotero.org/users/9870935/items/QGKY5D4X"],"itemData":{"id":2065,"type":"article-journal","container-title":"Advances in Climate Change Research","DOI":"10.1016/j.accre.2025.04.015","ISSN":"16749278","issue":"4","journalAbbreviation":"Advances in Climate Change Research","language":"en","page":"730-746","source":"DOI.org (Crossref)","title":"The impact of climate change on wind and solar photovoltaic power potential and distribution in China","volume":"16","author":[{"family":"Zhu","given":"Xiang-Rong"},{"family":"Tian","given":"Jun-Hao"},{"family":"Wang","given":"Yu"}],"issued":{"date-parts":[["2025",8]]}}}],"schema":"https://github.com/citation-style-language/schema/raw/master/csl-citation.json"} </w:instrText>
      </w:r>
      <w:r w:rsidR="00B177C4">
        <w:fldChar w:fldCharType="separate"/>
      </w:r>
      <w:r w:rsidR="00866BB5" w:rsidRPr="00866BB5">
        <w:t>[100]</w:t>
      </w:r>
      <w:r w:rsidR="00B177C4">
        <w:fldChar w:fldCharType="end"/>
      </w:r>
      <w:r w:rsidRPr="00F07E08">
        <w:t>.</w:t>
      </w:r>
    </w:p>
    <w:p w14:paraId="6F168B65" w14:textId="33ACE12B" w:rsidR="00772C6B" w:rsidRDefault="00772C6B" w:rsidP="00772C6B">
      <w:pPr>
        <w:pStyle w:val="Heading10"/>
        <w:rPr>
          <w:color w:val="auto"/>
        </w:rPr>
      </w:pPr>
      <w:r>
        <w:rPr>
          <w:color w:val="auto"/>
          <w:lang w:eastAsia="zh-CN"/>
        </w:rPr>
        <w:t xml:space="preserve">5. </w:t>
      </w:r>
      <w:r>
        <w:rPr>
          <w:color w:val="auto"/>
        </w:rPr>
        <w:t>Energy Storage and Backup Systems</w:t>
      </w:r>
    </w:p>
    <w:p w14:paraId="7F17A72A" w14:textId="77777777" w:rsidR="00CA49D7" w:rsidRDefault="00CA49D7" w:rsidP="00CA49D7">
      <w:pPr>
        <w:spacing w:after="120"/>
        <w:ind w:firstLine="480"/>
      </w:pPr>
      <w:r>
        <w:t>Energy storage systems serve as the critical enabling technology for renewable-powered AI data centers, bridging the temporal gaps between variable renewable generation and constant computing loads. This chapter examines the sizing, selection, and integration of storage technologies, including lithium-ion batteries, long-duration storage alternatives, and conventional backup power systems.</w:t>
      </w:r>
    </w:p>
    <w:p w14:paraId="26EBC21A" w14:textId="746943F1" w:rsidR="00CA49D7" w:rsidRDefault="00CA49D7" w:rsidP="00CA49D7">
      <w:pPr>
        <w:pStyle w:val="Heading20"/>
        <w:rPr>
          <w:color w:val="auto"/>
        </w:rPr>
      </w:pPr>
      <w:r>
        <w:rPr>
          <w:color w:val="auto"/>
        </w:rPr>
        <w:t>5.1. Lithium-Ion Battery Systens</w:t>
      </w:r>
    </w:p>
    <w:p w14:paraId="1389D8FF" w14:textId="04CBAB88" w:rsidR="00ED11B4" w:rsidRDefault="00ED11B4" w:rsidP="00866BB5">
      <w:pPr>
        <w:spacing w:after="120"/>
        <w:ind w:firstLine="480"/>
      </w:pPr>
      <w:r w:rsidRPr="00ED11B4">
        <w:t>The cost of lithium-ion battery technology has dropped dramatically, changing the economics of integrating renewable energy. BloombergNEF has reported that the price of the batteries has declined over the past five years from $135 per kWh in 2020 to $115 per kWh in 2025, and in China, the price dropped below $65 per kWh at the cell level</w:t>
      </w:r>
      <w:r w:rsidR="00A44D61">
        <w:fldChar w:fldCharType="begin"/>
      </w:r>
      <w:r w:rsidR="00A44D61">
        <w:instrText xml:space="preserve"> ADDIN ZOTERO_ITEM CSL_CITATION {"citationID":"prBbKpCD","properties":{"unsorted":false,"formattedCitation":"[17]","plainCitation":"[17]","noteIndex":0},"citationItems":[{"id":1923,"uris":["http://zotero.org/users/9870935/items/K5N743Z5"],"itemData":{"id":1923,"type":"post-weblog","title":"BNEF: Lithium-ion battery pack prices fall to $108/kWh, stationary storage becomes lowest price segment","URL":"https://www.ess-news.com/2025/12/09/bnef-lithium-ion-battery-pack-prices-fall-to-108-kwh-stationary-storage-becomes-lowest-price-segment/","author":[{"family":"BNEF","given":""}],"accessed":{"date-parts":[["2025",12,9]]}}}],"schema":"https://github.com/citation-style-language/schema/raw/master/csl-citation.json"} </w:instrText>
      </w:r>
      <w:r w:rsidR="00A44D61">
        <w:fldChar w:fldCharType="separate"/>
      </w:r>
      <w:r w:rsidR="00A44D61" w:rsidRPr="00A44D61">
        <w:t>[17]</w:t>
      </w:r>
      <w:r w:rsidR="00A44D61">
        <w:fldChar w:fldCharType="end"/>
      </w:r>
      <w:r w:rsidRPr="00ED11B4">
        <w:t>. This trend is expected to persist, with the most recent cost estimates from NREL predicting $147 per kWh (low case), $243 per kWh (mid case), and $339 per kWh (high case) for 4-hour utility-scale systems by 2035</w:t>
      </w:r>
      <w:r w:rsidR="006B708C">
        <w:fldChar w:fldCharType="begin"/>
      </w:r>
      <w:r w:rsidR="00866BB5">
        <w:instrText xml:space="preserve"> ADDIN ZOTERO_ITEM CSL_CITATION {"citationID":"RqYr9QXe","properties":{"unsorted":false,"formattedCitation":"[101]","plainCitation":"[101]","noteIndex":0},"citationItems":[{"id":2067,"uris":["http://zotero.org/users/9870935/items/E8HGHAUR"],"itemData":{"id":2067,"type":"article-journal","container-title":"Renewable Energy","language":"en","source":"Zotero","title":"Cost Projections for Utility-Scale Battery Storage: 2025 Update","URL":"https://docs.nrel.gov/docs/fy25osti/93281.pdf","author":[{"family":"Cole","given":"Wesley"},{"family":"Ramasamy","given":"Vignesh"},{"family":"Turan","given":"Merve"}],"issued":{"date-parts":[["2025"]]}}}],"schema":"https://github.com/citation-style-language/schema/raw/master/csl-citation.json"} </w:instrText>
      </w:r>
      <w:r w:rsidR="006B708C">
        <w:fldChar w:fldCharType="separate"/>
      </w:r>
      <w:r w:rsidR="00866BB5" w:rsidRPr="00866BB5">
        <w:t>[101]</w:t>
      </w:r>
      <w:r w:rsidR="006B708C">
        <w:fldChar w:fldCharType="end"/>
      </w:r>
      <w:r w:rsidRPr="00ED11B4">
        <w:t xml:space="preserve">. A learning rate of about 19 percent for every doubling of </w:t>
      </w:r>
      <w:r w:rsidRPr="00ED11B4">
        <w:lastRenderedPageBreak/>
        <w:t>cumulative production has been estimated for lithium-ion batteries, indicating further cost reductions with increased production</w:t>
      </w:r>
      <w:r w:rsidR="00405F8F">
        <w:fldChar w:fldCharType="begin"/>
      </w:r>
      <w:r w:rsidR="00866BB5">
        <w:instrText xml:space="preserve"> ADDIN ZOTERO_ITEM CSL_CITATION {"citationID":"KdpfBvot","properties":{"unsorted":false,"formattedCitation":"[102]","plainCitation":"[102]","noteIndex":0},"citationItems":[{"id":2068,"uris":["http://zotero.org/users/9870935/items/M4LNHX4F"],"itemData":{"id":2068,"type":"post-weblog","title":"Battery costs have declined by 99% in the last three decades, making electrified transport a reality","URL":"https://ourworldindata.org/battery-price-decline","author":[{"family":"Our World in Data","given":""}]}}],"schema":"https://github.com/citation-style-language/schema/raw/master/csl-citation.json"} </w:instrText>
      </w:r>
      <w:r w:rsidR="00405F8F">
        <w:fldChar w:fldCharType="separate"/>
      </w:r>
      <w:r w:rsidR="00866BB5" w:rsidRPr="00866BB5">
        <w:t>[102]</w:t>
      </w:r>
      <w:r w:rsidR="00405F8F">
        <w:fldChar w:fldCharType="end"/>
      </w:r>
      <w:r w:rsidRPr="00ED11B4">
        <w:t>.</w:t>
      </w:r>
    </w:p>
    <w:p w14:paraId="2A5672D3" w14:textId="158A149A" w:rsidR="00ED11B4" w:rsidRPr="00ED11B4" w:rsidRDefault="00ED11B4" w:rsidP="00B138D4">
      <w:pPr>
        <w:spacing w:after="120"/>
        <w:ind w:firstLine="480"/>
      </w:pPr>
      <w:r w:rsidRPr="00ED11B4">
        <w:t>The key factors of battery chemistry selection are cost, energy density, cycle life, safety and thermal management requirements. Due to its excellent safety (no thermal runaway risk), long cycle life of over 4,000 cycles at 80% depth of discharge, and its lower cost because it eliminates the use of cobalt and nickel, LFP (lithium iron phosphate) has become the predominant chemistry for stationary storage applications</w:t>
      </w:r>
      <w:r w:rsidR="00F9103B">
        <w:fldChar w:fldCharType="begin"/>
      </w:r>
      <w:r w:rsidR="00F9103B">
        <w:instrText xml:space="preserve"> ADDIN ZOTERO_ITEM CSL_CITATION {"citationID":"sMHhiSGv","properties":{"unsorted":false,"formattedCitation":"[45]","plainCitation":"[45]","noteIndex":0},"citationItems":[{"id":1982,"uris":["http://zotero.org/users/9870935/items/GEX9B6EX"],"itemData":{"id":1982,"type":"article-journal","container-title":"Future Batteries","DOI":"10.1016/j.fub.2024.100007","ISSN":"29502640","journalAbbreviation":"Future Batteries","language":"en","page":"100007","source":"DOI.org (Crossref)","title":"Navigating battery choices: A comparative study of lithium iron phosphate and nickel manganese cobalt battery technologies","title-short":"Navigating battery choices","volume":"4","author":[{"family":"Evro","given":"Solomon"},{"family":"Ajumobi","given":"Abdurahman"},{"family":"Mayon","given":"Darrell"},{"family":"Tomomewo","given":"Olusegun Stanley"}],"issued":{"date-parts":[["2024",12]]}}}],"schema":"https://github.com/citation-style-language/schema/raw/master/csl-citation.json"} </w:instrText>
      </w:r>
      <w:r w:rsidR="00F9103B">
        <w:fldChar w:fldCharType="separate"/>
      </w:r>
      <w:r w:rsidR="00F9103B" w:rsidRPr="00F9103B">
        <w:t>[45]</w:t>
      </w:r>
      <w:r w:rsidR="00F9103B">
        <w:fldChar w:fldCharType="end"/>
      </w:r>
      <w:r w:rsidRPr="00ED11B4">
        <w:t>. NMC chemistries provide higher energy density, lower cycle life, and higher safety concerns. Analysis shows that LFP is about 30 percent cheaper on a per-kWh basis compared to NMC for stationary use</w:t>
      </w:r>
      <w:r w:rsidR="00B138D4">
        <w:fldChar w:fldCharType="begin"/>
      </w:r>
      <w:r w:rsidR="00B138D4">
        <w:instrText xml:space="preserve"> ADDIN ZOTERO_ITEM CSL_CITATION {"citationID":"PsY2P1Jo","properties":{"unsorted":false,"formattedCitation":"[46]","plainCitation":"[46]","noteIndex":0},"citationItems":[{"id":1983,"uris":["http://zotero.org/users/9870935/items/I5Q4VHW6"],"itemData":{"id":1983,"type":"article-journal","abstract":"Abstract\n            A significant turning point in the search for environmentally friendly energy storage options is the switch from lithium‐ion to sodium‐ion batteries. This review highlights the potential of sodium‐ion battery (NIB) technology to address the environmental and financial issues related to lithium‐ion systems by thoroughly examining recent developments in NIB technology. It is noted that sodium is more abundant and less expensive than lithium, NIBs have several benefits that could drastically lower the total cost of energy storage systems. In addition, this study examines new findings in important fields including electrolyte compositions, electrode materials, and battery performances of lithium‐ion batteries (LIBs) and NIBs. The article highlights advancements in anode and cathode materials, with a focus on improving energy density, cycle stability, and rate capability of both LIBs and NIBs. The review also covers the advances made in comprehending the electrochemical mechanisms and special difficulties associated with NIBs, such as material degradation and sodium ion diffusion. Future research directions are discussed, with an emphasis on enhancing the scalability and commercial viability of sodium‐ion technology over lithium on Electric Grid. Considering sustainability objectives and the integration of renewable energy sources, the review's assessment of sodium‐ion batteries’ possible effects on the future state of energy storage is included in its conclusion.","container-title":"The Chemical Record","DOI":"10.1002/tcr.202400176","ISSN":"1527-8999, 1528-0691","issue":"12","journalAbbreviation":"The Chemical Record","language":"en","page":"e202400176","source":"DOI.org (Crossref)","title":"From Lithium‐Ion to Sodium‐Ion Batteries for Sustainable Energy Storage: A Comprehensive Review on Recent Research Advancements and Perspectives","title-short":"From Lithium‐Ion to Sodium‐Ion Batteries for Sustainable Energy Storage","volume":"24","author":[{"family":"Chandra Bhowmik","given":"Konok"},{"family":"Rahman","given":"Md. Arafat"},{"family":"Billah","given":"Md. Muktadir"},{"family":"Paul","given":"Aoyon"}],"issued":{"date-parts":[["2024",12]]}}}],"schema":"https://github.com/citation-style-language/schema/raw/master/csl-citation.json"} </w:instrText>
      </w:r>
      <w:r w:rsidR="00B138D4">
        <w:fldChar w:fldCharType="separate"/>
      </w:r>
      <w:r w:rsidR="00B138D4" w:rsidRPr="00B138D4">
        <w:t>[46]</w:t>
      </w:r>
      <w:r w:rsidR="00B138D4">
        <w:fldChar w:fldCharType="end"/>
      </w:r>
      <w:r w:rsidRPr="00ED11B4">
        <w:t>.</w:t>
      </w:r>
    </w:p>
    <w:p w14:paraId="5D60E4D5" w14:textId="0987B63A" w:rsidR="00CA49D7" w:rsidRPr="00ED11B4" w:rsidRDefault="00ED11B4" w:rsidP="00866BB5">
      <w:pPr>
        <w:spacing w:after="120"/>
        <w:ind w:firstLine="480"/>
      </w:pPr>
      <w:r w:rsidRPr="00ED11B4">
        <w:t>The round-trip efficiency of lithium-ion batteries varies from 85</w:t>
      </w:r>
      <w:r w:rsidR="00B138D4">
        <w:t>-</w:t>
      </w:r>
      <w:r w:rsidRPr="00ED11B4">
        <w:t>95</w:t>
      </w:r>
      <w:r w:rsidR="00426A09">
        <w:t>%,</w:t>
      </w:r>
      <w:r w:rsidRPr="00ED11B4">
        <w:t xml:space="preserve"> depending on the chemistry, cell design, and power conversion system. To ensure optimal cell temperature (usually 20</w:t>
      </w:r>
      <w:r w:rsidR="000973F7">
        <w:t>-</w:t>
      </w:r>
      <w:r w:rsidRPr="00ED11B4">
        <w:t>35 degrees Celsius) and to avoid accelerated degradation, thermal management is essential. Battery aging happens in two ways: calendar aging, which runs whether or not the battery is used, and cycle aging, which depends on how much charge or discharge the battery has experienced and at what rate</w:t>
      </w:r>
      <w:r w:rsidR="00392C53">
        <w:fldChar w:fldCharType="begin"/>
      </w:r>
      <w:r w:rsidR="00866BB5">
        <w:instrText xml:space="preserve"> ADDIN ZOTERO_ITEM CSL_CITATION {"citationID":"kxRlR2kx","properties":{"unsorted":false,"formattedCitation":"[103]","plainCitation":"[103]","noteIndex":0},"citationItems":[{"id":2069,"uris":["http://zotero.org/users/9870935/items/VGJ2SVN2"],"itemData":{"id":2069,"type":"article-journal","container-title":"Applied Energy","DOI":"10.1016/j.apenergy.2025.126443","ISSN":"03062619","journalAbbreviation":"Applied Energy","language":"en","page":"126443","source":"DOI.org (Crossref)","title":"A high-fidelity online monitoring algorithm for multiple physical fields in battery pack","volume":"398","author":[{"family":"Xie","given":"Yi"},{"family":"Ma","given":"Wensai"},{"family":"Jiang","given":"Disheng"},{"family":"Li","given":"Wei"},{"family":"Yang","given":"Rui"},{"family":"Panchal","given":"Satyam"},{"family":"Fowler","given":"Michael"},{"family":"Zhang","given":"Yangjun"}],"issued":{"date-parts":[["2025",11]]}}}],"schema":"https://github.com/citation-style-language/schema/raw/master/csl-citation.json"} </w:instrText>
      </w:r>
      <w:r w:rsidR="00392C53">
        <w:fldChar w:fldCharType="separate"/>
      </w:r>
      <w:r w:rsidR="00866BB5" w:rsidRPr="00866BB5">
        <w:t>[103]</w:t>
      </w:r>
      <w:r w:rsidR="00392C53">
        <w:fldChar w:fldCharType="end"/>
      </w:r>
      <w:r w:rsidRPr="00ED11B4">
        <w:t>. Limiting the depth of discharge to 50</w:t>
      </w:r>
      <w:r w:rsidR="00607AA0">
        <w:t xml:space="preserve">% </w:t>
      </w:r>
      <w:r w:rsidRPr="00ED11B4">
        <w:t>has been shown to approximately double cycle life, and, therefore, the use of larger systems than the nominal capacity requirements can enhance the overall battery system economics of their operation over time, despite the higher up-front capital costs</w:t>
      </w:r>
      <w:r w:rsidR="00AF1505">
        <w:fldChar w:fldCharType="begin"/>
      </w:r>
      <w:r w:rsidR="00866BB5">
        <w:instrText xml:space="preserve"> ADDIN ZOTERO_ITEM CSL_CITATION {"citationID":"Amui7OjS","properties":{"unsorted":false,"formattedCitation":"[104]","plainCitation":"[104]","noteIndex":0},"citationItems":[{"id":2070,"uris":["http://zotero.org/users/9870935/items/YRGN99DK"],"itemData":{"id":2070,"type":"article-journal","container-title":"Journal of Energy Storage","DOI":"10.1016/j.est.2024.112941","ISSN":"2352152X","journalAbbreviation":"Journal of Energy Storage","language":"en","page":"112941","source":"DOI.org (Crossref)","title":"A case study of optimising energy storage dispatch: Convex optimisation approach with degradation considerations","title-short":"A case study of optimising energy storage dispatch","volume":"97","author":[{"family":"Vaičys","given":"Jonas"},{"family":"Gudžius","given":"Saulius"},{"family":"Jonaitis","given":"Audrius"},{"family":"Račkienė","given":"Roma"},{"family":"Blinov","given":"Andrei"},{"family":"Peftitsis","given":"Dimosthenis"}],"issued":{"date-parts":[["2024",9]]}}}],"schema":"https://github.com/citation-style-language/schema/raw/master/csl-citation.json"} </w:instrText>
      </w:r>
      <w:r w:rsidR="00AF1505">
        <w:fldChar w:fldCharType="separate"/>
      </w:r>
      <w:r w:rsidR="00866BB5" w:rsidRPr="00866BB5">
        <w:t>[104]</w:t>
      </w:r>
      <w:r w:rsidR="00AF1505">
        <w:fldChar w:fldCharType="end"/>
      </w:r>
      <w:r w:rsidRPr="00ED11B4">
        <w:t>.</w:t>
      </w:r>
    </w:p>
    <w:p w14:paraId="61493380" w14:textId="32FC4B3F" w:rsidR="00426A09" w:rsidRDefault="00426A09" w:rsidP="00426A09">
      <w:pPr>
        <w:pStyle w:val="Heading20"/>
        <w:rPr>
          <w:color w:val="auto"/>
        </w:rPr>
      </w:pPr>
      <w:r>
        <w:rPr>
          <w:color w:val="auto"/>
        </w:rPr>
        <w:t>5.2. Advanced Storage Technologies</w:t>
      </w:r>
    </w:p>
    <w:p w14:paraId="137D07E1" w14:textId="5B6BFC78" w:rsidR="002C0C00" w:rsidRPr="002C0C00" w:rsidRDefault="002C0C00" w:rsidP="00E20CA4">
      <w:pPr>
        <w:spacing w:after="120"/>
        <w:ind w:firstLine="480"/>
      </w:pPr>
      <w:r w:rsidRPr="002C0C00">
        <w:t>One of the primary challenges associated with lithium-ion batteries is that they become cost prohibitive for extended periods of storage, which is where long-duration energy storage (LDES) technologies come into play. Vanadium redox flow batteries (VRFBs) have been developed with independent power and energy scaling, with cycle life of 20,000 cycles and very little degradation over time</w:t>
      </w:r>
      <w:r w:rsidR="00E20CA4">
        <w:fldChar w:fldCharType="begin"/>
      </w:r>
      <w:r w:rsidR="00E20CA4">
        <w:instrText xml:space="preserve"> ADDIN ZOTERO_ITEM CSL_CITATION {"citationID":"QWzMyYBC","properties":{"unsorted":false,"formattedCitation":"[47]","plainCitation":"[47]","noteIndex":0},"citationItems":[{"id":1984,"uris":["http://zotero.org/users/9870935/items/M6SVEFZJ"],"itemData":{"id":1984,"type":"article-journal","container-title":"Next Research","DOI":"10.1016/j.nexres.2025.100767","ISSN":"30504759","issue":"4","journalAbbreviation":"Next Research","language":"en","page":"100767","source":"DOI.org (Crossref)","title":"A comprehensive review of vanadium redox flow batteries: Principles, benefits, and applications","title-short":"A comprehensive review of vanadium redox flow batteries","volume":"2","author":[{"family":"Barzigar","given":"Amirhossein"},{"family":"Ebadati","given":"Erfan"},{"family":"Mujumdar","given":"Arun S"},{"family":"Hosseinalipour","given":"S.M."}],"issued":{"date-parts":[["2025",12]]}}}],"schema":"https://github.com/citation-style-language/schema/raw/master/csl-citation.json"} </w:instrText>
      </w:r>
      <w:r w:rsidR="00E20CA4">
        <w:fldChar w:fldCharType="separate"/>
      </w:r>
      <w:r w:rsidR="00E20CA4" w:rsidRPr="00E20CA4">
        <w:t>[47]</w:t>
      </w:r>
      <w:r w:rsidR="00E20CA4">
        <w:fldChar w:fldCharType="end"/>
      </w:r>
      <w:r w:rsidRPr="002C0C00">
        <w:t>. VRFB systems have already been commercially used at larger scales than 10MWh, and the main drawback is the relatively high initial cost, although costs are reducing as the scale of manufacturing increases.</w:t>
      </w:r>
    </w:p>
    <w:p w14:paraId="3EA409FF" w14:textId="0E2E0308" w:rsidR="002C0C00" w:rsidRPr="002C0C00" w:rsidRDefault="002C0C00" w:rsidP="00866BB5">
      <w:pPr>
        <w:spacing w:after="120"/>
        <w:ind w:firstLine="480"/>
      </w:pPr>
      <w:r w:rsidRPr="002C0C00">
        <w:t>Form Energy's iron-air battery is one of the technologies that could revolutionize ultra-long-duration storage. The technology employs a large amount of cheap materials (iron, water, air) to meet storage costs of $20 per kWh, whereas lithium-ion costing is targeted at $100 to $150 per kWh</w:t>
      </w:r>
      <w:r w:rsidR="00BE6E41">
        <w:fldChar w:fldCharType="begin"/>
      </w:r>
      <w:r w:rsidR="00BE6E41">
        <w:instrText xml:space="preserve"> ADDIN ZOTERO_ITEM CSL_CITATION {"citationID":"IwjNu9hX","properties":{"unsorted":false,"formattedCitation":"[48]","plainCitation":"[48]","noteIndex":0},"citationItems":[{"id":1985,"uris":["http://zotero.org/users/9870935/items/58URKSK2"],"itemData":{"id":1985,"type":"book","abstract":"This report on batteries addresses technology development, EU research and innovation activities, global and EU markets and market players and assesses the competitiveness of the EU battery sector and its positioning in the global battery market. Special attention is given to provide a broad overview of battery technologies. This report also contains an assessment of market developments, production, trade, patenting, and sustainability of Li-ion batteries. The report shows that the EU does not have a competitive advantage over its main competitors. To change the current situation and improve the competitiveness of battery production in the EU, the following key actions should be taken to address the key drivers of competitiveness: increase the currently limited internal supply of raw and processed materials, significantly reduce the cost of energy, labour, and investment, urgently develop skilled and experienced work force, simplify legislation reduce times to set up new production and secure demand for EU-produced batteries. The EU is also not leading anymore in battery research. Despite this, the EU makes an effort to build its battery sector and increase its ability to cover at least part of battery demand from internal sources. This applies mainly to the high-performance batteries for premium-class Electric Vehicles (EVs), while batteries for lower-classes EVs and stationary energy storage are falling short. This report is an output of the Clean Energy Technologies Observatory (CETO) and provides an evidence-based analysis of the overall battery landscape to support the EU policy making process. It is part of the series of reports on clean energy technologies needed for the delivery of the European Green Deal, and it is a continuation and extension of earlier editions of the CETO report on batteries.","collection-title":"EUR","DOI":"10.2760/2686206","ISBN":"978-92-68-38735-1","ISSN":"1831-9424","language":"eng","publisher":"Publications Office of the European Union","publisher-place":"LU","source":"DOI.org (CSL JSON)","title":"Clean Energy Technology Observatory","URL":"https://data.europa.eu/doi/10.2760/2686206","author":[{"literal":"European Commission. Joint Research Centre"},{"family":"Bielewski","given":"Marek"},{"family":"Pfrang","given":"Andreas"},{"family":"Quintero Pulido","given":"Diego Fernando"},{"family":"Peters","given":"Jens"},{"family":"Bobba","given":"Silvia"},{"family":"Leccisi","given":"Enrica"},{"family":"Mancini","given":"Lucia"},{"family":"Schade","given":"Burkhard"},{"family":"Georgakaki","given":"Aliki"},{"family":"Letout","given":"Simon"},{"family":"Mountraki","given":"Aikaterini"},{"family":"Ince","given":"Ela"}],"accessed":{"date-parts":[["2026",5,16]]},"issued":{"date-parts":[["2026"]]}}}],"schema":"https://github.com/citation-style-language/schema/raw/master/csl-citation.json"} </w:instrText>
      </w:r>
      <w:r w:rsidR="00BE6E41">
        <w:fldChar w:fldCharType="separate"/>
      </w:r>
      <w:r w:rsidR="00BE6E41" w:rsidRPr="00BE6E41">
        <w:t>[48]</w:t>
      </w:r>
      <w:r w:rsidR="00BE6E41">
        <w:fldChar w:fldCharType="end"/>
      </w:r>
      <w:r w:rsidRPr="002C0C00">
        <w:t>. The data centre sector is interested in long-duration storage, the company having inked 12 GWh worth of multi-day iron-air batteries to new U.S. AI data centres</w:t>
      </w:r>
      <w:r w:rsidR="001850C1">
        <w:fldChar w:fldCharType="begin"/>
      </w:r>
      <w:r w:rsidR="00866BB5">
        <w:instrText xml:space="preserve"> ADDIN ZOTERO_ITEM CSL_CITATION {"citationID":"7kVGcOlZ","properties":{"unsorted":false,"formattedCitation":"[105]","plainCitation":"[105]","noteIndex":0},"citationItems":[{"id":2072,"uris":["http://zotero.org/users/9870935/items/EET8N7XP"],"itemData":{"id":2072,"type":"article","abstract":"Deep decarbonization of the power grid is only possible with mass-scale energy storage to overcome the spatiotemporal mismatch between supply from renewables and demand. Aqueous flow batteries fully decouple power and energy elements and can thus easily be scaled, a prerequisite for cheap long-duration energy storage, but low energy density is generally considered a key limitation of the technology. To date, the role of this metric for grid-scale installations has not been quantified, a crucial step for guiding further development of this potential trillion-dollar market. Here, we analyze the footprint of forty-four MWh-scale battery energy storage systems via satellite imagery and calculate their energy capacity per land area in kWh m−2, demonstrating that energy density is not critical for such installations and that the importance of this metric for grid-scale batteries is heavily overstated in academia. We suggest that a unique advantage of aqueous flow batteries, due to their intrinsic safety and vertical scalability, is their ability to provide reliable power in space-restricted sites, and we show that even with current chemistries and modest assumptions about storage tank sizes and footprints, areal energy densities five times as high as with the average lithium-ion based system can be achieved.","DOI":"10.26434/chemrxiv-2022-5ddhs","language":"en","license":"https://creativecommons.org/licenses/by-nc-nd/4.0/","source":"DOI.org (Crossref)","title":"The role of energy density for grid-scale batteries","URL":"https://chemrxiv.org/doi/full/10.26434/chemrxiv-2022-5ddhs","author":[{"family":"Reber","given":"David"},{"family":"Jarvis","given":"Sam"},{"family":"Marshak","given":"Michael"}],"accessed":{"date-parts":[["2026",5,17]]},"issued":{"date-parts":[["2022",11,17]]}}}],"schema":"https://github.com/citation-style-language/schema/raw/master/csl-citation.json"} </w:instrText>
      </w:r>
      <w:r w:rsidR="001850C1">
        <w:fldChar w:fldCharType="separate"/>
      </w:r>
      <w:r w:rsidR="00866BB5" w:rsidRPr="00866BB5">
        <w:t>[105]</w:t>
      </w:r>
      <w:r w:rsidR="001850C1">
        <w:fldChar w:fldCharType="end"/>
      </w:r>
      <w:r w:rsidRPr="002C0C00">
        <w:t>. Iron-air batteries have a round-trip efficiency of around 40</w:t>
      </w:r>
      <w:r w:rsidR="002C5CB3">
        <w:t xml:space="preserve">% </w:t>
      </w:r>
      <w:r w:rsidRPr="002C0C00">
        <w:t>, below lithium-ion but acceptable given the possibility of lost renewable energy.</w:t>
      </w:r>
    </w:p>
    <w:p w14:paraId="7F7A4FD8" w14:textId="2FF7BDF6" w:rsidR="00426A09" w:rsidRPr="002C0C00" w:rsidRDefault="002C0C00" w:rsidP="00866BB5">
      <w:pPr>
        <w:spacing w:after="120"/>
        <w:ind w:firstLine="480"/>
      </w:pPr>
      <w:r w:rsidRPr="002C0C00">
        <w:t>Hydrogen fuel cells and green hydrogen storage provide the widest range of storage durations – from weeks to months – enabling seasonal energy shifting that is not feasible with battery technologies. A hydrogen fuel cell back-up power system with a capacity of 3MW was demonstrated by Microsoft at its data center, running for 48+ hours using hydrogen fuel</w:t>
      </w:r>
      <w:r w:rsidR="00D968E8">
        <w:fldChar w:fldCharType="begin"/>
      </w:r>
      <w:r w:rsidR="00866BB5">
        <w:instrText xml:space="preserve"> ADDIN ZOTERO_ITEM CSL_CITATION {"citationID":"Lqa6b4Sx","properties":{"unsorted":false,"formattedCitation":"[106]","plainCitation":"[106]","noteIndex":0},"citationItems":[{"id":2074,"uris":["http://zotero.org/users/9870935/items/55X6H6ID"],"itemData":{"id":2074,"type":"article-journal","abstract":"The fastest growth in electricity demand in the industrialized world will likely come from the broad adoption of artificial intelligence (AI)—accelerated by the rise of generative AI models such as OpenAI’s ChatGPT. The global “data center arms race” is driving up power demand and grid stress, which creates local and regional challenges because people in the area understand that the additional data center-related electricity demand is coming from faraway places, and they will have to support the additional infrastructure while not directly benefiting from it. So, there is an incentive for the data center operators to manage the fast and unpredictable power surges internally so that their loads appear like a constant baseload to the electricity grid. Such high-intensity and short-duration loads can be served by hybrid energy storage systems (HESSs) that combine multiple storage technologies operating across different timescales. This review presents an overview of energy storage technologies, their classifications, and recent performance data, with a focus on their applicability to AI-driven computing. Technical requirements of storage systems, such as fast response, long cycle life, low degradation under frequent micro-cycling, and high ramping capability—which are critical for sustainable and reliable data center operations—are discussed. Based on these requirements, this review identifies lithium titanate oxide (LTO) and lithium iron phosphate (LFP) batteries paired with supercapacitors, flywheels, or superconducting magnetic energy storage (SMES) as the most suitable HESS configurations for AI data centers. This review also proposes AI-specific evaluation criteria, defines key performance metrics, and provides semi-quantitative guidance on power–energy partitioning for HESSs in AI data centers. This review concludes by identifying key challenges, AI-specific research gaps, and future directions for integrating HESSs with on-site generation to optimally manage the high variability in the data center load and build sustainable, low-carbon, and intelligent AI data centers.","container-title":"Energies","DOI":"10.3390/en19030634","ISSN":"1996-1073","issue":"3","journalAbbreviation":"Energies","language":"en","page":"634","source":"DOI.org (Crossref)","title":"Energy Storage Systems for AI Data Centers: A Review of Technologies, Characteristics, and Applicability","title-short":"Energy Storage Systems for AI Data Centers","volume":"19","author":[{"family":"Rahman","given":"Saifur"},{"family":"Khan","given":"Tafsir Ahmed"}],"issued":{"date-parts":[["2026",1,26]]}}}],"schema":"https://github.com/citation-style-language/schema/raw/master/csl-citation.json"} </w:instrText>
      </w:r>
      <w:r w:rsidR="00D968E8">
        <w:fldChar w:fldCharType="separate"/>
      </w:r>
      <w:r w:rsidR="00866BB5" w:rsidRPr="00866BB5">
        <w:t>[106]</w:t>
      </w:r>
      <w:r w:rsidR="00D968E8">
        <w:fldChar w:fldCharType="end"/>
      </w:r>
      <w:r w:rsidRPr="002C0C00">
        <w:t>. The round-trip efficiency of the hydrogen pathway, however, is about 30 to 40 percent, as opposed to 85</w:t>
      </w:r>
      <w:r w:rsidR="0065715D">
        <w:t>-</w:t>
      </w:r>
      <w:r w:rsidRPr="002C0C00">
        <w:t>95</w:t>
      </w:r>
      <w:r w:rsidR="0065715D">
        <w:t xml:space="preserve">% </w:t>
      </w:r>
      <w:r w:rsidRPr="002C0C00">
        <w:t>for lithium-ion batteries</w:t>
      </w:r>
      <w:r w:rsidR="000D010A">
        <w:fldChar w:fldCharType="begin"/>
      </w:r>
      <w:r w:rsidR="000D010A">
        <w:instrText xml:space="preserve"> ADDIN ZOTERO_ITEM CSL_CITATION {"citationID":"wSvLouuX","properties":{"unsorted":false,"formattedCitation":"[49]","plainCitation":"[49]","noteIndex":0},"citationItems":[{"id":1987,"uris":["http://zotero.org/users/9870935/items/2TYM8STM"],"itemData":{"id":1987,"type":"article-journal","abstract":"The Global Hydrogen Review is an annual publication by the International Energy Agency that tracks hydrogen production and demand worldwide, shedding light on the latest developments on policy, infrastructure, trade, investments and innovation.","language":"en","source":"Zotero","title":"Global Hydrogen Review 2025","URL":"https://iea.blob.core.windows.net/assets/12d92ecc-e960-40f3-aff5-b2de6690ab6b/GlobalHydrogenReview2025.pdf","author":[{"family":"Remme","given":"Uwe"}],"issued":{"date-parts":[["2025"]]}}}],"schema":"https://github.com/citation-style-language/schema/raw/master/csl-citation.json"} </w:instrText>
      </w:r>
      <w:r w:rsidR="000D010A">
        <w:fldChar w:fldCharType="separate"/>
      </w:r>
      <w:r w:rsidR="000D010A" w:rsidRPr="000D010A">
        <w:t>[49]</w:t>
      </w:r>
      <w:r w:rsidR="000D010A">
        <w:fldChar w:fldCharType="end"/>
      </w:r>
      <w:r w:rsidRPr="002C0C00">
        <w:t xml:space="preserve">. The economic viability </w:t>
      </w:r>
      <w:r w:rsidRPr="002C0C00">
        <w:lastRenderedPageBreak/>
        <w:t>of hydrogen relies on the ability to produce green hydrogen for $2/kg, versus the current production costs of $4 to $6/kg</w:t>
      </w:r>
      <w:r w:rsidR="001C0F6D">
        <w:fldChar w:fldCharType="begin"/>
      </w:r>
      <w:r w:rsidR="00866BB5">
        <w:instrText xml:space="preserve"> ADDIN ZOTERO_ITEM CSL_CITATION {"citationID":"EV0Ut2pY","properties":{"unsorted":false,"formattedCitation":"[107]","plainCitation":"[107]","noteIndex":0},"citationItems":[{"id":2076,"uris":["http://zotero.org/users/9870935/items/WSZ9BQJG"],"itemData":{"id":2076,"type":"article-journal","abstract":"Abstract\n            The Chinese government has set long-term carbon neutrality and variable renewable energy development goals for the power sector. The clean energy transition requires a co-evolution of innovation, investment, and deployment strategies for emerging energy storage technologies. Hydrogen could play a pivotal role as a long-duration energy storage in future low-carbon electricity systems, balancing inflexible or intermittent supply with demand. Cost projections are important for understanding this role, but data are scarce and uncertain. Here, we provide a techno-economic evaluation and uncertainty analysis of hydrogen as a long-duration energy storage, using a learning rate approach to estimate the long-term cost. We find that the levelized cost of hydrogen energy storage based on a modeled 25 MW system with proton exchange membranes technology is 3.981 yuan/kWh in 2025. Capital expenditure and equipment replacement costs are the top two contributors, accounting for 32.7% and 33.6%, respectively. Technological advancements and deployment scaling of electrolyzers and fuel cells are projected to drive the levelized cost of hydrogen energy storage down to 1.848 yuan/kWh by 2050 under an 18% learning rate trajectory. Although projections indicate that hydrogen energy storage remains less cost-competitive compared to mature technologies through 2050, like electrochemical storage and pumped hydro storage, its unique value proposition for long-duration storage and grid resilience sustains development potential in high variable renewable energy penetration scenarios.","container-title":"Clean Energy","DOI":"10.1093/ce/zkaf075","ISSN":"2515-4230, 2515-396X","issue":"2","language":"en","license":"https://creativecommons.org/licenses/by-nc/4.0/","page":"146-155","source":"DOI.org (Crossref)","title":"Estimating future costs of hydrogen as long-duration energy storage based on a learning rate approach","volume":"10","author":[{"family":"Yang","given":"Fuyuan"},{"family":"Wang","given":"Zhidong"},{"family":"Tian","given":"Xueqin"}],"issued":{"date-parts":[["2026",3,25]]}}}],"schema":"https://github.com/citation-style-language/schema/raw/master/csl-citation.json"} </w:instrText>
      </w:r>
      <w:r w:rsidR="001C0F6D">
        <w:fldChar w:fldCharType="separate"/>
      </w:r>
      <w:r w:rsidR="00866BB5" w:rsidRPr="00866BB5">
        <w:t>[107]</w:t>
      </w:r>
      <w:r w:rsidR="001C0F6D">
        <w:fldChar w:fldCharType="end"/>
      </w:r>
      <w:r w:rsidRPr="002C0C00">
        <w:t>.</w:t>
      </w:r>
    </w:p>
    <w:p w14:paraId="52BAF6BC" w14:textId="404C9785" w:rsidR="005C58DC" w:rsidRDefault="005C58DC" w:rsidP="005C58DC">
      <w:pPr>
        <w:pStyle w:val="Heading20"/>
        <w:rPr>
          <w:color w:val="auto"/>
        </w:rPr>
      </w:pPr>
      <w:r>
        <w:rPr>
          <w:color w:val="auto"/>
        </w:rPr>
        <w:t>5.3. Energy Storage Sizing Methodology</w:t>
      </w:r>
    </w:p>
    <w:p w14:paraId="168B9F8A" w14:textId="77777777" w:rsidR="006701FD" w:rsidRPr="006701FD" w:rsidRDefault="006701FD" w:rsidP="006701FD">
      <w:pPr>
        <w:spacing w:after="120"/>
        <w:ind w:firstLine="480"/>
      </w:pPr>
      <w:r w:rsidRPr="006701FD">
        <w:t>There are three conflicting goals in sizing energy storage for renewable powered data centers – reliability (have enough energy to cover renewable energy gaps), cost (minimize capital and operations costs), and emissions (minimize renewable energy not used). There are three basic methods used: deterministic, probabilistic, and optimization-based.</w:t>
      </w:r>
    </w:p>
    <w:p w14:paraId="6C838C1E" w14:textId="029B1726" w:rsidR="006701FD" w:rsidRPr="006701FD" w:rsidRDefault="006701FD" w:rsidP="00866BB5">
      <w:pPr>
        <w:spacing w:after="120"/>
        <w:ind w:firstLine="480"/>
      </w:pPr>
      <w:r w:rsidRPr="006701FD">
        <w:t>The deterministic approach allocates storage to worst cases, e.g., the longest periods of low renewable generation. The worst case scenario for a data center in the U.S. Southwest location with on-site solar would be three consecutive overcast winter days, which equates to around 72 hours of battery storage at full load. This approach offers a firm guarantee of reliability, but usually leads to very large and expensive systems</w:t>
      </w:r>
      <w:r w:rsidR="00A23247">
        <w:fldChar w:fldCharType="begin"/>
      </w:r>
      <w:r w:rsidR="00A23247">
        <w:instrText xml:space="preserve"> ADDIN ZOTERO_ITEM CSL_CITATION {"citationID":"DHpplHe9","properties":{"unsorted":false,"formattedCitation":"[50]","plainCitation":"[50]","noteIndex":0},"citationItems":[{"id":1988,"uris":["http://zotero.org/users/9870935/items/9LH8YF5V"],"itemData":{"id":1988,"type":"article-journal","container-title":"Future Batteries","DOI":"10.1016/j.fub.2025.100106","ISSN":"29502640","journalAbbreviation":"Future Batteries","language":"en","page":"100106","source":"DOI.org (Crossref)","title":"A review of battery energy storage system for renewable energy penetration in electrical power system: Environmental impact, sizing methods, market features, and policy frameworks","title-short":"A review of battery energy storage system for renewable energy penetration in electrical power system","volume":"7","author":[{"family":"Jaradat","given":"Tha'er"},{"family":"Khatib","given":"Tamer"}],"issued":{"date-parts":[["2025",9]]}}}],"schema":"https://github.com/citation-style-language/schema/raw/master/csl-citation.json"} </w:instrText>
      </w:r>
      <w:r w:rsidR="00A23247">
        <w:fldChar w:fldCharType="separate"/>
      </w:r>
      <w:r w:rsidR="00A23247" w:rsidRPr="00A23247">
        <w:t>[50]</w:t>
      </w:r>
      <w:r w:rsidR="00A23247">
        <w:fldChar w:fldCharType="end"/>
      </w:r>
      <w:r w:rsidRPr="006701FD">
        <w:t>.</w:t>
      </w:r>
      <w:r w:rsidR="003B33E0">
        <w:t xml:space="preserve"> </w:t>
      </w:r>
      <w:r w:rsidRPr="006701FD">
        <w:t>System reliability is quantified in the probabilistic approach using measures like Loss of Load Expectation (LOLE), which represents the average number of hours per year during which available generation is not adequate to meet demand.</w:t>
      </w:r>
      <w:r>
        <w:t xml:space="preserve"> </w:t>
      </w:r>
      <w:r w:rsidRPr="006701FD">
        <w:t xml:space="preserve">The LOLE of 0.1 hour per year, or 99.99 </w:t>
      </w:r>
      <w:r w:rsidR="003B33E0">
        <w:t xml:space="preserve">% </w:t>
      </w:r>
      <w:r w:rsidRPr="006701FD">
        <w:t>availability, is a commonly used metric for mission-critical data centers</w:t>
      </w:r>
      <w:r w:rsidR="00941682">
        <w:fldChar w:fldCharType="begin"/>
      </w:r>
      <w:r w:rsidR="00866BB5">
        <w:instrText xml:space="preserve"> ADDIN ZOTERO_ITEM CSL_CITATION {"citationID":"j8SEt2Uy","properties":{"unsorted":false,"formattedCitation":"[108]","plainCitation":"[108]","noteIndex":0},"citationItems":[{"id":2078,"uris":["http://zotero.org/users/9870935/items/UAQIETIN"],"itemData":{"id":2078,"type":"article-journal","abstract":"Large-scale integration of photovoltaics (PV) introduces complex source-load temporal volatility and grid-connection/off-grid transitions. Traditional static reliability assessments fail to capture these dynamics, resulting in “considerable deviations” in system indices. This paper proposes a reliability evaluation framework that couples temporal source-load trajectories with a multi-stage fault recovery process. Unlike traditional methods that rely on a single static snapshot, the proposed model evaluates the system state across a continuous 5-h restoration window. The novelty lies in the unique integration of a Dynamic Time Warping (DTW)–Kmedoids method to preserve temporal phase-shifts and a multi-stage Mixed-Integer Linear Programming (MILP) model to simulate PV grid-connection transitions throughout this window. By capturing the intra-outage evolution of sources and loads, the framework fundamentally corrects the “considerable deviations” of static assessments. Case studies demonstrate high precision with an error of less than 0.71% and a 20-fold speedup. Crucially, the framework corrects the 22.31% risk underestimation bias inherent in static models by tracking real-time source-load evolution. This confirms that temporal coordination performance is the primary determinant of the reliability ceiling in active distribution networks. The findings reveal that the precise alignment of intermittent generation and fluctuating demand defines the actual operational safety margin, providing a superior quantitative foundation for grid resilience enhancement.","container-title":"Processes","DOI":"10.3390/pr14081296","ISSN":"2227-9717","issue":"8","journalAbbreviation":"Processes","language":"en","page":"1296","source":"DOI.org (Crossref)","title":"Research on Reliability Evaluation Method of Distribution Network Considering the Temporal Characteristics of Distributed Power Sources","volume":"14","author":[{"family":"Dong","given":"Xiaofeng"},{"family":"Yang","given":"Zhichao"},{"family":"Zhu","given":"Qiong"},{"family":"Li","given":"Junting"},{"family":"Zhou","given":"Binqian"},{"family":"Zhu","given":"Junpeng"}],"issued":{"date-parts":[["2026",4,18]]}}}],"schema":"https://github.com/citation-style-language/schema/raw/master/csl-citation.json"} </w:instrText>
      </w:r>
      <w:r w:rsidR="00941682">
        <w:fldChar w:fldCharType="separate"/>
      </w:r>
      <w:r w:rsidR="00866BB5" w:rsidRPr="00866BB5">
        <w:t>[108]</w:t>
      </w:r>
      <w:r w:rsidR="00941682">
        <w:fldChar w:fldCharType="end"/>
      </w:r>
      <w:r w:rsidRPr="006701FD">
        <w:t>. This method gives a more in-depth view of reliability but involves in-depth time-series generation and load data.</w:t>
      </w:r>
    </w:p>
    <w:p w14:paraId="01C8040C" w14:textId="4E0A9047" w:rsidR="005C58DC" w:rsidRDefault="006701FD" w:rsidP="006701FD">
      <w:pPr>
        <w:spacing w:after="120"/>
        <w:ind w:firstLine="480"/>
      </w:pPr>
      <w:r w:rsidRPr="006701FD">
        <w:t>The optimization-based approach constructs storage sizing as a mathematical programming problem to minimize the total system costs (capital expenditure plus operational expenditure throughout the project life cycle) while satisfying reliability constraints, carbon emission limits, and capacity constraints of the interconnection. Time-series dispatch simulation is a modeling approach that allows for detailed energy balance calculations at hourly or sub-hourly resolution for one or more representative years to assess system performance in a realistic operating environment.</w:t>
      </w:r>
    </w:p>
    <w:p w14:paraId="4F29734A" w14:textId="30DE3A88" w:rsidR="002C06D9" w:rsidRDefault="002C06D9" w:rsidP="002C06D9">
      <w:pPr>
        <w:pStyle w:val="Caption"/>
        <w:keepNext/>
      </w:pPr>
      <w:r>
        <w:t xml:space="preserve">Table </w:t>
      </w:r>
      <w:r>
        <w:fldChar w:fldCharType="begin"/>
      </w:r>
      <w:r>
        <w:instrText xml:space="preserve"> SEQ Table \* ARABIC </w:instrText>
      </w:r>
      <w:r>
        <w:fldChar w:fldCharType="separate"/>
      </w:r>
      <w:r w:rsidR="00516167">
        <w:rPr>
          <w:noProof/>
        </w:rPr>
        <w:t>2</w:t>
      </w:r>
      <w:r>
        <w:rPr>
          <w:noProof/>
        </w:rPr>
        <w:fldChar w:fldCharType="end"/>
      </w:r>
      <w:r>
        <w:t xml:space="preserve"> </w:t>
      </w:r>
      <w:r w:rsidRPr="001641AD">
        <w:t xml:space="preserve">Storage </w:t>
      </w:r>
      <w:r>
        <w:t>d</w:t>
      </w:r>
      <w:r w:rsidRPr="001641AD">
        <w:t xml:space="preserve">uration </w:t>
      </w:r>
      <w:r>
        <w:t>o</w:t>
      </w:r>
      <w:r w:rsidRPr="001641AD">
        <w:t xml:space="preserve">ptions and </w:t>
      </w:r>
      <w:r>
        <w:t>t</w:t>
      </w:r>
      <w:r w:rsidRPr="001641AD">
        <w:t>rade-offs</w:t>
      </w:r>
    </w:p>
    <w:tbl>
      <w:tblPr>
        <w:tblStyle w:val="Mdeck5tablebodythreelines"/>
        <w:tblW w:w="0" w:type="auto"/>
        <w:tblLook w:val="04A0" w:firstRow="1" w:lastRow="0" w:firstColumn="1" w:lastColumn="0" w:noHBand="0" w:noVBand="1"/>
      </w:tblPr>
      <w:tblGrid>
        <w:gridCol w:w="1290"/>
        <w:gridCol w:w="1840"/>
        <w:gridCol w:w="1264"/>
        <w:gridCol w:w="1157"/>
        <w:gridCol w:w="3293"/>
      </w:tblGrid>
      <w:tr w:rsidR="002C45A5" w:rsidRPr="002C45A5" w14:paraId="1B9358B4" w14:textId="77777777" w:rsidTr="002C45A5">
        <w:trPr>
          <w:cnfStyle w:val="100000000000" w:firstRow="1" w:lastRow="0" w:firstColumn="0" w:lastColumn="0" w:oddVBand="0" w:evenVBand="0" w:oddHBand="0" w:evenHBand="0" w:firstRowFirstColumn="0" w:firstRowLastColumn="0" w:lastRowFirstColumn="0" w:lastRowLastColumn="0"/>
        </w:trPr>
        <w:tc>
          <w:tcPr>
            <w:tcW w:w="0" w:type="auto"/>
            <w:hideMark/>
          </w:tcPr>
          <w:p w14:paraId="3B855FA8" w14:textId="77777777" w:rsidR="002C45A5" w:rsidRPr="002C45A5" w:rsidRDefault="002C45A5" w:rsidP="002C45A5">
            <w:pPr>
              <w:pStyle w:val="TableBody"/>
              <w:rPr>
                <w:b/>
                <w:bCs/>
                <w:snapToGrid w:val="0"/>
                <w:color w:val="auto"/>
                <w:lang w:val="en-US"/>
              </w:rPr>
            </w:pPr>
            <w:r w:rsidRPr="002C45A5">
              <w:rPr>
                <w:b/>
                <w:bCs/>
                <w:snapToGrid w:val="0"/>
                <w:color w:val="auto"/>
                <w:lang w:val="en-US"/>
              </w:rPr>
              <w:t>Duration</w:t>
            </w:r>
          </w:p>
        </w:tc>
        <w:tc>
          <w:tcPr>
            <w:tcW w:w="0" w:type="auto"/>
            <w:hideMark/>
          </w:tcPr>
          <w:p w14:paraId="06B374BF" w14:textId="77777777" w:rsidR="002C45A5" w:rsidRPr="002C45A5" w:rsidRDefault="002C45A5" w:rsidP="002C45A5">
            <w:pPr>
              <w:pStyle w:val="TableBody"/>
              <w:rPr>
                <w:b/>
                <w:bCs/>
                <w:snapToGrid w:val="0"/>
                <w:color w:val="auto"/>
                <w:lang w:val="en-US"/>
              </w:rPr>
            </w:pPr>
            <w:r w:rsidRPr="002C45A5">
              <w:rPr>
                <w:b/>
                <w:bCs/>
                <w:snapToGrid w:val="0"/>
                <w:color w:val="auto"/>
                <w:lang w:val="en-US"/>
              </w:rPr>
              <w:t>Technology</w:t>
            </w:r>
          </w:p>
        </w:tc>
        <w:tc>
          <w:tcPr>
            <w:tcW w:w="0" w:type="auto"/>
            <w:hideMark/>
          </w:tcPr>
          <w:p w14:paraId="2D926628" w14:textId="77777777" w:rsidR="002C45A5" w:rsidRPr="002C45A5" w:rsidRDefault="002C45A5" w:rsidP="002C45A5">
            <w:pPr>
              <w:pStyle w:val="TableBody"/>
              <w:rPr>
                <w:b/>
                <w:bCs/>
                <w:snapToGrid w:val="0"/>
                <w:color w:val="auto"/>
                <w:lang w:val="en-US"/>
              </w:rPr>
            </w:pPr>
            <w:r w:rsidRPr="002C45A5">
              <w:rPr>
                <w:b/>
                <w:bCs/>
                <w:snapToGrid w:val="0"/>
                <w:color w:val="auto"/>
                <w:lang w:val="en-US"/>
              </w:rPr>
              <w:t>Cost ($/kWh)</w:t>
            </w:r>
          </w:p>
        </w:tc>
        <w:tc>
          <w:tcPr>
            <w:tcW w:w="0" w:type="auto"/>
            <w:hideMark/>
          </w:tcPr>
          <w:p w14:paraId="6465CACB" w14:textId="77777777" w:rsidR="002C45A5" w:rsidRPr="002C45A5" w:rsidRDefault="002C45A5" w:rsidP="002C45A5">
            <w:pPr>
              <w:pStyle w:val="TableBody"/>
              <w:rPr>
                <w:b/>
                <w:bCs/>
                <w:snapToGrid w:val="0"/>
                <w:color w:val="auto"/>
                <w:lang w:val="en-US"/>
              </w:rPr>
            </w:pPr>
            <w:r w:rsidRPr="002C45A5">
              <w:rPr>
                <w:b/>
                <w:bCs/>
                <w:snapToGrid w:val="0"/>
                <w:color w:val="auto"/>
                <w:lang w:val="en-US"/>
              </w:rPr>
              <w:t>Efficiency</w:t>
            </w:r>
          </w:p>
        </w:tc>
        <w:tc>
          <w:tcPr>
            <w:tcW w:w="0" w:type="auto"/>
            <w:hideMark/>
          </w:tcPr>
          <w:p w14:paraId="3021CBC7" w14:textId="77777777" w:rsidR="002C45A5" w:rsidRPr="002C45A5" w:rsidRDefault="002C45A5" w:rsidP="002C45A5">
            <w:pPr>
              <w:pStyle w:val="TableBody"/>
              <w:rPr>
                <w:b/>
                <w:bCs/>
                <w:snapToGrid w:val="0"/>
                <w:color w:val="auto"/>
                <w:lang w:val="en-US"/>
              </w:rPr>
            </w:pPr>
            <w:r w:rsidRPr="002C45A5">
              <w:rPr>
                <w:b/>
                <w:bCs/>
                <w:snapToGrid w:val="0"/>
                <w:color w:val="auto"/>
                <w:lang w:val="en-US"/>
              </w:rPr>
              <w:t>Best Application</w:t>
            </w:r>
          </w:p>
        </w:tc>
      </w:tr>
      <w:tr w:rsidR="002C45A5" w:rsidRPr="002C45A5" w14:paraId="109032AB" w14:textId="77777777" w:rsidTr="002C45A5">
        <w:tc>
          <w:tcPr>
            <w:tcW w:w="0" w:type="auto"/>
            <w:hideMark/>
          </w:tcPr>
          <w:p w14:paraId="7EBEA8D6" w14:textId="77777777" w:rsidR="002C45A5" w:rsidRPr="002C45A5" w:rsidRDefault="002C45A5" w:rsidP="002C45A5">
            <w:pPr>
              <w:pStyle w:val="TableBody"/>
              <w:rPr>
                <w:b/>
                <w:bCs/>
                <w:color w:val="auto"/>
                <w:lang w:val="en-US"/>
              </w:rPr>
            </w:pPr>
            <w:r w:rsidRPr="002C45A5">
              <w:rPr>
                <w:b/>
                <w:bCs/>
                <w:color w:val="auto"/>
                <w:lang w:val="en-US"/>
              </w:rPr>
              <w:t>2–4 hours</w:t>
            </w:r>
          </w:p>
        </w:tc>
        <w:tc>
          <w:tcPr>
            <w:tcW w:w="0" w:type="auto"/>
            <w:hideMark/>
          </w:tcPr>
          <w:p w14:paraId="73600377" w14:textId="77777777" w:rsidR="002C45A5" w:rsidRPr="002C45A5" w:rsidRDefault="002C45A5" w:rsidP="002C45A5">
            <w:pPr>
              <w:pStyle w:val="TableBody"/>
              <w:rPr>
                <w:b/>
                <w:bCs/>
                <w:color w:val="auto"/>
                <w:lang w:val="en-US"/>
              </w:rPr>
            </w:pPr>
            <w:r w:rsidRPr="002C45A5">
              <w:rPr>
                <w:b/>
                <w:bCs/>
                <w:color w:val="auto"/>
                <w:lang w:val="en-US"/>
              </w:rPr>
              <w:t>Li-ion LFP</w:t>
            </w:r>
          </w:p>
        </w:tc>
        <w:tc>
          <w:tcPr>
            <w:tcW w:w="0" w:type="auto"/>
            <w:hideMark/>
          </w:tcPr>
          <w:p w14:paraId="4571D175" w14:textId="77777777" w:rsidR="002C45A5" w:rsidRPr="002C45A5" w:rsidRDefault="002C45A5" w:rsidP="002C45A5">
            <w:pPr>
              <w:pStyle w:val="TableBody"/>
              <w:rPr>
                <w:b/>
                <w:bCs/>
                <w:color w:val="auto"/>
                <w:lang w:val="en-US"/>
              </w:rPr>
            </w:pPr>
            <w:r w:rsidRPr="002C45A5">
              <w:rPr>
                <w:b/>
                <w:bCs/>
                <w:color w:val="auto"/>
                <w:lang w:val="en-US"/>
              </w:rPr>
              <w:t>$75–$130</w:t>
            </w:r>
          </w:p>
        </w:tc>
        <w:tc>
          <w:tcPr>
            <w:tcW w:w="0" w:type="auto"/>
            <w:hideMark/>
          </w:tcPr>
          <w:p w14:paraId="3A7D5EA1" w14:textId="77777777" w:rsidR="002C45A5" w:rsidRPr="002C45A5" w:rsidRDefault="002C45A5" w:rsidP="002C45A5">
            <w:pPr>
              <w:pStyle w:val="TableBody"/>
              <w:rPr>
                <w:b/>
                <w:bCs/>
                <w:color w:val="auto"/>
                <w:lang w:val="en-US"/>
              </w:rPr>
            </w:pPr>
            <w:r w:rsidRPr="002C45A5">
              <w:rPr>
                <w:b/>
                <w:bCs/>
                <w:color w:val="auto"/>
                <w:lang w:val="en-US"/>
              </w:rPr>
              <w:t>85–95%</w:t>
            </w:r>
          </w:p>
        </w:tc>
        <w:tc>
          <w:tcPr>
            <w:tcW w:w="0" w:type="auto"/>
            <w:hideMark/>
          </w:tcPr>
          <w:p w14:paraId="76A41A41" w14:textId="77777777" w:rsidR="002C45A5" w:rsidRPr="002C45A5" w:rsidRDefault="002C45A5" w:rsidP="002C45A5">
            <w:pPr>
              <w:pStyle w:val="TableBody"/>
              <w:rPr>
                <w:b/>
                <w:bCs/>
                <w:color w:val="auto"/>
                <w:lang w:val="en-US"/>
              </w:rPr>
            </w:pPr>
            <w:r w:rsidRPr="002C45A5">
              <w:rPr>
                <w:b/>
                <w:bCs/>
                <w:color w:val="auto"/>
                <w:lang w:val="en-US"/>
              </w:rPr>
              <w:t>Daily peak shaving &amp; frequency regulation</w:t>
            </w:r>
          </w:p>
        </w:tc>
      </w:tr>
      <w:tr w:rsidR="002C45A5" w:rsidRPr="002C45A5" w14:paraId="61D70C2C" w14:textId="77777777" w:rsidTr="002C45A5">
        <w:tc>
          <w:tcPr>
            <w:tcW w:w="0" w:type="auto"/>
            <w:hideMark/>
          </w:tcPr>
          <w:p w14:paraId="06F471C3" w14:textId="77777777" w:rsidR="002C45A5" w:rsidRPr="002C45A5" w:rsidRDefault="002C45A5" w:rsidP="002C45A5">
            <w:pPr>
              <w:pStyle w:val="TableBody"/>
              <w:rPr>
                <w:b/>
                <w:bCs/>
                <w:color w:val="auto"/>
                <w:lang w:val="en-US"/>
              </w:rPr>
            </w:pPr>
            <w:r w:rsidRPr="002C45A5">
              <w:rPr>
                <w:b/>
                <w:bCs/>
                <w:color w:val="auto"/>
                <w:lang w:val="en-US"/>
              </w:rPr>
              <w:t>4–8 hours</w:t>
            </w:r>
          </w:p>
        </w:tc>
        <w:tc>
          <w:tcPr>
            <w:tcW w:w="0" w:type="auto"/>
            <w:hideMark/>
          </w:tcPr>
          <w:p w14:paraId="6ABCFCAF" w14:textId="77777777" w:rsidR="002C45A5" w:rsidRPr="002C45A5" w:rsidRDefault="002C45A5" w:rsidP="002C45A5">
            <w:pPr>
              <w:pStyle w:val="TableBody"/>
              <w:rPr>
                <w:b/>
                <w:bCs/>
                <w:color w:val="auto"/>
                <w:lang w:val="en-US"/>
              </w:rPr>
            </w:pPr>
            <w:r w:rsidRPr="002C45A5">
              <w:rPr>
                <w:b/>
                <w:bCs/>
                <w:color w:val="auto"/>
                <w:lang w:val="en-US"/>
              </w:rPr>
              <w:t>Li-ion LFP</w:t>
            </w:r>
          </w:p>
        </w:tc>
        <w:tc>
          <w:tcPr>
            <w:tcW w:w="0" w:type="auto"/>
            <w:hideMark/>
          </w:tcPr>
          <w:p w14:paraId="6F36C447" w14:textId="77777777" w:rsidR="002C45A5" w:rsidRPr="002C45A5" w:rsidRDefault="002C45A5" w:rsidP="002C45A5">
            <w:pPr>
              <w:pStyle w:val="TableBody"/>
              <w:rPr>
                <w:b/>
                <w:bCs/>
                <w:color w:val="auto"/>
                <w:lang w:val="en-US"/>
              </w:rPr>
            </w:pPr>
            <w:r w:rsidRPr="002C45A5">
              <w:rPr>
                <w:b/>
                <w:bCs/>
                <w:color w:val="auto"/>
                <w:lang w:val="en-US"/>
              </w:rPr>
              <w:t>$110–$160</w:t>
            </w:r>
          </w:p>
        </w:tc>
        <w:tc>
          <w:tcPr>
            <w:tcW w:w="0" w:type="auto"/>
            <w:hideMark/>
          </w:tcPr>
          <w:p w14:paraId="2314B78E" w14:textId="77777777" w:rsidR="002C45A5" w:rsidRPr="002C45A5" w:rsidRDefault="002C45A5" w:rsidP="002C45A5">
            <w:pPr>
              <w:pStyle w:val="TableBody"/>
              <w:rPr>
                <w:b/>
                <w:bCs/>
                <w:color w:val="auto"/>
                <w:lang w:val="en-US"/>
              </w:rPr>
            </w:pPr>
            <w:r w:rsidRPr="002C45A5">
              <w:rPr>
                <w:b/>
                <w:bCs/>
                <w:color w:val="auto"/>
                <w:lang w:val="en-US"/>
              </w:rPr>
              <w:t>85–95%</w:t>
            </w:r>
          </w:p>
        </w:tc>
        <w:tc>
          <w:tcPr>
            <w:tcW w:w="0" w:type="auto"/>
            <w:hideMark/>
          </w:tcPr>
          <w:p w14:paraId="6CD27B74" w14:textId="77777777" w:rsidR="002C45A5" w:rsidRPr="002C45A5" w:rsidRDefault="002C45A5" w:rsidP="002C45A5">
            <w:pPr>
              <w:pStyle w:val="TableBody"/>
              <w:rPr>
                <w:b/>
                <w:bCs/>
                <w:color w:val="auto"/>
                <w:lang w:val="en-US"/>
              </w:rPr>
            </w:pPr>
            <w:r w:rsidRPr="002C45A5">
              <w:rPr>
                <w:b/>
                <w:bCs/>
                <w:color w:val="auto"/>
                <w:lang w:val="en-US"/>
              </w:rPr>
              <w:t>Intra-day solar time-shifting</w:t>
            </w:r>
          </w:p>
        </w:tc>
      </w:tr>
      <w:tr w:rsidR="002C45A5" w:rsidRPr="002C45A5" w14:paraId="7ED7F4FE" w14:textId="77777777" w:rsidTr="002C45A5">
        <w:tc>
          <w:tcPr>
            <w:tcW w:w="0" w:type="auto"/>
            <w:hideMark/>
          </w:tcPr>
          <w:p w14:paraId="11FAD7B8" w14:textId="77777777" w:rsidR="002C45A5" w:rsidRPr="002C45A5" w:rsidRDefault="002C45A5" w:rsidP="002C45A5">
            <w:pPr>
              <w:pStyle w:val="TableBody"/>
              <w:rPr>
                <w:b/>
                <w:bCs/>
                <w:color w:val="auto"/>
                <w:lang w:val="en-US"/>
              </w:rPr>
            </w:pPr>
            <w:r w:rsidRPr="002C45A5">
              <w:rPr>
                <w:b/>
                <w:bCs/>
                <w:color w:val="auto"/>
                <w:lang w:val="en-US"/>
              </w:rPr>
              <w:t>8–24 hours</w:t>
            </w:r>
          </w:p>
        </w:tc>
        <w:tc>
          <w:tcPr>
            <w:tcW w:w="0" w:type="auto"/>
            <w:hideMark/>
          </w:tcPr>
          <w:p w14:paraId="5F325840" w14:textId="77777777" w:rsidR="002C45A5" w:rsidRPr="002C45A5" w:rsidRDefault="002C45A5" w:rsidP="002C45A5">
            <w:pPr>
              <w:pStyle w:val="TableBody"/>
              <w:rPr>
                <w:b/>
                <w:bCs/>
                <w:color w:val="auto"/>
                <w:lang w:val="en-US"/>
              </w:rPr>
            </w:pPr>
            <w:r w:rsidRPr="002C45A5">
              <w:rPr>
                <w:b/>
                <w:bCs/>
                <w:color w:val="auto"/>
                <w:lang w:val="en-US"/>
              </w:rPr>
              <w:t>Flow Battery (VRFB)</w:t>
            </w:r>
          </w:p>
        </w:tc>
        <w:tc>
          <w:tcPr>
            <w:tcW w:w="0" w:type="auto"/>
            <w:hideMark/>
          </w:tcPr>
          <w:p w14:paraId="2970881C" w14:textId="77777777" w:rsidR="002C45A5" w:rsidRPr="002C45A5" w:rsidRDefault="002C45A5" w:rsidP="002C45A5">
            <w:pPr>
              <w:pStyle w:val="TableBody"/>
              <w:rPr>
                <w:b/>
                <w:bCs/>
                <w:color w:val="auto"/>
                <w:lang w:val="en-US"/>
              </w:rPr>
            </w:pPr>
            <w:r w:rsidRPr="002C45A5">
              <w:rPr>
                <w:b/>
                <w:bCs/>
                <w:color w:val="auto"/>
                <w:lang w:val="en-US"/>
              </w:rPr>
              <w:t>$180–$350</w:t>
            </w:r>
          </w:p>
        </w:tc>
        <w:tc>
          <w:tcPr>
            <w:tcW w:w="0" w:type="auto"/>
            <w:hideMark/>
          </w:tcPr>
          <w:p w14:paraId="5D22737C" w14:textId="77777777" w:rsidR="002C45A5" w:rsidRPr="002C45A5" w:rsidRDefault="002C45A5" w:rsidP="002C45A5">
            <w:pPr>
              <w:pStyle w:val="TableBody"/>
              <w:rPr>
                <w:b/>
                <w:bCs/>
                <w:color w:val="auto"/>
                <w:lang w:val="en-US"/>
              </w:rPr>
            </w:pPr>
            <w:r w:rsidRPr="002C45A5">
              <w:rPr>
                <w:b/>
                <w:bCs/>
                <w:color w:val="auto"/>
                <w:lang w:val="en-US"/>
              </w:rPr>
              <w:t>65–80%</w:t>
            </w:r>
          </w:p>
        </w:tc>
        <w:tc>
          <w:tcPr>
            <w:tcW w:w="0" w:type="auto"/>
            <w:hideMark/>
          </w:tcPr>
          <w:p w14:paraId="0DB549AC" w14:textId="77777777" w:rsidR="002C45A5" w:rsidRPr="002C45A5" w:rsidRDefault="002C45A5" w:rsidP="002C45A5">
            <w:pPr>
              <w:pStyle w:val="TableBody"/>
              <w:rPr>
                <w:b/>
                <w:bCs/>
                <w:color w:val="auto"/>
                <w:lang w:val="en-US"/>
              </w:rPr>
            </w:pPr>
            <w:r w:rsidRPr="002C45A5">
              <w:rPr>
                <w:b/>
                <w:bCs/>
                <w:color w:val="auto"/>
                <w:lang w:val="en-US"/>
              </w:rPr>
              <w:t>Multi-day firming &amp; weak-grid support</w:t>
            </w:r>
          </w:p>
        </w:tc>
      </w:tr>
      <w:tr w:rsidR="002C45A5" w:rsidRPr="002C45A5" w14:paraId="20B9D13F" w14:textId="77777777" w:rsidTr="002C45A5">
        <w:tc>
          <w:tcPr>
            <w:tcW w:w="0" w:type="auto"/>
            <w:hideMark/>
          </w:tcPr>
          <w:p w14:paraId="3DDEA63D" w14:textId="77777777" w:rsidR="002C45A5" w:rsidRPr="002C45A5" w:rsidRDefault="002C45A5" w:rsidP="002C45A5">
            <w:pPr>
              <w:pStyle w:val="TableBody"/>
              <w:rPr>
                <w:b/>
                <w:bCs/>
                <w:color w:val="auto"/>
                <w:lang w:val="en-US"/>
              </w:rPr>
            </w:pPr>
            <w:r w:rsidRPr="002C45A5">
              <w:rPr>
                <w:b/>
                <w:bCs/>
                <w:color w:val="auto"/>
                <w:lang w:val="en-US"/>
              </w:rPr>
              <w:t>24–100 hours</w:t>
            </w:r>
          </w:p>
        </w:tc>
        <w:tc>
          <w:tcPr>
            <w:tcW w:w="0" w:type="auto"/>
            <w:hideMark/>
          </w:tcPr>
          <w:p w14:paraId="219C56A4" w14:textId="77777777" w:rsidR="002C45A5" w:rsidRPr="002C45A5" w:rsidRDefault="002C45A5" w:rsidP="002C45A5">
            <w:pPr>
              <w:pStyle w:val="TableBody"/>
              <w:rPr>
                <w:b/>
                <w:bCs/>
                <w:color w:val="auto"/>
                <w:lang w:val="en-US"/>
              </w:rPr>
            </w:pPr>
            <w:r w:rsidRPr="002C45A5">
              <w:rPr>
                <w:b/>
                <w:bCs/>
                <w:color w:val="auto"/>
                <w:lang w:val="en-US"/>
              </w:rPr>
              <w:t>Iron-Air</w:t>
            </w:r>
          </w:p>
        </w:tc>
        <w:tc>
          <w:tcPr>
            <w:tcW w:w="0" w:type="auto"/>
            <w:hideMark/>
          </w:tcPr>
          <w:p w14:paraId="05B49B50" w14:textId="77777777" w:rsidR="002C45A5" w:rsidRPr="002C45A5" w:rsidRDefault="002C45A5" w:rsidP="002C45A5">
            <w:pPr>
              <w:pStyle w:val="TableBody"/>
              <w:rPr>
                <w:b/>
                <w:bCs/>
                <w:color w:val="auto"/>
                <w:lang w:val="en-US"/>
              </w:rPr>
            </w:pPr>
            <w:r w:rsidRPr="002C45A5">
              <w:rPr>
                <w:b/>
                <w:bCs/>
                <w:color w:val="auto"/>
                <w:lang w:val="en-US"/>
              </w:rPr>
              <w:t>$20–$30</w:t>
            </w:r>
          </w:p>
        </w:tc>
        <w:tc>
          <w:tcPr>
            <w:tcW w:w="0" w:type="auto"/>
            <w:hideMark/>
          </w:tcPr>
          <w:p w14:paraId="7CB6F558" w14:textId="77777777" w:rsidR="002C45A5" w:rsidRPr="002C45A5" w:rsidRDefault="002C45A5" w:rsidP="002C45A5">
            <w:pPr>
              <w:pStyle w:val="TableBody"/>
              <w:rPr>
                <w:b/>
                <w:bCs/>
                <w:color w:val="auto"/>
                <w:lang w:val="en-US"/>
              </w:rPr>
            </w:pPr>
            <w:r w:rsidRPr="002C45A5">
              <w:rPr>
                <w:b/>
                <w:bCs/>
                <w:color w:val="auto"/>
                <w:lang w:val="en-US"/>
              </w:rPr>
              <w:t>40–45%</w:t>
            </w:r>
          </w:p>
        </w:tc>
        <w:tc>
          <w:tcPr>
            <w:tcW w:w="0" w:type="auto"/>
            <w:hideMark/>
          </w:tcPr>
          <w:p w14:paraId="11EF3465" w14:textId="77777777" w:rsidR="002C45A5" w:rsidRPr="002C45A5" w:rsidRDefault="002C45A5" w:rsidP="002C45A5">
            <w:pPr>
              <w:pStyle w:val="TableBody"/>
              <w:rPr>
                <w:b/>
                <w:bCs/>
                <w:color w:val="auto"/>
                <w:lang w:val="en-US"/>
              </w:rPr>
            </w:pPr>
            <w:r w:rsidRPr="002C45A5">
              <w:rPr>
                <w:b/>
                <w:bCs/>
                <w:color w:val="auto"/>
                <w:lang w:val="en-US"/>
              </w:rPr>
              <w:t>Multi-day drought resilience &amp; base load tracking</w:t>
            </w:r>
          </w:p>
        </w:tc>
      </w:tr>
      <w:tr w:rsidR="002C45A5" w:rsidRPr="002C45A5" w14:paraId="5687618E" w14:textId="77777777" w:rsidTr="002C45A5">
        <w:tc>
          <w:tcPr>
            <w:tcW w:w="0" w:type="auto"/>
            <w:hideMark/>
          </w:tcPr>
          <w:p w14:paraId="139D2D77" w14:textId="77777777" w:rsidR="002C45A5" w:rsidRPr="002C45A5" w:rsidRDefault="002C45A5" w:rsidP="002C45A5">
            <w:pPr>
              <w:pStyle w:val="TableBody"/>
              <w:rPr>
                <w:b/>
                <w:bCs/>
                <w:color w:val="auto"/>
                <w:lang w:val="en-US"/>
              </w:rPr>
            </w:pPr>
            <w:r w:rsidRPr="002C45A5">
              <w:rPr>
                <w:b/>
                <w:bCs/>
                <w:color w:val="auto"/>
                <w:lang w:val="en-US"/>
              </w:rPr>
              <w:t>100+ hours</w:t>
            </w:r>
          </w:p>
        </w:tc>
        <w:tc>
          <w:tcPr>
            <w:tcW w:w="0" w:type="auto"/>
            <w:hideMark/>
          </w:tcPr>
          <w:p w14:paraId="0FE5DDF7" w14:textId="77777777" w:rsidR="002C45A5" w:rsidRPr="002C45A5" w:rsidRDefault="002C45A5" w:rsidP="002C45A5">
            <w:pPr>
              <w:pStyle w:val="TableBody"/>
              <w:rPr>
                <w:b/>
                <w:bCs/>
                <w:color w:val="auto"/>
                <w:lang w:val="en-US"/>
              </w:rPr>
            </w:pPr>
            <w:r w:rsidRPr="002C45A5">
              <w:rPr>
                <w:b/>
                <w:bCs/>
                <w:color w:val="auto"/>
                <w:lang w:val="en-US"/>
              </w:rPr>
              <w:t>Green $H_2$ Systems</w:t>
            </w:r>
          </w:p>
        </w:tc>
        <w:tc>
          <w:tcPr>
            <w:tcW w:w="0" w:type="auto"/>
            <w:hideMark/>
          </w:tcPr>
          <w:p w14:paraId="0080F4E5" w14:textId="77777777" w:rsidR="002C45A5" w:rsidRPr="002C45A5" w:rsidRDefault="002C45A5" w:rsidP="002C45A5">
            <w:pPr>
              <w:pStyle w:val="TableBody"/>
              <w:rPr>
                <w:b/>
                <w:bCs/>
                <w:color w:val="auto"/>
                <w:lang w:val="en-US"/>
              </w:rPr>
            </w:pPr>
            <w:r w:rsidRPr="002C45A5">
              <w:rPr>
                <w:b/>
                <w:bCs/>
                <w:color w:val="auto"/>
                <w:lang w:val="en-US"/>
              </w:rPr>
              <w:t>$130–$220</w:t>
            </w:r>
          </w:p>
        </w:tc>
        <w:tc>
          <w:tcPr>
            <w:tcW w:w="0" w:type="auto"/>
            <w:hideMark/>
          </w:tcPr>
          <w:p w14:paraId="6E3FB674" w14:textId="77777777" w:rsidR="002C45A5" w:rsidRPr="002C45A5" w:rsidRDefault="002C45A5" w:rsidP="002C45A5">
            <w:pPr>
              <w:pStyle w:val="TableBody"/>
              <w:rPr>
                <w:b/>
                <w:bCs/>
                <w:color w:val="auto"/>
                <w:lang w:val="en-US"/>
              </w:rPr>
            </w:pPr>
            <w:r w:rsidRPr="002C45A5">
              <w:rPr>
                <w:b/>
                <w:bCs/>
                <w:color w:val="auto"/>
                <w:lang w:val="en-US"/>
              </w:rPr>
              <w:t>30–41%</w:t>
            </w:r>
          </w:p>
        </w:tc>
        <w:tc>
          <w:tcPr>
            <w:tcW w:w="0" w:type="auto"/>
            <w:hideMark/>
          </w:tcPr>
          <w:p w14:paraId="1D476200" w14:textId="6F84123D" w:rsidR="002C45A5" w:rsidRPr="002C45A5" w:rsidRDefault="00ED2C1B" w:rsidP="00ED2C1B">
            <w:pPr>
              <w:pStyle w:val="TableBody"/>
              <w:rPr>
                <w:b/>
                <w:bCs/>
                <w:color w:val="auto"/>
                <w:lang w:val="en-US"/>
              </w:rPr>
            </w:pPr>
            <w:r w:rsidRPr="00ED2C1B">
              <w:rPr>
                <w:b/>
                <w:bCs/>
                <w:color w:val="auto"/>
                <w:lang w:val="en-US"/>
              </w:rPr>
              <w:t>Seasonal shifting &amp; long-duration backup</w:t>
            </w:r>
          </w:p>
        </w:tc>
      </w:tr>
    </w:tbl>
    <w:p w14:paraId="7C9B1409" w14:textId="77777777" w:rsidR="002C45A5" w:rsidRPr="006701FD" w:rsidRDefault="002C45A5" w:rsidP="006701FD">
      <w:pPr>
        <w:spacing w:after="120"/>
        <w:ind w:firstLine="480"/>
      </w:pPr>
    </w:p>
    <w:p w14:paraId="7B68C762" w14:textId="637E5B9B" w:rsidR="007E1BC7" w:rsidRDefault="007E1BC7" w:rsidP="007E1BC7">
      <w:pPr>
        <w:pStyle w:val="Heading20"/>
        <w:rPr>
          <w:color w:val="auto"/>
        </w:rPr>
      </w:pPr>
      <w:r>
        <w:rPr>
          <w:color w:val="auto"/>
        </w:rPr>
        <w:t>5.4. Hybrid Backup Power Systems</w:t>
      </w:r>
    </w:p>
    <w:p w14:paraId="1E31E465" w14:textId="29516452" w:rsidR="00EE0471" w:rsidRPr="00EE0471" w:rsidRDefault="00EE0471" w:rsidP="00866BB5">
      <w:pPr>
        <w:spacing w:after="120"/>
        <w:ind w:firstLine="480"/>
      </w:pPr>
      <w:r w:rsidRPr="00EE0471">
        <w:lastRenderedPageBreak/>
        <w:t>Choosing a technology for back up power means balancing reliability, cost, emissions, and fuel logistics. Despite the declining economic viability of fossil fuels, and the drive to reduce carbon emissions, diesel generators are the most widely adopted backup solution, with capital costs between $300 to $600 per kW, a track record of reliability, and well-established fuel supply chains. Diesel generators do however generate substantial air pollutants (NOx, PM2.5) and CO</w:t>
      </w:r>
      <w:r w:rsidRPr="00ED5900">
        <w:rPr>
          <w:vertAlign w:val="subscript"/>
        </w:rPr>
        <w:t>2</w:t>
      </w:r>
      <w:r w:rsidRPr="00EE0471">
        <w:t xml:space="preserve"> emissions locally which poses conflicts with corporate sustainability objectives</w:t>
      </w:r>
      <w:r w:rsidR="00C161EC">
        <w:fldChar w:fldCharType="begin"/>
      </w:r>
      <w:r w:rsidR="00866BB5">
        <w:instrText xml:space="preserve"> ADDIN ZOTERO_ITEM CSL_CITATION {"citationID":"y7cVLr5U","properties":{"unsorted":false,"formattedCitation":"[109]","plainCitation":"[109]","noteIndex":0},"citationItems":[{"id":2079,"uris":["http://zotero.org/users/9870935/items/NE8T8CB2"],"itemData":{"id":2079,"type":"article-journal","container-title":"Carbon Capture Science &amp; Technology","DOI":"10.1016/j.ccst.2025.100379","ISSN":"27726568","journalAbbreviation":"Carbon Capture Science &amp; Technology","language":"en","page":"100379","source":"DOI.org (Crossref)","title":"Emission control and carbon capture from diesel generators and engines: A decade-long perspective","title-short":"Emission control and carbon capture from diesel generators and engines","volume":"14","author":[{"family":"Babamohammadi","given":"Shervan"},{"family":"Birss","given":"Amy R"},{"family":"Pouran","given":"Hamid"},{"family":"Pandhal","given":"Jagroop"},{"family":"Borhani","given":"Tohid N."}],"issued":{"date-parts":[["2025",3]]}}}],"schema":"https://github.com/citation-style-language/schema/raw/master/csl-citation.json"} </w:instrText>
      </w:r>
      <w:r w:rsidR="00C161EC">
        <w:fldChar w:fldCharType="separate"/>
      </w:r>
      <w:r w:rsidR="00866BB5" w:rsidRPr="00866BB5">
        <w:t>[109]</w:t>
      </w:r>
      <w:r w:rsidR="00C161EC">
        <w:fldChar w:fldCharType="end"/>
      </w:r>
      <w:r w:rsidRPr="00EE0471">
        <w:t>. Typical diesel generator installations for a 100 MW data center with N+1 redundancy are about a total of 20 to 30 MW, with 24 to 72 hours of fuel storage to operate at full load.</w:t>
      </w:r>
    </w:p>
    <w:p w14:paraId="7B13C177" w14:textId="4348344B" w:rsidR="00EE0471" w:rsidRPr="00EE0471" w:rsidRDefault="00EE0471" w:rsidP="00866BB5">
      <w:pPr>
        <w:spacing w:after="120"/>
        <w:ind w:firstLine="480"/>
      </w:pPr>
      <w:r w:rsidRPr="00EE0471">
        <w:t>Natural gas generators produce lower emissions than diesel. CO</w:t>
      </w:r>
      <w:r w:rsidR="004A0F17" w:rsidRPr="004A0F17">
        <w:rPr>
          <w:vertAlign w:val="subscript"/>
        </w:rPr>
        <w:t>2</w:t>
      </w:r>
      <w:r w:rsidRPr="00EE0471">
        <w:t xml:space="preserve"> emissions are around 20</w:t>
      </w:r>
      <w:r w:rsidR="00F417EF">
        <w:t>-</w:t>
      </w:r>
      <w:r w:rsidRPr="00EE0471">
        <w:t>30</w:t>
      </w:r>
      <w:r w:rsidR="00F417EF">
        <w:t xml:space="preserve">% </w:t>
      </w:r>
      <w:r w:rsidRPr="00EE0471">
        <w:t>lower per kWh and local air quality impact is much lower. Capital costs are similar to diesel ($350 - $650/kW), but the reliability of fuel supply is dependent upon the natural gas pipeline infrastructure, which might be vulnerable during extreme weather events</w:t>
      </w:r>
      <w:r w:rsidR="004172B4">
        <w:fldChar w:fldCharType="begin"/>
      </w:r>
      <w:r w:rsidR="00866BB5">
        <w:instrText xml:space="preserve"> ADDIN ZOTERO_ITEM CSL_CITATION {"citationID":"KkWqXrYg","properties":{"unsorted":false,"formattedCitation":"[110]","plainCitation":"[110]","noteIndex":0},"citationItems":[{"id":2080,"uris":["http://zotero.org/users/9870935/items/WJJ79X93"],"itemData":{"id":2080,"type":"article-journal","container-title":"Energy Reports","DOI":"10.1016/j.egyr.2026.109178","ISSN":"23524847","journalAbbreviation":"Energy Reports","language":"en","page":"109178","source":"DOI.org (Crossref)","title":"Scalable data centers – Power generation and delivery challenges and solutions","volume":"15","author":[{"family":"Ghosh","given":"Soham"},{"family":"Damodara","given":"Jaya"}],"issued":{"date-parts":[["2026",6]]}}}],"schema":"https://github.com/citation-style-language/schema/raw/master/csl-citation.json"} </w:instrText>
      </w:r>
      <w:r w:rsidR="004172B4">
        <w:fldChar w:fldCharType="separate"/>
      </w:r>
      <w:r w:rsidR="00866BB5" w:rsidRPr="00866BB5">
        <w:t>[110]</w:t>
      </w:r>
      <w:r w:rsidR="004172B4">
        <w:fldChar w:fldCharType="end"/>
      </w:r>
      <w:r w:rsidRPr="00EE0471">
        <w:t>. Microturbines, which are powered by natural gas or biogas, have lower efficiency (25</w:t>
      </w:r>
      <w:r w:rsidR="00657990">
        <w:t>-</w:t>
      </w:r>
      <w:r w:rsidRPr="00EE0471">
        <w:t>35</w:t>
      </w:r>
      <w:r w:rsidR="00657990">
        <w:t>%</w:t>
      </w:r>
      <w:r w:rsidRPr="00EE0471">
        <w:t>) than reciprocating engines and have smaller footprints and less maintenance</w:t>
      </w:r>
      <w:r w:rsidR="007E0119">
        <w:fldChar w:fldCharType="begin"/>
      </w:r>
      <w:r w:rsidR="00866BB5">
        <w:instrText xml:space="preserve"> ADDIN ZOTERO_ITEM CSL_CITATION {"citationID":"H0M4Pu4F","properties":{"unsorted":false,"formattedCitation":"[111]","plainCitation":"[111]","noteIndex":0},"citationItems":[{"id":2082,"uris":["http://zotero.org/users/9870935/items/PZTN4HPZ"],"itemData":{"id":2082,"type":"post-weblog","title":"Powering Data Centers with Clean Energy","URL":"https://gain.inl.gov/content/uploads/4/2024/11/INL-RPT-24-79307-Powering-Data-Cneters-with-Clean-Energy.pdf","author":[{"family":"Idaho National Lab","given":""}]}}],"schema":"https://github.com/citation-style-language/schema/raw/master/csl-citation.json"} </w:instrText>
      </w:r>
      <w:r w:rsidR="007E0119">
        <w:fldChar w:fldCharType="separate"/>
      </w:r>
      <w:r w:rsidR="00866BB5" w:rsidRPr="00866BB5">
        <w:t>[111]</w:t>
      </w:r>
      <w:r w:rsidR="007E0119">
        <w:fldChar w:fldCharType="end"/>
      </w:r>
      <w:r w:rsidRPr="00EE0471">
        <w:t>.</w:t>
      </w:r>
    </w:p>
    <w:p w14:paraId="2366E27B" w14:textId="6B453EAB" w:rsidR="007E1BC7" w:rsidRPr="00EE0471" w:rsidRDefault="00EE0471" w:rsidP="00866BB5">
      <w:pPr>
        <w:spacing w:after="120"/>
        <w:ind w:firstLine="480"/>
      </w:pPr>
      <w:r w:rsidRPr="00EE0471">
        <w:t>Assessing grid connection as a backup method assumes that the utility grid is reliable, and has dual utility feeds from separate substations, minimizing the likelihood of a dual outage. Tiered power contracts are a mix of firm capacity and interruptible lower-powered rates that offer economic flexibility along with backup power</w:t>
      </w:r>
      <w:r w:rsidR="00D47CF5">
        <w:fldChar w:fldCharType="begin"/>
      </w:r>
      <w:r w:rsidR="00866BB5">
        <w:instrText xml:space="preserve"> ADDIN ZOTERO_ITEM CSL_CITATION {"citationID":"a5J6f3tN","properties":{"unsorted":false,"formattedCitation":"[112]","plainCitation":"[112]","noteIndex":0},"citationItems":[{"id":2083,"uris":["http://zotero.org/users/9870935/items/XWHBFKKT"],"itemData":{"id":2083,"type":"post-weblog","title":"Powering Data Centers in the AI Era","URL":"https://energie.hec.ca/wp-content/uploads/2025/10/PPT_EPRI.pdf","author":[{"family":"EPRI","given":""}]}}],"schema":"https://github.com/citation-style-language/schema/raw/master/csl-citation.json"} </w:instrText>
      </w:r>
      <w:r w:rsidR="00D47CF5">
        <w:fldChar w:fldCharType="separate"/>
      </w:r>
      <w:r w:rsidR="00866BB5" w:rsidRPr="00866BB5">
        <w:t>[112]</w:t>
      </w:r>
      <w:r w:rsidR="00D47CF5">
        <w:fldChar w:fldCharType="end"/>
      </w:r>
      <w:r w:rsidRPr="00EE0471">
        <w:t>. Grid backup varies widely from region to region, with an average of 1.5 to 6 hours of utility outages per year in the U.S. for each utility and geographic area</w:t>
      </w:r>
      <w:r w:rsidR="00EB5E56">
        <w:fldChar w:fldCharType="begin"/>
      </w:r>
      <w:r w:rsidR="00866BB5">
        <w:instrText xml:space="preserve"> ADDIN ZOTERO_ITEM CSL_CITATION {"citationID":"UpEoxyqs","properties":{"unsorted":false,"formattedCitation":"[113]","plainCitation":"[113]","noteIndex":0},"citationItems":[{"id":2084,"uris":["http://zotero.org/users/9870935/items/TIB5XQM5"],"itemData":{"id":2084,"type":"post-weblog","title":"Electric Power Annual 2024","URL":"https://www.eia.gov/electricity/annual/pdf/epa.pdf","author":[{"family":"EIA","given":""}]}}],"schema":"https://github.com/citation-style-language/schema/raw/master/csl-citation.json"} </w:instrText>
      </w:r>
      <w:r w:rsidR="00EB5E56">
        <w:fldChar w:fldCharType="separate"/>
      </w:r>
      <w:r w:rsidR="00866BB5" w:rsidRPr="00866BB5">
        <w:t>[113]</w:t>
      </w:r>
      <w:r w:rsidR="00EB5E56">
        <w:fldChar w:fldCharType="end"/>
      </w:r>
      <w:r w:rsidRPr="00EE0471">
        <w:t>.</w:t>
      </w:r>
    </w:p>
    <w:p w14:paraId="600A8D68" w14:textId="06F045C7" w:rsidR="00994384" w:rsidRDefault="00994384" w:rsidP="00994384">
      <w:pPr>
        <w:pStyle w:val="Heading20"/>
        <w:rPr>
          <w:color w:val="auto"/>
        </w:rPr>
      </w:pPr>
      <w:r>
        <w:rPr>
          <w:color w:val="auto"/>
        </w:rPr>
        <w:t xml:space="preserve">5.5. </w:t>
      </w:r>
      <w:r w:rsidR="008A1C61">
        <w:rPr>
          <w:color w:val="auto"/>
        </w:rPr>
        <w:t>Integration and Control Architecture</w:t>
      </w:r>
    </w:p>
    <w:p w14:paraId="481EB21A" w14:textId="5B33F5A8" w:rsidR="00FE141F" w:rsidRPr="00FE141F" w:rsidRDefault="00FE141F" w:rsidP="00866BB5">
      <w:pPr>
        <w:spacing w:after="120"/>
        <w:ind w:firstLine="480"/>
      </w:pPr>
      <w:r w:rsidRPr="00FE141F">
        <w:t>In a microgrid for a data center powered by renewable energy, the energy management system (EMS) provides the central intelligence coordination of renewable generation, storage dispatch, backup power activation and demand-side management. The modern EMS platforms have three main levels of control: device-level controllers that react to the grid signals in milliseconds, facility-level EMS that control dispatch optimization every hour and corporate-level optimizers that control resource allocation across multiple facilities</w:t>
      </w:r>
      <w:r w:rsidR="0042671C">
        <w:fldChar w:fldCharType="begin"/>
      </w:r>
      <w:r w:rsidR="00866BB5">
        <w:instrText xml:space="preserve"> ADDIN ZOTERO_ITEM CSL_CITATION {"citationID":"PrmsOtPX","properties":{"unsorted":false,"formattedCitation":"[114]","plainCitation":"[114]","noteIndex":0},"citationItems":[{"id":2085,"uris":["http://zotero.org/users/9870935/items/8HNCPDSJ"],"itemData":{"id":2085,"type":"article-journal","container-title":"Energy Reports","DOI":"10.1016/j.egyr.2022.03.009","ISSN":"23524847","journalAbbreviation":"Energy Reports","language":"en","page":"3948-3963","source":"DOI.org (Crossref)","title":"A review of control strategies for flywheel energy storage system and a case study with matrix converter","volume":"8","author":[{"family":"Zhang","given":"J.W."},{"family":"Wang","given":"Y.H."},{"family":"Liu","given":"G.C."},{"family":"Tian","given":"G.Z."}],"issued":{"date-parts":[["2022",11]]}}}],"schema":"https://github.com/citation-style-language/schema/raw/master/csl-citation.json"} </w:instrText>
      </w:r>
      <w:r w:rsidR="0042671C">
        <w:fldChar w:fldCharType="separate"/>
      </w:r>
      <w:r w:rsidR="00866BB5" w:rsidRPr="00866BB5">
        <w:t>[114]</w:t>
      </w:r>
      <w:r w:rsidR="0042671C">
        <w:fldChar w:fldCharType="end"/>
      </w:r>
      <w:r w:rsidRPr="00FE141F">
        <w:t>.</w:t>
      </w:r>
    </w:p>
    <w:p w14:paraId="5CA37160" w14:textId="4202F2E7" w:rsidR="00FE141F" w:rsidRPr="00FE141F" w:rsidRDefault="00FE141F" w:rsidP="00866BB5">
      <w:pPr>
        <w:spacing w:after="120"/>
        <w:ind w:firstLine="480"/>
      </w:pPr>
      <w:r w:rsidRPr="00FE141F">
        <w:t>Model-predictive control (MPC) is the preferred dispatch optimization approach, which combines forecasting of renewable generation and load demand to provide 24 to 48 hour dispatch optimization, updated periodically</w:t>
      </w:r>
      <w:r w:rsidR="00BD2299">
        <w:fldChar w:fldCharType="begin"/>
      </w:r>
      <w:r w:rsidR="00866BB5">
        <w:instrText xml:space="preserve"> ADDIN ZOTERO_ITEM CSL_CITATION {"citationID":"vgPGRl66","properties":{"unsorted":false,"formattedCitation":"[115]","plainCitation":"[115]","noteIndex":0},"citationItems":[{"id":2086,"uris":["http://zotero.org/users/9870935/items/PSX5T5NE"],"itemData":{"id":2086,"type":"article-journal","abstract":"Renewable energy sources (wind turbine and photovoltaic system) are connected to the smart grid to promote the grid power, but the output of these sources is changed due to the sunlight and wind speed variations. Power storage system has the ability to reduce variations in a power system. Battery energy storage system (BESS) and superconducting magnetic energy storage system (SMES) are good solutions for this problem. The storage unit is connected to a power system at the point of common coupling and is able to absorb/store both active and reactive powers from this system and inject them into the power system in the peak demand periods. A control strategy based on proportional–integrative–derivative (PID) and model predictive controller (MPC) are used to control (SMES/BESS) to enhance the transient performance of a smart grid. The proposed algorithm has been tested on standard IEEE 5‐bus system connected to wind turbine distributed generator, non‐linear loads, and storage device (BESS/SMES) to verify the superiority of the presented method. The simulation results show that the performance of SMES with PID is more efficient than BESS with PID, but they have nearly the same output when MPC control strategy is used.","container-title":"IET Renewable Power Generation","DOI":"10.1049/iet-rpg.2016.0892","ISSN":"1752-1416, 1752-1424","issue":"10","journalAbbreviation":"IET Renewable Power Gen","language":"en","page":"1316-1324","source":"DOI.org (Crossref)","title":"Enhancing smart grid transient performance using storage device‐based MPC controller","volume":"11","author":[{"family":"Sultan","given":"Yara A."},{"family":"Kaddah","given":"Sahar S."},{"family":"Elhosseini","given":"Mostafa A."}],"issued":{"date-parts":[["2017",8]]}}}],"schema":"https://github.com/citation-style-language/schema/raw/master/csl-citation.json"} </w:instrText>
      </w:r>
      <w:r w:rsidR="00BD2299">
        <w:fldChar w:fldCharType="separate"/>
      </w:r>
      <w:r w:rsidR="00866BB5" w:rsidRPr="00866BB5">
        <w:t>[115]</w:t>
      </w:r>
      <w:r w:rsidR="00BD2299">
        <w:fldChar w:fldCharType="end"/>
      </w:r>
      <w:r w:rsidRPr="00FE141F">
        <w:t>. The MPC formulation aims to minimise a cost function comprising energy procurement costs, battery degradation costs, demand charge penalties, and carbon emission costs, while satisfying physical constraints such as battery state-of-charge limits, inverter capacity ratings, and interconnection power flow bounds. Research has shown that MPC-based dispatch can provide savings of 10-20% in energy cost, while achieving similar or better reliability performance, over simple rule-based dispatch strategies</w:t>
      </w:r>
      <w:r w:rsidR="00301AC3">
        <w:fldChar w:fldCharType="begin"/>
      </w:r>
      <w:r w:rsidR="00866BB5">
        <w:instrText xml:space="preserve"> ADDIN ZOTERO_ITEM CSL_CITATION {"citationID":"n2uVBffu","properties":{"unsorted":false,"formattedCitation":"[116]","plainCitation":"[116]","noteIndex":0},"citationItems":[{"id":2087,"uris":["http://zotero.org/users/9870935/items/4BDYURFT"],"itemData":{"id":2087,"type":"article-journal","container-title":"Energy","DOI":"10.1016/j.energy.2025.138205","ISSN":"03605442","journalAbbreviation":"Energy","language":"en","page":"138205","source":"DOI.org (Crossref)","title":"An economic model predictive control strategy for EV-integrated microgrids considering battery degradation","volume":"335","author":[{"family":"Hu","given":"Yunfeng"},{"family":"Li","given":"Zeying"},{"family":"Cui","given":"Jinghan"}],"issued":{"date-parts":[["2025",10]]}}}],"schema":"https://github.com/citation-style-language/schema/raw/master/csl-citation.json"} </w:instrText>
      </w:r>
      <w:r w:rsidR="00301AC3">
        <w:fldChar w:fldCharType="separate"/>
      </w:r>
      <w:r w:rsidR="00866BB5" w:rsidRPr="00866BB5">
        <w:t>[116]</w:t>
      </w:r>
      <w:r w:rsidR="00301AC3">
        <w:fldChar w:fldCharType="end"/>
      </w:r>
      <w:r w:rsidRPr="00FE141F">
        <w:t>.</w:t>
      </w:r>
    </w:p>
    <w:p w14:paraId="1A2E3286" w14:textId="232F565B" w:rsidR="008A1C61" w:rsidRPr="00FE141F" w:rsidRDefault="00FE141F" w:rsidP="00866BB5">
      <w:pPr>
        <w:spacing w:after="120"/>
        <w:ind w:firstLine="480"/>
      </w:pPr>
      <w:r w:rsidRPr="00FE141F">
        <w:t xml:space="preserve">A key aspect of system reliability is implementing fault detection, redundancy, and failover logic. Modern EMS platforms have N+1 or 2N redundancy for key components and automatically fail over if any controller or communication fails. To address the growing </w:t>
      </w:r>
      <w:r w:rsidRPr="00FE141F">
        <w:lastRenderedPageBreak/>
        <w:t>threats to critical infrastructure, cybersecurity provisions, such as encrypted communications, multi-factor authentication and network segmentation between operational technology (OT) and enterprise IT networks, are vital</w:t>
      </w:r>
      <w:r w:rsidR="007D315D">
        <w:fldChar w:fldCharType="begin"/>
      </w:r>
      <w:r w:rsidR="00866BB5">
        <w:instrText xml:space="preserve"> ADDIN ZOTERO_ITEM CSL_CITATION {"citationID":"pn3NYYgZ","properties":{"unsorted":false,"formattedCitation":"[117]","plainCitation":"[117]","noteIndex":0},"citationItems":[{"id":2089,"uris":["http://zotero.org/users/9870935/items/QKZEVQIE"],"itemData":{"id":2089,"type":"article-journal","abstract":"In recent years, the Oil &amp; Gas industry has been subjected to a progressive electrification process aiming to comply with global environmental requirements on CO2 emissions reduction. High-power electric motors fed by Variable Frequency Drives (VFDs) have replaced gas turbines as drivers for gas compression applications. In Liquefied Natural Gas (LNG) plants, unexpected downturns could be experienced in case of high torsional vibrations of power generations units. These torsional vibrations derive from the interaction among turbine-generator (TG) units and VFDs and are known as Sub-Synchronous Torsional Interactions (SSTIs). SSTIs can lead to instability when the overall electromechanical system lacks sufficient damping. In this scenario, electrical damping assessment is fundamental in order to ensure stability and reliable operation of an LNG plant. Negative electrical damping is strictly related to the negative incremental resistance behavior of the power converters and it is influenced by the converter’s control system. In this paper, a real case study based on Thyristor Variable Frequency Drives (TVFDs) is considered. Ad hoc dynamic models of the power converters and of the TG unit are developed and combined in order to provide an accurate estimation of the electrical damping. It is demonstrated that the electrical damping is affected by variations of the main control system parameters and how the use of a simplified model instead of an ad hoc model can impact the stability evaluation.","container-title":"Energies","DOI":"10.3390/en13102612","ISSN":"1996-1073","issue":"10","journalAbbreviation":"Energies","language":"en","page":"2612","source":"DOI.org (Crossref)","title":"Electrical Damping Assessment and Stability Considerations for a Highly Electrified Liquefied Natural Gas Plant","volume":"13","author":[{"family":"Bongini","given":"Lorenzo"},{"family":"Mastromauro","given":"Rosa Anna"},{"family":"Sgrò","given":"Daniele"},{"family":"Malvaldi","given":"Fabrizio"}],"issued":{"date-parts":[["2020",5,20]]}}}],"schema":"https://github.com/citation-style-language/schema/raw/master/csl-citation.json"} </w:instrText>
      </w:r>
      <w:r w:rsidR="007D315D">
        <w:fldChar w:fldCharType="separate"/>
      </w:r>
      <w:r w:rsidR="00866BB5" w:rsidRPr="00866BB5">
        <w:t>[117]</w:t>
      </w:r>
      <w:r w:rsidR="007D315D">
        <w:fldChar w:fldCharType="end"/>
      </w:r>
      <w:r w:rsidRPr="00FE141F">
        <w:t>.</w:t>
      </w:r>
    </w:p>
    <w:p w14:paraId="35C119D7" w14:textId="189067E5" w:rsidR="00266077" w:rsidRDefault="002A4526" w:rsidP="00266077">
      <w:pPr>
        <w:pStyle w:val="Heading10"/>
        <w:rPr>
          <w:color w:val="auto"/>
        </w:rPr>
      </w:pPr>
      <w:r>
        <w:rPr>
          <w:color w:val="auto"/>
          <w:lang w:eastAsia="zh-CN"/>
        </w:rPr>
        <w:t>6</w:t>
      </w:r>
      <w:r w:rsidR="00266077">
        <w:rPr>
          <w:color w:val="auto"/>
          <w:lang w:eastAsia="zh-CN"/>
        </w:rPr>
        <w:t xml:space="preserve">. </w:t>
      </w:r>
      <w:r>
        <w:rPr>
          <w:color w:val="auto"/>
        </w:rPr>
        <w:t>Power System Modeling and Simulation</w:t>
      </w:r>
    </w:p>
    <w:p w14:paraId="792125A6" w14:textId="77777777" w:rsidR="00C127D3" w:rsidRDefault="00C127D3" w:rsidP="00C127D3">
      <w:pPr>
        <w:spacing w:after="120"/>
        <w:ind w:firstLine="480"/>
      </w:pPr>
      <w:r>
        <w:t>This chapter examines the tools, methodologies, and validation approaches for designing and analyzing hybrid microgrid systems for renewable-powered AI data centers. Accurate modeling is essential for predicting system performance under varying operating conditions, optimizing component sizing, and validating control strategies before deployment.</w:t>
      </w:r>
    </w:p>
    <w:p w14:paraId="0BAFF9FA" w14:textId="187AAA99" w:rsidR="00C127D3" w:rsidRDefault="00C127D3" w:rsidP="00C127D3">
      <w:pPr>
        <w:pStyle w:val="Heading20"/>
        <w:rPr>
          <w:color w:val="auto"/>
        </w:rPr>
      </w:pPr>
      <w:r>
        <w:rPr>
          <w:color w:val="auto"/>
        </w:rPr>
        <w:t>6.1. Steady-State Power Flow Analysis</w:t>
      </w:r>
    </w:p>
    <w:p w14:paraId="79B677CF" w14:textId="6944D8A4" w:rsidR="00970159" w:rsidRPr="00970159" w:rsidRDefault="00970159" w:rsidP="00866BB5">
      <w:pPr>
        <w:spacing w:after="120"/>
        <w:ind w:firstLine="480"/>
      </w:pPr>
      <w:r w:rsidRPr="00970159">
        <w:t>The voltage profile, power flow, and losses derived from steady-state power flow analysis are the basis for the design of electrical systems, as they define equipment ratings and protection settings. The power flow equations are nonlinear, and the Newton-Raphson method is the standard algorithm used to solve them, needing usually 4 to 8 iterations to converge for well-conditioned system</w:t>
      </w:r>
      <w:r w:rsidR="006236BD">
        <w:fldChar w:fldCharType="begin"/>
      </w:r>
      <w:r w:rsidR="00866BB5">
        <w:instrText xml:space="preserve"> ADDIN ZOTERO_ITEM CSL_CITATION {"citationID":"R69gUmT3","properties":{"unsorted":false,"formattedCitation":"[118]","plainCitation":"[118]","noteIndex":0},"citationItems":[{"id":2090,"uris":["http://zotero.org/users/9870935/items/MW6JYBRT"],"itemData":{"id":2090,"type":"article-journal","container-title":"IEEE Transactions on Power Systems","DOI":"10.1109/TPWRS.2010.2051168","ISSN":"0885-8950, 1558-0679","issue":"1","journalAbbreviation":"IEEE Trans. Power Syst.","license":"https://ieeexplore.ieee.org/Xplorehelp/downloads/license-information/IEEE.html","page":"12-19","source":"DOI.org (Crossref)","title":"MATPOWER: Steady-State Operations, Planning, and Analysis Tools for Power Systems Research and Education","title-short":"MATPOWER","volume":"26","author":[{"family":"Zimmerman","given":"Ray Daniel"},{"family":"Murillo-Sanchez","given":"Carlos Edmundo"},{"family":"Thomas","given":"Robert John"}],"issued":{"date-parts":[["2011",2]]}}}],"schema":"https://github.com/citation-style-language/schema/raw/master/csl-citation.json"} </w:instrText>
      </w:r>
      <w:r w:rsidR="006236BD">
        <w:fldChar w:fldCharType="separate"/>
      </w:r>
      <w:r w:rsidR="00866BB5" w:rsidRPr="00866BB5">
        <w:t>[118]</w:t>
      </w:r>
      <w:r w:rsidR="006236BD">
        <w:fldChar w:fldCharType="end"/>
      </w:r>
      <w:r w:rsidRPr="00970159">
        <w:t>. The DC power flow approximation also includes a linearization of the AC power flow equations, omitting reactive power and voltage magnitude changes, and leads to computationally efficient results appropriate for screening level analysis and large-scale system studies</w:t>
      </w:r>
      <w:r w:rsidR="00B8030A">
        <w:fldChar w:fldCharType="begin"/>
      </w:r>
      <w:r w:rsidR="00866BB5">
        <w:instrText xml:space="preserve"> ADDIN ZOTERO_ITEM CSL_CITATION {"citationID":"mJtqhMx4","properties":{"unsorted":false,"formattedCitation":"[119]","plainCitation":"[119]","noteIndex":0},"citationItems":[{"id":2091,"uris":["http://zotero.org/users/9870935/items/P7FFXDCA"],"itemData":{"id":2091,"type":"article-journal","container-title":"IEEE Transactions on Power Systems","DOI":"10.1109/59.99396","ISSN":"08858950","issue":"4","journalAbbreviation":"IEEE Trans. Power Syst.","license":"https://ieeexplore.ieee.org/Xplorehelp/downloads/license-information/IEEE.html","page":"1425-1431","source":"DOI.org (Crossref)","title":"Fast decoupled load flow: hypothesis, derivations, and testing","title-short":"Fast decoupled load flow","volume":"5","author":[{"family":"Monticelli","given":"A.J."},{"family":"Garcia","given":"A."},{"family":"Saavedra","given":"O.R."}],"issued":{"date-parts":[["1990",11]]}}}],"schema":"https://github.com/citation-style-language/schema/raw/master/csl-citation.json"} </w:instrText>
      </w:r>
      <w:r w:rsidR="00B8030A">
        <w:fldChar w:fldCharType="separate"/>
      </w:r>
      <w:r w:rsidR="00866BB5" w:rsidRPr="00866BB5">
        <w:t>[119]</w:t>
      </w:r>
      <w:r w:rsidR="00B8030A">
        <w:fldChar w:fldCharType="end"/>
      </w:r>
      <w:r w:rsidRPr="00970159">
        <w:t>.</w:t>
      </w:r>
    </w:p>
    <w:p w14:paraId="5DAF9404" w14:textId="6218B4D1" w:rsidR="00C127D3" w:rsidRPr="00970159" w:rsidRDefault="00970159" w:rsidP="00866BB5">
      <w:pPr>
        <w:spacing w:after="120"/>
        <w:ind w:firstLine="480"/>
      </w:pPr>
      <w:r w:rsidRPr="00970159">
        <w:t>Optimal power flow (OPF) is an extension of the basic power flow formulation with an objective function (typically cost minimization or loss minimization) and operational constraints on voltage magnitudes, line flows, and generator outputs. OPF can be employed in renewable powered data centres to optimise the dispatch of renewable generators, battery storage and grid interconnection to minimise energy costs whilst maintaining power quality and reliability</w:t>
      </w:r>
      <w:r w:rsidR="00BF4946">
        <w:fldChar w:fldCharType="begin"/>
      </w:r>
      <w:r w:rsidR="00866BB5">
        <w:instrText xml:space="preserve"> ADDIN ZOTERO_ITEM CSL_CITATION {"citationID":"ZkcxuEkd","properties":{"unsorted":false,"formattedCitation":"[120]","plainCitation":"[120]","noteIndex":0},"citationItems":[{"id":2092,"uris":["http://zotero.org/users/9870935/items/5VTNPVIA"],"itemData":{"id":2092,"type":"article-journal","container-title":"IEEE Transactions on Power Systems","DOI":"10.1109/59.76723","ISSN":"08858950","issue":"2","journalAbbreviation":"IEEE Trans. Power Syst.","license":"https://ieeexplore.ieee.org/Xplorehelp/downloads/license-information/IEEE.html","page":"762-770","source":"DOI.org (Crossref)","title":"A survey of the optimal power flow literature","volume":"6","author":[{"family":"Huneault","given":"M."},{"family":"Galiana","given":"F.D."}],"issued":{"date-parts":[["1991",5]]}}}],"schema":"https://github.com/citation-style-language/schema/raw/master/csl-citation.json"} </w:instrText>
      </w:r>
      <w:r w:rsidR="00BF4946">
        <w:fldChar w:fldCharType="separate"/>
      </w:r>
      <w:r w:rsidR="00866BB5" w:rsidRPr="00866BB5">
        <w:t>[120]</w:t>
      </w:r>
      <w:r w:rsidR="00BF4946">
        <w:fldChar w:fldCharType="end"/>
      </w:r>
      <w:r w:rsidRPr="00970159">
        <w:t>. In contingency analysis, which is based on the N-1 reliability criterion, the performance of a system is tested when one component fails, to ensure that the system will still be able to operate satisfactorily after this failure</w:t>
      </w:r>
      <w:r w:rsidR="00E3235C">
        <w:fldChar w:fldCharType="begin"/>
      </w:r>
      <w:r w:rsidR="00866BB5">
        <w:instrText xml:space="preserve"> ADDIN ZOTERO_ITEM CSL_CITATION {"citationID":"ipICDqP7","properties":{"unsorted":false,"formattedCitation":"[121]","plainCitation":"[121]","noteIndex":0},"citationItems":[{"id":2093,"uris":["http://zotero.org/users/9870935/items/LIMXCIJ4"],"itemData":{"id":2093,"type":"paper-conference","container-title":"2016 IEEE Power and Energy Society General Meeting (PESGM)","DOI":"10.1109/PESGM.2016.7741072","event-title":"2016 IEEE Power and Energy Society General Meeting (PESGM)","ISBN":"978-1-5090-4168-8","page":"1-5","publisher":"IEEE","publisher-place":"Boston, MA, USA","source":"DOI.org (Crossref)","title":"NERC TPL-001-4 transient voltage performance compliance study - criteria development, study methodology and case studies","URL":"http://ieeexplore.ieee.org/document/7741072/","author":[{"literal":"Xiaokang Xu"},{"family":"Kandlawala","given":"M. Fareed"},{"literal":"Ming Wu"}],"accessed":{"date-parts":[["2026",5,18]]},"issued":{"date-parts":[["2016",7]]}}}],"schema":"https://github.com/citation-style-language/schema/raw/master/csl-citation.json"} </w:instrText>
      </w:r>
      <w:r w:rsidR="00E3235C">
        <w:fldChar w:fldCharType="separate"/>
      </w:r>
      <w:r w:rsidR="00866BB5" w:rsidRPr="00866BB5">
        <w:t>[121]</w:t>
      </w:r>
      <w:r w:rsidR="00E3235C">
        <w:fldChar w:fldCharType="end"/>
      </w:r>
      <w:r w:rsidRPr="00970159">
        <w:t>. Often used tools for power flow analysis are MATPOWER, which is an open-source MATLAB toolbox; PSS/E, a commercial tool; and DIgSILENT PowerFactory, a commercial and popular tool in Europe</w:t>
      </w:r>
      <w:r w:rsidR="00B0261C">
        <w:fldChar w:fldCharType="begin"/>
      </w:r>
      <w:r w:rsidR="00866BB5">
        <w:instrText xml:space="preserve"> ADDIN ZOTERO_ITEM CSL_CITATION {"citationID":"BkNp7by7","properties":{"unsorted":false,"formattedCitation":"[122]","plainCitation":"[122]","noteIndex":0},"citationItems":[{"id":2094,"uris":["http://zotero.org/users/9870935/items/4RTVK2FK"],"itemData":{"id":2094,"type":"paper-conference","container-title":"2019 International Conference on Clean Electrical Power (ICCEP)","DOI":"10.1109/ICCEP.2019.8890163","event-title":"2019 International Conference on Clean Electrical Power (ICCEP)","ISBN":"978-1-7281-1356-2","license":"https://ieeexplore.ieee.org/Xplorehelp/downloads/license-information/IEEE.html","page":"82-86","publisher":"IEEE","publisher-place":"Otranto, Italy","source":"DOI.org (Crossref)","title":"Comparison of different tools for power flow analysis with high wind power integration","URL":"https://ieeexplore.ieee.org/document/8890163/","author":[{"family":"Fernandez-Guillamon","given":"A."},{"family":"Molina-Garcia","given":"A."},{"family":"Das","given":"K."},{"family":"Altin","given":"M."}],"accessed":{"date-parts":[["2026",5,18]]},"issued":{"date-parts":[["2019",7]]}}}],"schema":"https://github.com/citation-style-language/schema/raw/master/csl-citation.json"} </w:instrText>
      </w:r>
      <w:r w:rsidR="00B0261C">
        <w:fldChar w:fldCharType="separate"/>
      </w:r>
      <w:r w:rsidR="00866BB5" w:rsidRPr="00866BB5">
        <w:t>[122]</w:t>
      </w:r>
      <w:r w:rsidR="00B0261C">
        <w:fldChar w:fldCharType="end"/>
      </w:r>
      <w:r w:rsidRPr="00970159">
        <w:t>.</w:t>
      </w:r>
    </w:p>
    <w:p w14:paraId="7A25C384" w14:textId="75E2F20C" w:rsidR="00D6323E" w:rsidRDefault="00D6323E" w:rsidP="00D6323E">
      <w:pPr>
        <w:pStyle w:val="Heading20"/>
        <w:rPr>
          <w:color w:val="auto"/>
        </w:rPr>
      </w:pPr>
      <w:r>
        <w:rPr>
          <w:color w:val="auto"/>
        </w:rPr>
        <w:t>6.2. Transient Stability and Grid Dynamics</w:t>
      </w:r>
    </w:p>
    <w:p w14:paraId="5BE98451" w14:textId="3926C7CD" w:rsidR="0070515F" w:rsidRPr="0070515F" w:rsidRDefault="0070515F" w:rsidP="00866BB5">
      <w:pPr>
        <w:spacing w:after="120"/>
        <w:ind w:firstLine="480"/>
      </w:pPr>
      <w:r w:rsidRPr="0070515F">
        <w:t>Transient stability analysis involves studying the transient dynamic response of the power system after a large fault, generator trip, or sudden load change. Transient stability is also an important issue for microgrids in data centers with high renewable penetration, due to the lack of inherent rotational inertia in inverter-based resources. Virtual inertia can be achieved by grid-forming inverters, where the reference voltage and frequency are generated by the inverter without using a grid synchronizing signal, by controlling their dynamic response, as that of a synchronous machine</w:t>
      </w:r>
      <w:r w:rsidR="00B05FA0">
        <w:fldChar w:fldCharType="begin"/>
      </w:r>
      <w:r w:rsidR="00866BB5">
        <w:instrText xml:space="preserve"> ADDIN ZOTERO_ITEM CSL_CITATION {"citationID":"EnZx5jNZ","properties":{"unsorted":false,"formattedCitation":"[18], [123]","plainCitation":"[18], [123]","noteIndex":0},"citationItems":[{"id":1927,"uris":["http://zotero.org/users/9870935/items/PZK7R79L"],"itemData":{"id":1927,"type":"article-journal","abstract":"The penetration of distributed energy resources in electrical grids has been steadily increasing in an effort to reduce greenhouse gas emissions. Inverters, as interfaces between distributed energy resources and grids, have become critical assets in modern power systems. In recent years, the development and application of grid-forming inverters have gained significant traction due to their capability of supporting power grid operations. A comprehensive review of grid-forming inverters is presented for power system applications. A comparison between grid-forming inverters and grid-following inverters is conducted in terms of their functionalities to highlight the potential of grid-forming inverter technologies in support of power system stability and resiliency. In addition, advanced control strategies integrated into grid-forming inverters under various operation conditions are presented through reviewing the innovations introduced in recent literature and in industrial applications. This paper is intended to provide an updated reference regarding grid-forming inverters for power system applications to researchers and practitioners in the field of power electronics.","container-title":"Chinese Journal of Electrical Engineering","DOI":"10.23919/CJEE.2022.000001","ISSN":"2096-1529","issue":"1","journalAbbreviation":"Chin. J. Electr. Eng.","language":"en","page":"1-15","source":"DOI.org (Crossref)","title":"Review of Grid-forming Inverters in Support of Power System Operation","volume":"8","author":[{"family":"Song","given":"Guanhong"},{"family":"Cao","given":"Bo"},{"family":"Chang","given":"Liuchen"}],"issued":{"date-parts":[["2022",3]]}}},{"id":2095,"uris":["http://zotero.org/users/9870935/items/GBR6LIAE"],"itemData":{"id":2095,"type":"paper-conference","container-title":"2024 IEEE PES Innovative Smart Grid Technologies Europe (ISGT EUROPE)","DOI":"10.1109/ISGTEUROPE62998.2024.10863434","event-title":"2024 IEEE PES Innovative Smart Grid Technologies Europe (ISGT EUROPE)","ISBN":"979-8-3503-9042-1","license":"https://doi.org/10.15223/policy-029","page":"1-5","publisher":"IEEE","publisher-place":"Dubrovnik, Croatia","source":"DOI.org (Crossref)","title":"Power System Stability Improvements Through Grid Forming Inverters for Systems with High Penetration of Grid Following Inverters","URL":"https://ieeexplore.ieee.org/document/10863434/","author":[{"family":"Geekiyanage","given":"Viduruwan"},{"family":"Seppänen","given":"Janne"}],"accessed":{"date-parts":[["2026",5,18]]},"issued":{"date-parts":[["2024",10,14]]}}}],"schema":"https://github.com/citation-style-language/schema/raw/master/csl-citation.json"} </w:instrText>
      </w:r>
      <w:r w:rsidR="00B05FA0">
        <w:fldChar w:fldCharType="separate"/>
      </w:r>
      <w:r w:rsidR="00866BB5" w:rsidRPr="00866BB5">
        <w:t>[18], [123]</w:t>
      </w:r>
      <w:r w:rsidR="00B05FA0">
        <w:fldChar w:fldCharType="end"/>
      </w:r>
      <w:r w:rsidRPr="0070515F">
        <w:t xml:space="preserve">. The transition from on-grid to off-grid (islanded operation) is a significant transient event that occurs when the utility grid </w:t>
      </w:r>
      <w:r w:rsidRPr="0070515F">
        <w:lastRenderedPageBreak/>
        <w:t>suffers a disturbance, and for which careful design of inverter control parameters, protection settings, and load shedding schemes is required</w:t>
      </w:r>
      <w:r w:rsidR="00D52CC4">
        <w:fldChar w:fldCharType="begin"/>
      </w:r>
      <w:r w:rsidR="00866BB5">
        <w:instrText xml:space="preserve"> ADDIN ZOTERO_ITEM CSL_CITATION {"citationID":"AdxixQhk","properties":{"unsorted":false,"formattedCitation":"[124]","plainCitation":"[124]","noteIndex":0},"citationItems":[{"id":2096,"uris":["http://zotero.org/users/9870935/items/M5N4Z7YA"],"itemData":{"id":2096,"type":"standard","DOI":"10.1109/IEEESTD.2018.8340204","ISBN":"978-1-5044-4515-3","license":"https://doi.org/10.15223/policy-029","publisher":"IEEE","source":"DOI.org (Crossref)","title":"IEEE Standard for the Specification of Microgrid Controllers","URL":"https://ieeexplore.ieee.org/document/8340204/","accessed":{"date-parts":[["2026",5,18]]}}}],"schema":"https://github.com/citation-style-language/schema/raw/master/csl-citation.json"} </w:instrText>
      </w:r>
      <w:r w:rsidR="00D52CC4">
        <w:fldChar w:fldCharType="separate"/>
      </w:r>
      <w:r w:rsidR="00866BB5" w:rsidRPr="00866BB5">
        <w:t>[124]</w:t>
      </w:r>
      <w:r w:rsidR="00D52CC4">
        <w:fldChar w:fldCharType="end"/>
      </w:r>
      <w:r w:rsidRPr="0070515F">
        <w:t>.</w:t>
      </w:r>
    </w:p>
    <w:p w14:paraId="4AD86D2B" w14:textId="3450BB5F" w:rsidR="00D6323E" w:rsidRPr="0070515F" w:rsidRDefault="0070515F" w:rsidP="00866BB5">
      <w:pPr>
        <w:spacing w:after="120"/>
        <w:ind w:firstLine="480"/>
      </w:pPr>
      <w:r w:rsidRPr="0070515F">
        <w:t>The challenge of PLL stability arises as renewable penetration increases. However, PLL-based grid-following inverters can suffer from oscillatory operation or complete loss of synchronization in weak grid condition, when the short circuit ratio (SCR) at the point of interconnection is low, which can cause cascading failures</w:t>
      </w:r>
      <w:r w:rsidR="00A20371">
        <w:fldChar w:fldCharType="begin"/>
      </w:r>
      <w:r w:rsidR="00866BB5">
        <w:instrText xml:space="preserve"> ADDIN ZOTERO_ITEM CSL_CITATION {"citationID":"nNqJkW4n","properties":{"unsorted":false,"formattedCitation":"[125]","plainCitation":"[125]","noteIndex":0},"citationItems":[{"id":2097,"uris":["http://zotero.org/users/9870935/items/KGQXJHH9"],"itemData":{"id":2097,"type":"article-journal","container-title":"IEEE Access","DOI":"10.1109/ACCESS.2025.3546491","ISSN":"2169-3536","journalAbbreviation":"IEEE Access","license":"https://creativecommons.org/licenses/by/4.0/legalcode","page":"39912-39934","source":"DOI.org (Crossref)","title":"Power System Stability With High Penetration of Renewable Energy Sources: Challenges, Assessment, and Mitigation Strategies","title-short":"Power System Stability With High Penetration of Renewable Energy Sources","volume":"13","author":[{"family":"Ali","given":"Jana Sheikh"},{"family":"Qiblawey","given":"Yazan"},{"family":"Alassi","given":"Abdulrahman"},{"family":"Massoud","given":"Ahmed M."},{"family":"Muyeen","given":"S. M."},{"family":"Abu-Rub","given":"Haitham"}],"issued":{"date-parts":[["2025"]]}}}],"schema":"https://github.com/citation-style-language/schema/raw/master/csl-citation.json"} </w:instrText>
      </w:r>
      <w:r w:rsidR="00A20371">
        <w:fldChar w:fldCharType="separate"/>
      </w:r>
      <w:r w:rsidR="00866BB5" w:rsidRPr="00866BB5">
        <w:t>[125]</w:t>
      </w:r>
      <w:r w:rsidR="00A20371">
        <w:fldChar w:fldCharType="end"/>
      </w:r>
      <w:r w:rsidRPr="0070515F">
        <w:t>. There are several well-documented examples of the occurrence of sub-synchronous resonance (SSR) phenomenon between inverter controls and series-compensated (SC) transmission lines, and these interactions require detailed electromagnetic transient (EMT) simulation studies for grid-connected renewable plants</w:t>
      </w:r>
      <w:r w:rsidR="009B3274">
        <w:fldChar w:fldCharType="begin"/>
      </w:r>
      <w:r w:rsidR="00866BB5">
        <w:instrText xml:space="preserve"> ADDIN ZOTERO_ITEM CSL_CITATION {"citationID":"VvGA3otY","properties":{"unsorted":false,"formattedCitation":"[126]","plainCitation":"[126]","noteIndex":0},"citationItems":[{"id":2100,"uris":["http://zotero.org/users/9870935/items/CW9DIYPL"],"itemData":{"id":2100,"type":"document","title":"Inverter-Based Resource Performance Issues","URL":"https://www.nerc.com/globalassets/programs/bpsa/alerts/2023/nerc-alert-r-2023-03-14-01-level-2---inverter-based-resource-performance-issues.pdf","author":[{"family":"NERC","given":""}]}}],"schema":"https://github.com/citation-style-language/schema/raw/master/csl-citation.json"} </w:instrText>
      </w:r>
      <w:r w:rsidR="009B3274">
        <w:fldChar w:fldCharType="separate"/>
      </w:r>
      <w:r w:rsidR="00866BB5" w:rsidRPr="00866BB5">
        <w:t>[126]</w:t>
      </w:r>
      <w:r w:rsidR="009B3274">
        <w:fldChar w:fldCharType="end"/>
      </w:r>
      <w:r w:rsidRPr="0070515F">
        <w:t>.</w:t>
      </w:r>
    </w:p>
    <w:p w14:paraId="0CF7A76E" w14:textId="7C8DBB87" w:rsidR="005B0229" w:rsidRDefault="005B0229" w:rsidP="005B0229">
      <w:pPr>
        <w:pStyle w:val="Heading20"/>
        <w:rPr>
          <w:color w:val="auto"/>
        </w:rPr>
      </w:pPr>
      <w:r>
        <w:rPr>
          <w:color w:val="auto"/>
        </w:rPr>
        <w:t>6.3. Harmonic Analysis and Power Quality</w:t>
      </w:r>
    </w:p>
    <w:p w14:paraId="5D793D84" w14:textId="61CCE281" w:rsidR="00637E25" w:rsidRPr="00637E25" w:rsidRDefault="00637E25" w:rsidP="00866BB5">
      <w:pPr>
        <w:spacing w:after="120"/>
        <w:ind w:firstLine="480"/>
      </w:pPr>
      <w:r w:rsidRPr="00637E25">
        <w:t>Harmonic analysis is crucial to ensure compliance with power quality standards set in IEEE 519 and to help develop the correct mitigation. The harmonic profile of a data center microgrid depends on the combined effect of all the data center nonlinear loads such as IT equipment SMPSs, cooling system VFDs, LED lights, and the harmonic currents produced by the renewable inverter</w:t>
      </w:r>
      <w:r w:rsidR="00C44659">
        <w:fldChar w:fldCharType="begin"/>
      </w:r>
      <w:r w:rsidR="00C44659">
        <w:instrText xml:space="preserve"> ADDIN ZOTERO_ITEM CSL_CITATION {"citationID":"rFvXbkfi","properties":{"unsorted":false,"formattedCitation":"[22]","plainCitation":"[22]","noteIndex":0},"citationItems":[{"id":1944,"uris":["http://zotero.org/users/9870935/items/XZS2JQRQ"],"itemData":{"id":1944,"type":"standard","DOI":"10.1109/IEEESTD.2022.9848440","ISBN":"978-1-5044-8727-6","license":"https://doi.org/10.15223/policy-029","publisher":"IEEE","source":"DOI.org (Crossref)","title":"IEEE Standard for Harmonic Control in Electric Power Systems","URL":"https://ieeexplore.ieee.org/document/9848440/","accessed":{"date-parts":[["2026",5,10]]}}}],"schema":"https://github.com/citation-style-language/schema/raw/master/csl-citation.json"} </w:instrText>
      </w:r>
      <w:r w:rsidR="00C44659">
        <w:fldChar w:fldCharType="separate"/>
      </w:r>
      <w:r w:rsidR="00C44659" w:rsidRPr="00C44659">
        <w:t>[22]</w:t>
      </w:r>
      <w:r w:rsidR="00C44659">
        <w:fldChar w:fldCharType="end"/>
      </w:r>
      <w:r w:rsidRPr="00637E25">
        <w:t>. Frequency-domain analysis techniques such as Fourier decomposition and harmonic impedance scanning are employed to detect resonance conditions which could increase the level of specific harmonic orders</w:t>
      </w:r>
      <w:r w:rsidR="00FE2248">
        <w:fldChar w:fldCharType="begin"/>
      </w:r>
      <w:r w:rsidR="00866BB5">
        <w:instrText xml:space="preserve"> ADDIN ZOTERO_ITEM CSL_CITATION {"citationID":"9pAXEXox","properties":{"unsorted":false,"formattedCitation":"[127]","plainCitation":"[127]","noteIndex":0},"citationItems":[{"id":2101,"uris":["http://zotero.org/users/9870935/items/VB4B8XL6"],"itemData":{"id":2101,"type":"book","DOI":"10.1002/9781118887059","edition":"1","ISBN":"978-1-118-86162-2","language":"en","publisher":"Wiley","source":"DOI.org (Crossref)","title":"Power System Harmonics and Passive Filter Designs","URL":"https://onlinelibrary.wiley.com/doi/book/10.1002/9781118887059","author":[{"family":"Das","given":"J. C."}],"accessed":{"date-parts":[["2026",5,18]]},"issued":{"date-parts":[["2015",3,16]]}}}],"schema":"https://github.com/citation-style-language/schema/raw/master/csl-citation.json"} </w:instrText>
      </w:r>
      <w:r w:rsidR="00FE2248">
        <w:fldChar w:fldCharType="separate"/>
      </w:r>
      <w:r w:rsidR="00866BB5" w:rsidRPr="00866BB5">
        <w:t>[127]</w:t>
      </w:r>
      <w:r w:rsidR="00FE2248">
        <w:fldChar w:fldCharType="end"/>
      </w:r>
      <w:r w:rsidRPr="00637E25">
        <w:t>.</w:t>
      </w:r>
    </w:p>
    <w:p w14:paraId="5A1EAF2A" w14:textId="2F275E3C" w:rsidR="005B0229" w:rsidRPr="00637E25" w:rsidRDefault="00637E25" w:rsidP="00866BB5">
      <w:pPr>
        <w:spacing w:after="120"/>
        <w:ind w:firstLine="480"/>
      </w:pPr>
      <w:r w:rsidRPr="00637E25">
        <w:t>Passive filters (tuned LC circuits), active power filters (APFs), multi-pulse rectifier configurations, and advanced inverter control algorithms to reduce harmonic current injection are all options for harmonic mitigation</w:t>
      </w:r>
      <w:r w:rsidR="00220493">
        <w:fldChar w:fldCharType="begin"/>
      </w:r>
      <w:r w:rsidR="00866BB5">
        <w:instrText xml:space="preserve"> ADDIN ZOTERO_ITEM CSL_CITATION {"citationID":"mqXTld0r","properties":{"unsorted":false,"formattedCitation":"[127]","plainCitation":"[127]","noteIndex":0},"citationItems":[{"id":2101,"uris":["http://zotero.org/users/9870935/items/VB4B8XL6"],"itemData":{"id":2101,"type":"book","DOI":"10.1002/9781118887059","edition":"1","ISBN":"978-1-118-86162-2","language":"en","publisher":"Wiley","source":"DOI.org (Crossref)","title":"Power System Harmonics and Passive Filter Designs","URL":"https://onlinelibrary.wiley.com/doi/book/10.1002/9781118887059","author":[{"family":"Das","given":"J. C."}],"accessed":{"date-parts":[["2026",5,18]]},"issued":{"date-parts":[["2015",3,16]]}}}],"schema":"https://github.com/citation-style-language/schema/raw/master/csl-citation.json"} </w:instrText>
      </w:r>
      <w:r w:rsidR="00220493">
        <w:fldChar w:fldCharType="separate"/>
      </w:r>
      <w:r w:rsidR="00866BB5" w:rsidRPr="00866BB5">
        <w:t>[127]</w:t>
      </w:r>
      <w:r w:rsidR="00220493">
        <w:fldChar w:fldCharType="end"/>
      </w:r>
      <w:r w:rsidRPr="00637E25">
        <w:t>. The choice of mitigation technology will be a function of the harmonic spectrum, dynamics of loading and cost considerations. Active filters tend to be the preferred choice for AI data centers where the loads are often irregular, as they can continuously adapt to shifts in the harmonic profile</w:t>
      </w:r>
      <w:r w:rsidR="00A85F9E">
        <w:fldChar w:fldCharType="begin"/>
      </w:r>
      <w:r w:rsidR="00866BB5">
        <w:instrText xml:space="preserve"> ADDIN ZOTERO_ITEM CSL_CITATION {"citationID":"dBxza6Dz","properties":{"unsorted":false,"formattedCitation":"[128]","plainCitation":"[128]","noteIndex":0},"citationItems":[{"id":2102,"uris":["http://zotero.org/users/9870935/items/V6QTZZ73"],"itemData":{"id":2102,"type":"article-journal","abstract":"Power quality issues have become a critical concern in modern industrial systems due to the increasing use of nonlinear loads, power electronic converters, and renewable energy integration. These factors significantly contribute to harmonic distortion, reactive power imbalance, voltage fluctuations, and reduced power factor, which can degrade system performance and shorten equipment lifespan. This study aims to analyze the effectiveness of active power filters in improving power quality in industrial environments. The research adopts a qualitative analytical approach by synthesizing recent empirical and simulation-based studies on shunt, series, and hybrid active power filter configurations. The findings indicate that active power filters provide superior harmonic mitigation, dynamic reactive power compensation, and voltage stabilization compared to conventional passive solutions. Shunt active power filters are particularly effective in reducing current harmonics, while series active power filters address voltage-related disturbances such as sags and swells. The study concludes that active power filters represent a robust and flexible solution for enhancing industrial power quality, supporting compliance with international standards and improving overall system reliability.","container-title":"RESWARA: Jurnal Riset Ilmu Teknik","DOI":"10.70716/reswara.v3i2.404","ISSN":"3025-9444","issue":"2","journalAbbreviation":"Reswara J. Ris. Ilmu Tek.","license":"https://creativecommons.org/licenses/by-sa/4.0","page":"44-50","source":"DOI.org (Crossref)","title":"Power Quality Improvement Using Active Power Filters in Industrial Systems","volume":"3","author":[{"family":"Anindya","given":"Mikaela Shopie"},{"family":"Zaro","given":"Fouad"},{"family":"Popescu","given":"Mihaela"}],"issued":{"date-parts":[["2025",4,26]]}}}],"schema":"https://github.com/citation-style-language/schema/raw/master/csl-citation.json"} </w:instrText>
      </w:r>
      <w:r w:rsidR="00A85F9E">
        <w:fldChar w:fldCharType="separate"/>
      </w:r>
      <w:r w:rsidR="00866BB5" w:rsidRPr="00866BB5">
        <w:t>[128]</w:t>
      </w:r>
      <w:r w:rsidR="00A85F9E">
        <w:fldChar w:fldCharType="end"/>
      </w:r>
      <w:r w:rsidRPr="00637E25">
        <w:t>.</w:t>
      </w:r>
    </w:p>
    <w:p w14:paraId="421184FD" w14:textId="0A7C2997" w:rsidR="0089615F" w:rsidRDefault="0089615F" w:rsidP="0089615F">
      <w:pPr>
        <w:pStyle w:val="Heading20"/>
        <w:rPr>
          <w:color w:val="auto"/>
        </w:rPr>
      </w:pPr>
      <w:r>
        <w:rPr>
          <w:color w:val="auto"/>
        </w:rPr>
        <w:t>6.4. Microgrid Modeling Frameworks</w:t>
      </w:r>
    </w:p>
    <w:p w14:paraId="26A625E7" w14:textId="3D6F27C2" w:rsidR="0014185D" w:rsidRPr="0014185D" w:rsidRDefault="0014185D" w:rsidP="00866BB5">
      <w:pPr>
        <w:spacing w:after="120"/>
        <w:ind w:firstLine="480"/>
      </w:pPr>
      <w:r w:rsidRPr="0014185D">
        <w:t>There are a variety of software packages for micro-grid modeling and simulation, ranging in fidelity and in efficiency. HOMER (Hybrid Optimization Model for Electric Renewables), developed by NREL and maintained by UL Solutions, is a dispatch simulation that combines economic optimization and is particularly useful for sizing applications and comparison of technologies</w:t>
      </w:r>
      <w:r w:rsidR="00C57541">
        <w:fldChar w:fldCharType="begin"/>
      </w:r>
      <w:r w:rsidR="00866BB5">
        <w:instrText xml:space="preserve"> ADDIN ZOTERO_ITEM CSL_CITATION {"citationID":"TEOEDiB7","properties":{"unsorted":false,"formattedCitation":"[129]","plainCitation":"[129]","noteIndex":0},"citationItems":[{"id":2104,"uris":["http://zotero.org/users/9870935/items/VUEBTNAU"],"itemData":{"id":2104,"type":"post-weblog","title":"Microgrid and Hybrid Power Modeling","URL":"https://homerenergy.com/","author":[{"family":"HOMER","given":""}]}}],"schema":"https://github.com/citation-style-language/schema/raw/master/csl-citation.json"} </w:instrText>
      </w:r>
      <w:r w:rsidR="00C57541">
        <w:fldChar w:fldCharType="separate"/>
      </w:r>
      <w:r w:rsidR="00866BB5" w:rsidRPr="00866BB5">
        <w:t>[129]</w:t>
      </w:r>
      <w:r w:rsidR="00C57541">
        <w:fldChar w:fldCharType="end"/>
      </w:r>
      <w:r w:rsidRPr="0014185D">
        <w:t>. HOMER Pro has built-in component models of solar PV, wind turbines, batteries, generators, and grid interconnection and sensitivity analysis to explore parameter uncertainty. HOMER's hourly time resolution, however, might not be adequate for sub-hourly phenomena like frequency regulation and voltage transients.</w:t>
      </w:r>
    </w:p>
    <w:p w14:paraId="06976AEC" w14:textId="5BB972F9" w:rsidR="00D079A2" w:rsidRPr="0014185D" w:rsidRDefault="0014185D" w:rsidP="00866BB5">
      <w:pPr>
        <w:spacing w:after="120"/>
        <w:ind w:firstLine="480"/>
      </w:pPr>
      <w:r w:rsidRPr="0014185D">
        <w:t>For detailed electromagnetic transient simulation, MATLAB Simulink with the Simscape Electrical toolbox delivers analysis of the dynamics of inverter control, protection system co-ordination and fast-switching power electronics. There are several open-source tools available such as Pandapower (Python power flow), PyPower (MATLAB POWERWORLD port to Python), and OpenModelica (equation-based modeling) for research and preliminary engineering studies</w:t>
      </w:r>
      <w:r w:rsidR="00DC6319">
        <w:fldChar w:fldCharType="begin"/>
      </w:r>
      <w:r w:rsidR="00866BB5">
        <w:instrText xml:space="preserve"> ADDIN ZOTERO_ITEM CSL_CITATION {"citationID":"lGYuaF1J","properties":{"unsorted":false,"formattedCitation":"[130]","plainCitation":"[130]","noteIndex":0},"citationItems":[{"id":2105,"uris":["http://zotero.org/users/9870935/items/ZLEHC4S7"],"itemData":{"id":2105,"type":"paper-conference","container-title":"Proceedings of THE 22ND INTERNATIONAL CONFERENCE ON MODELING AND APPLIED SIMULATION","DOI":"10.46354/i3m.2023.mas.013","event-title":"THE 22ND INTERNATIONAL CONFERENCE ON MODELING AND APPLIED SIMULATION","ISBN":"978-88-85741-91-1","publisher":"CAL-TEK srl","source":"DOI.org (Crossref)","title":"MODELING, SIMULATION AND INTELLIGENT ALGORITHMS FOR SOLVING THE MACHINE-LOADING PROBLEM: A LITERATURE REVIEW","title-short":"MODELING, SIMULATION AND INTELLIGENT ALGORITHMS FOR SOLVING THE MACHINE-LOADING PROBLEM","URL":"https://www.cal-tek.eu/proceedings/i3m/2023/mas/013","accessed":{"date-parts":[["2026",5,18]]},"issued":{"date-parts":[["2023"]]}}}],"schema":"https://github.com/citation-style-language/schema/raw/master/csl-citation.json"} </w:instrText>
      </w:r>
      <w:r w:rsidR="00DC6319">
        <w:fldChar w:fldCharType="separate"/>
      </w:r>
      <w:r w:rsidR="00866BB5" w:rsidRPr="00866BB5">
        <w:t>[130]</w:t>
      </w:r>
      <w:r w:rsidR="00DC6319">
        <w:fldChar w:fldCharType="end"/>
      </w:r>
      <w:r w:rsidRPr="0014185D">
        <w:t xml:space="preserve">. The choice of the modeling framework </w:t>
      </w:r>
      <w:r w:rsidRPr="0014185D">
        <w:lastRenderedPageBreak/>
        <w:t>should be determined by the analysis needs: HOMER for system sizing and economic optimization, MATLAB/ETAP for detailed electrical design and protection coordination, and PSCAD/EMTDC for electromagnetic transient studies of inverter dominated systems</w:t>
      </w:r>
      <w:r w:rsidR="00A9395C">
        <w:fldChar w:fldCharType="begin"/>
      </w:r>
      <w:r w:rsidR="00866BB5">
        <w:instrText xml:space="preserve"> ADDIN ZOTERO_ITEM CSL_CITATION {"citationID":"B1rst5wh","properties":{"unsorted":false,"formattedCitation":"[131]","plainCitation":"[131]","noteIndex":0},"citationItems":[{"id":2108,"uris":["http://zotero.org/users/9870935/items/QMWE3DSP"],"itemData":{"id":2108,"type":"paper-conference","container-title":"2015 IEEE Power &amp; Energy Society General Meeting","DOI":"10.1109/PESGM.2015.7285986","event-title":"2015 IEEE Power &amp; Energy Society General Meeting","ISBN":"978-1-4673-8040-9","page":"1-5","publisher":"IEEE","publisher-place":"Denver, CO, USA","source":"DOI.org (Crossref)","title":"Towards consistent model exchange and simulation of VSC-HVdc controls for EMT studies","URL":"http://ieeexplore.ieee.org/document/7285986/","author":[{"family":"Rogersten","given":"Robert"},{"family":"Vanfretti","given":"Luigi"},{"family":"Li","given":"Wei"}],"accessed":{"date-parts":[["2026",5,18]]},"issued":{"date-parts":[["2015",7]]}}}],"schema":"https://github.com/citation-style-language/schema/raw/master/csl-citation.json"} </w:instrText>
      </w:r>
      <w:r w:rsidR="00A9395C">
        <w:fldChar w:fldCharType="separate"/>
      </w:r>
      <w:r w:rsidR="00866BB5" w:rsidRPr="00866BB5">
        <w:t>[131]</w:t>
      </w:r>
      <w:r w:rsidR="00A9395C">
        <w:fldChar w:fldCharType="end"/>
      </w:r>
      <w:r w:rsidRPr="0014185D">
        <w:t>.</w:t>
      </w:r>
    </w:p>
    <w:p w14:paraId="73E5520C" w14:textId="02DFF203" w:rsidR="004B2C96" w:rsidRDefault="004B2C96" w:rsidP="004B2C96">
      <w:pPr>
        <w:pStyle w:val="Heading20"/>
        <w:rPr>
          <w:color w:val="auto"/>
        </w:rPr>
      </w:pPr>
      <w:r>
        <w:rPr>
          <w:color w:val="auto"/>
        </w:rPr>
        <w:t>6.5. Time-Series Simulation and Forecasting</w:t>
      </w:r>
    </w:p>
    <w:p w14:paraId="651BEFC8" w14:textId="11F9AC4A" w:rsidR="00AA52FF" w:rsidRPr="00AA52FF" w:rsidRDefault="00AA52FF" w:rsidP="00866BB5">
      <w:pPr>
        <w:spacing w:after="120"/>
        <w:ind w:firstLine="480"/>
      </w:pPr>
      <w:r w:rsidRPr="00AA52FF">
        <w:t>To assess renewable energy based data center systems under realistic operating conditions, time-series simulation at hourly or sub-hourly resolution is crucial. Hourly simulation accounts for the diurnal and seasonal variation in renewable generation and load demand, and it can be used to provide the energy balance calculations required to determine the storage capacity required, energy demand and supply from the grid, and energy balance metrics for system reliability</w:t>
      </w:r>
      <w:r w:rsidR="00491686">
        <w:fldChar w:fldCharType="begin"/>
      </w:r>
      <w:r w:rsidR="00866BB5">
        <w:instrText xml:space="preserve"> ADDIN ZOTERO_ITEM CSL_CITATION {"citationID":"bPQv1yvI","properties":{"unsorted":false,"formattedCitation":"[132]","plainCitation":"[132]","noteIndex":0},"citationItems":[{"id":2109,"uris":["http://zotero.org/users/9870935/items/EHIDCCEW"],"itemData":{"id":2109,"type":"paper-conference","container-title":"2023 IEEE 9th International Conference on Smart Instrumentation, Measurement and Applications (ICSIMA)","DOI":"10.1109/ICSIMA59853.2023.10373520","event-title":"2023 IEEE 9th International Conference on Smart Instrumentation, Measurement and Applications (ICSIMA)","ISBN":"979-8-3503-4338-0","license":"https://doi.org/10.15223/policy-029","page":"263-268","publisher":"IEEE","publisher-place":"Kuala Lumpur, Malaysia","source":"DOI.org (Crossref)","title":"Using Model Predictive Control in Renewable Energy Sources","URL":"https://ieeexplore.ieee.org/document/10373520/","author":[{"family":"Rosli","given":"Anis Najwa"},{"family":"Yusoff","given":"Siti Hajar"},{"family":"Mansor","given":"Hasmah"},{"family":"Sapihie","given":"Siti Nadiah Mohd"},{"family":"Fahmi","given":"Muhammad Aqil Muqri Muhamad"}],"accessed":{"date-parts":[["2026",5,21]]},"issued":{"date-parts":[["2023",10,17]]}}}],"schema":"https://github.com/citation-style-language/schema/raw/master/csl-citation.json"} </w:instrText>
      </w:r>
      <w:r w:rsidR="00491686">
        <w:fldChar w:fldCharType="separate"/>
      </w:r>
      <w:r w:rsidR="00866BB5" w:rsidRPr="00866BB5">
        <w:t>[132]</w:t>
      </w:r>
      <w:r w:rsidR="00491686">
        <w:fldChar w:fldCharType="end"/>
      </w:r>
      <w:r w:rsidRPr="00AA52FF">
        <w:t>. At 5 to 15 minute resolution, sub-hourly simulation can capture the rapid transients from cloud transients, wind gusts and load steps, which impact on power quality and frequency regulation.</w:t>
      </w:r>
    </w:p>
    <w:p w14:paraId="5D32EF46" w14:textId="669CA1C2" w:rsidR="00AA52FF" w:rsidRPr="00AA52FF" w:rsidRDefault="00AA52FF" w:rsidP="00866BB5">
      <w:pPr>
        <w:spacing w:after="120"/>
        <w:ind w:firstLine="480"/>
      </w:pPr>
      <w:r w:rsidRPr="00AA52FF">
        <w:t>Stochastic simulation methods, especially Monte Carlo methods, can be used to quantify uncertainty in the performance of a system, resulting from errors in forecasts, equipment failures and climate variability. Monte Carlo analysis runs thousands of simulation runs, with the input parameters randomly sampled across the range, which generates a probability distribution of key output metrics like annual energy cost, LOLE and renewable utilization fraction</w:t>
      </w:r>
      <w:r w:rsidR="00137E95">
        <w:fldChar w:fldCharType="begin"/>
      </w:r>
      <w:r w:rsidR="00866BB5">
        <w:instrText xml:space="preserve"> ADDIN ZOTERO_ITEM CSL_CITATION {"citationID":"axvHbxNa","properties":{"unsorted":false,"formattedCitation":"[133]","plainCitation":"[133]","noteIndex":0},"citationItems":[{"id":2110,"uris":["http://zotero.org/users/9870935/items/WXV5HE5P"],"itemData":{"id":2110,"type":"book","abstract":"This addition to the ISOR series addresses the analytics of the operations of electric energy systems with increasing penetration of stochastic renewable production facilities, such as wind- and solar-based generation units. As stochastic renewable production units become ubiquitous throughout electric energy systems, an increasing level of flexible backup provided by non-stochastic units and other system agents is needed if supply security and quality are to be maintained. Within the context above, this book provides up-to-date analytical tools to address challenging operational problems such as: - The modeling and forecasting of stochastic renewable power production. - The characterization of the impact of renewable production on market outcomes. - The clearing of electricity markets with high penetration of stochastic renewable units. - The development of mechanisms to counteract the variability and unpredictability of stochastic renewable units so that supply security is not at risk. - The trading of the electric energy produced by stochastic renewable producers. - The association of a number of electricity production facilities, stochastic and others, to increase their competitive edge in the electricity market. - The development of procedures to enable demand response and to facilitate the integration of stochastic renewable units. This book is written in a modular and tutorial manner and includes many illustrative examples to facilitate its comprehension. It is intended for advanced undergraduate and graduate students in the fields of electric energy systems, applied mathematics and economics. Practitioners in the electric energy sector will benefit as well from the concepts and techniques explained in this book","call-number":"658.40301","collection-number":"205","collection-title":"International Series in Operations Research &amp; Management Science","DOI":"10.1007/978-1-4614-9411-9","edition":"1st ed. 2014","ISBN":"978-1-4614-9411-9","number-of-pages":"1","publisher":"Springer US : Imprint: Springer","publisher-place":"New York, NY","source":"Library of Congress ISBN","title":"Integrating Renewables in Electricity Markets: Operational Problems","title-short":"Integrating Renewables in Electricity Markets","author":[{"family":"Morales","given":"Juan M."},{"family":"Conejo","given":"Antonio J."},{"family":"Madsen","given":"Henrik"},{"family":"Pinson","given":"Pierre"},{"family":"Zugno","given":"Marco"}],"issued":{"date-parts":[["2014"]]}}}],"schema":"https://github.com/citation-style-language/schema/raw/master/csl-citation.json"} </w:instrText>
      </w:r>
      <w:r w:rsidR="00137E95">
        <w:fldChar w:fldCharType="separate"/>
      </w:r>
      <w:r w:rsidR="00866BB5" w:rsidRPr="00866BB5">
        <w:t>[133]</w:t>
      </w:r>
      <w:r w:rsidR="00137E95">
        <w:fldChar w:fldCharType="end"/>
      </w:r>
      <w:r w:rsidRPr="00AA52FF">
        <w:t>. Forecast integration is essential for model-predictive control strategies and for day-ahead dispatch planning a prediction horizon of 6 to 48 hours for solar and wind is needed. The accuracy of these forecasts directly impacts the performance of optimization-based dispatch, with day-ahead solar forecast errors of 10</w:t>
      </w:r>
      <w:r w:rsidR="00394AF8">
        <w:t>-15%</w:t>
      </w:r>
      <w:r w:rsidRPr="00AA52FF">
        <w:t xml:space="preserve"> MAPE and intra-day errors of </w:t>
      </w:r>
      <w:r w:rsidR="00137E95">
        <w:t>5-10%</w:t>
      </w:r>
      <w:r w:rsidRPr="00AA52FF">
        <w:t xml:space="preserve"> MAPE being typical of state-of-the-art systems</w:t>
      </w:r>
      <w:r w:rsidR="008C1D8C">
        <w:fldChar w:fldCharType="begin"/>
      </w:r>
      <w:r w:rsidR="00866BB5">
        <w:instrText xml:space="preserve"> ADDIN ZOTERO_ITEM CSL_CITATION {"citationID":"ExCX3b0d","properties":{"unsorted":false,"formattedCitation":"[134]","plainCitation":"[134]","noteIndex":0},"citationItems":[{"id":2112,"uris":["http://zotero.org/users/9870935/items/YCQ57T5E"],"itemData":{"id":2112,"type":"article-journal","container-title":"Progress in Energy and Combustion Science","DOI":"10.1016/j.pecs.2013.06.002","ISSN":"03601285","issue":"6","journalAbbreviation":"Progress in Energy and Combustion Science","language":"en","page":"535-576","source":"DOI.org (Crossref)","title":"Solar forecasting methods for renewable energy integration","volume":"39","author":[{"family":"Inman","given":"Rich H."},{"family":"Pedro","given":"Hugo T.C."},{"family":"Coimbra","given":"Carlos F.M."}],"issued":{"date-parts":[["2013",12]]}}}],"schema":"https://github.com/citation-style-language/schema/raw/master/csl-citation.json"} </w:instrText>
      </w:r>
      <w:r w:rsidR="008C1D8C">
        <w:fldChar w:fldCharType="separate"/>
      </w:r>
      <w:r w:rsidR="00866BB5" w:rsidRPr="00866BB5">
        <w:t>[134]</w:t>
      </w:r>
      <w:r w:rsidR="008C1D8C">
        <w:fldChar w:fldCharType="end"/>
      </w:r>
      <w:r w:rsidRPr="00AA52FF">
        <w:t>.</w:t>
      </w:r>
    </w:p>
    <w:p w14:paraId="6E5B340A" w14:textId="4F0C366E" w:rsidR="007F4093" w:rsidRDefault="007F4093" w:rsidP="007F4093">
      <w:pPr>
        <w:pStyle w:val="Heading20"/>
        <w:rPr>
          <w:color w:val="auto"/>
        </w:rPr>
      </w:pPr>
      <w:r>
        <w:rPr>
          <w:color w:val="auto"/>
        </w:rPr>
        <w:t xml:space="preserve">6.6. </w:t>
      </w:r>
      <w:r w:rsidR="003B7EEF">
        <w:rPr>
          <w:color w:val="auto"/>
        </w:rPr>
        <w:t>Machine Learning for Control and Forecasting</w:t>
      </w:r>
    </w:p>
    <w:p w14:paraId="4E85A7B0" w14:textId="15AECA81" w:rsidR="00D67F5B" w:rsidRPr="00D67F5B" w:rsidRDefault="00D67F5B" w:rsidP="00866BB5">
      <w:pPr>
        <w:spacing w:after="120"/>
        <w:ind w:firstLine="480"/>
      </w:pPr>
      <w:r w:rsidRPr="00D67F5B">
        <w:t>Machine learning techniques are increasingly being applied to both forecasting and control functions in renewable energy systems. Recent studies have shown that neural network architectures such as Long Short-Term Memory (LSTM) networks, Convolutional Neural Networks (CNN), and attention-based Transformer models can enhance the accuracy of solar and wind power forecasts by 15</w:t>
      </w:r>
      <w:r w:rsidR="00D600DA">
        <w:t>-</w:t>
      </w:r>
      <w:r w:rsidRPr="00D67F5B">
        <w:t>25</w:t>
      </w:r>
      <w:r w:rsidR="00D600DA">
        <w:t>%</w:t>
      </w:r>
      <w:r w:rsidRPr="00D67F5B">
        <w:t xml:space="preserve"> over traditional numerical weather prediction techniques</w:t>
      </w:r>
      <w:r w:rsidR="00D572C0">
        <w:fldChar w:fldCharType="begin"/>
      </w:r>
      <w:r w:rsidR="00866BB5">
        <w:instrText xml:space="preserve"> ADDIN ZOTERO_ITEM CSL_CITATION {"citationID":"aXxbu5p8","properties":{"unsorted":false,"formattedCitation":"[135]","plainCitation":"[135]","noteIndex":0},"citationItems":[{"id":2113,"uris":["http://zotero.org/users/9870935/items/SPP98TI7"],"itemData":{"id":2113,"type":"article-journal","container-title":"Artificial Intelligence Review","DOI":"10.1007/s10462-026-11545-2","ISSN":"1573-7462","journalAbbreviation":"Artif Intell Rev","language":"en","source":"DOI.org (Crossref)","title":"Generative AI and LLM applications in renewable energy and smart grids: a systematic review for the sustainable energy transition","title-short":"Generative AI and LLM applications in renewable energy and smart grids","URL":"https://link.springer.com/10.1007/s10462-026-11545-2","author":[{"family":"Cali","given":"Umit"},{"family":"Halden","given":"Ugur"},{"family":"Andoni","given":"Merlinda"},{"family":"Catak","given":"Ferhat Ozgur"},{"family":"Chen","given":"Si"},{"family":"Couraud","given":"Benoit"},{"family":"Kantar","given":"Emre"},{"family":"Knapper","given":"Samuel"},{"family":"Kucukdemiral","given":"Ibrahim"},{"family":"Kusetogullari","given":"Huseyin"},{"family":"Kuzlu","given":"Murat"},{"family":"Mousavi","given":"Yashar"},{"family":"Norbu","given":"Sonam"},{"family":"Ustun","given":"Taha Selim"},{"family":"Flynn","given":"David"}],"accessed":{"date-parts":[["2026",5,21]]},"issued":{"date-parts":[["2026",4,7]]}}}],"schema":"https://github.com/citation-style-language/schema/raw/master/csl-citation.json"} </w:instrText>
      </w:r>
      <w:r w:rsidR="00D572C0">
        <w:fldChar w:fldCharType="separate"/>
      </w:r>
      <w:r w:rsidR="00866BB5" w:rsidRPr="00866BB5">
        <w:t>[135]</w:t>
      </w:r>
      <w:r w:rsidR="00D572C0">
        <w:fldChar w:fldCharType="end"/>
      </w:r>
      <w:r w:rsidRPr="00D67F5B">
        <w:t>. Deep reinforcement learning (DRL) has been proposed as a viable method to optimize dispatching policies for controlling a microgrid, in which an agent learns from an interaction with a simulated environment to find the optimal dispatching policy</w:t>
      </w:r>
      <w:r w:rsidR="00373AC1">
        <w:fldChar w:fldCharType="begin"/>
      </w:r>
      <w:r w:rsidR="00866BB5">
        <w:instrText xml:space="preserve"> ADDIN ZOTERO_ITEM CSL_CITATION {"citationID":"PKZO0BUq","properties":{"unsorted":false,"formattedCitation":"[136]","plainCitation":"[136]","noteIndex":0},"citationItems":[{"id":2114,"uris":["http://zotero.org/users/9870935/items/QF2VR9S8"],"itemData":{"id":2114,"type":"article-journal","container-title":"Journal of Energy Storage","DOI":"10.1016/j.est.2024.115114","ISSN":"2352152X","journalAbbreviation":"Journal of Energy Storage","language":"en","page":"115114","source":"DOI.org (Crossref)","title":"Reinforcement learning-based energy management system for lithium-ion battery storage in multilevel microgrid","volume":"109","author":[{"family":"Hosseini","given":"Ehsan"},{"family":"Horrillo-Quintero","given":"Pablo"},{"family":"Carrasco-Gonzalez","given":"David"},{"family":"García-Triviño","given":"Pablo"},{"family":"Sarrias-Mena","given":"Raúl"},{"family":"García-Vázquez","given":"Carlos A."},{"family":"Fernández-Ramírez","given":"Luis M."}],"issued":{"date-parts":[["2025",2]]}}}],"schema":"https://github.com/citation-style-language/schema/raw/master/csl-citation.json"} </w:instrText>
      </w:r>
      <w:r w:rsidR="00373AC1">
        <w:fldChar w:fldCharType="separate"/>
      </w:r>
      <w:r w:rsidR="00866BB5" w:rsidRPr="00866BB5">
        <w:t>[136]</w:t>
      </w:r>
      <w:r w:rsidR="00373AC1">
        <w:fldChar w:fldCharType="end"/>
      </w:r>
      <w:r w:rsidRPr="00D67F5B">
        <w:t>.</w:t>
      </w:r>
    </w:p>
    <w:p w14:paraId="2EF9C4BB" w14:textId="2B61F70A" w:rsidR="003B7EEF" w:rsidRPr="00D67F5B" w:rsidRDefault="00D67F5B" w:rsidP="00866BB5">
      <w:pPr>
        <w:spacing w:after="120"/>
        <w:ind w:firstLine="480"/>
      </w:pPr>
      <w:r w:rsidRPr="00D67F5B">
        <w:t>Digital twin concepts, which involve virtual copies of physical systems that are continuously updated with sensor data, can facilitate predictive control strategies that can anticipate and proactively adjust to varying conditions. A digital twin of a data centre microgrid can simulate the effect of the renewable generation prediction on battery dispatch, define the most suitable load scheduling periods and predict equipment degradation</w:t>
      </w:r>
      <w:r w:rsidR="000A5126">
        <w:fldChar w:fldCharType="begin"/>
      </w:r>
      <w:r w:rsidR="00866BB5">
        <w:instrText xml:space="preserve"> ADDIN ZOTERO_ITEM CSL_CITATION {"citationID":"atzHcWL3","properties":{"unsorted":false,"formattedCitation":"[137]","plainCitation":"[137]","noteIndex":0},"citationItems":[{"id":2115,"uris":["http://zotero.org/users/9870935/items/6L86NR5W"],"itemData":{"id":2115,"type":"article-journal","container-title":"Energy Reports","DOI":"10.1016/j.egyr.2026.109218","ISSN":"23524847","journalAbbreviation":"Energy Reports","language":"en","page":"109218","source":"DOI.org (Crossref)","title":"Digital twin applications and case studies in modern power grid management","volume":"15","author":[{"family":"Subramanian","given":"N."},{"family":"Stonier","given":"Albert Alexander"}],"issued":{"date-parts":[["2026",6]]}}}],"schema":"https://github.com/citation-style-language/schema/raw/master/csl-citation.json"} </w:instrText>
      </w:r>
      <w:r w:rsidR="000A5126">
        <w:fldChar w:fldCharType="separate"/>
      </w:r>
      <w:r w:rsidR="00866BB5" w:rsidRPr="00866BB5">
        <w:t>[137]</w:t>
      </w:r>
      <w:r w:rsidR="000A5126">
        <w:fldChar w:fldCharType="end"/>
      </w:r>
      <w:r w:rsidRPr="00D67F5B">
        <w:t>. There are still difficulties with ensuring the generalizability of machine learning models beyond the boundaries of the training data, especially for edge cases and extreme weather conditions that may have been underrepresented in the historical datasets</w:t>
      </w:r>
      <w:r w:rsidR="005705A5">
        <w:fldChar w:fldCharType="begin"/>
      </w:r>
      <w:r w:rsidR="00866BB5">
        <w:instrText xml:space="preserve"> ADDIN ZOTERO_ITEM CSL_CITATION {"citationID":"jbAPFFwd","properties":{"unsorted":false,"formattedCitation":"[138]","plainCitation":"[138]","noteIndex":0},"citationItems":[{"id":2116,"uris":["http://zotero.org/users/9870935/items/IUG6CTL8"],"itemData":{"id":2116,"type":"paper-conference","container-title":"2024 Boao New Power System International Forum - Power System and New Energy Technology Innovation Forum (NPSIF)","DOI":"10.1109/NPSIF64134.2024.10883453","event-title":"2024 Boao New Power System International Forum - Power System and New Energy Technology Innovation Forum (NPSIF)","ISBN":"979-8-3315-0455-7","license":"https://doi.org/10.15223/policy-029","page":"568-576","publisher":"IEEE","publisher-place":"Qionghai, China","source":"DOI.org (Crossref)","title":"The Application of Machine Learning in Power Grid","URL":"https://ieeexplore.ieee.org/document/10883453/","author":[{"family":"Chen","given":"Haonan"},{"family":"Feng","given":"Xing"},{"family":"Chen","given":"Quanjun"},{"family":"Han","given":"Renshuang"}],"accessed":{"date-parts":[["2026",5,21]]},"issued":{"date-parts":[["2024",12,8]]}}}],"schema":"https://github.com/citation-style-language/schema/raw/master/csl-citation.json"} </w:instrText>
      </w:r>
      <w:r w:rsidR="005705A5">
        <w:fldChar w:fldCharType="separate"/>
      </w:r>
      <w:r w:rsidR="00866BB5" w:rsidRPr="00866BB5">
        <w:t>[138]</w:t>
      </w:r>
      <w:r w:rsidR="005705A5">
        <w:fldChar w:fldCharType="end"/>
      </w:r>
      <w:r w:rsidRPr="00D67F5B">
        <w:t>.</w:t>
      </w:r>
    </w:p>
    <w:p w14:paraId="28FA0E24" w14:textId="44244C7B" w:rsidR="00314B47" w:rsidRDefault="00314B47" w:rsidP="00314B47">
      <w:pPr>
        <w:pStyle w:val="Heading10"/>
        <w:rPr>
          <w:color w:val="auto"/>
        </w:rPr>
      </w:pPr>
      <w:r>
        <w:rPr>
          <w:color w:val="auto"/>
          <w:lang w:eastAsia="zh-CN"/>
        </w:rPr>
        <w:lastRenderedPageBreak/>
        <w:t xml:space="preserve">7. </w:t>
      </w:r>
      <w:r>
        <w:rPr>
          <w:color w:val="auto"/>
        </w:rPr>
        <w:t>Framework for Renewable-Powered AI Data Centers</w:t>
      </w:r>
    </w:p>
    <w:p w14:paraId="6CED25A5" w14:textId="77777777" w:rsidR="00AE74B4" w:rsidRDefault="00AE74B4" w:rsidP="00AE74B4">
      <w:pPr>
        <w:spacing w:after="120"/>
        <w:ind w:firstLine="480"/>
      </w:pPr>
      <w:r>
        <w:t>This chapter presents the core contribution of this paper: a comprehensive, seven-component framework for designing, deploying, and operating AI data centers powered predominantly by renewable energy. The framework integrates site assessment, technology selection, electrical integration, control strategy, workload flexibility, economic viability, and sustainability compliance into a unified decision-making methodology.</w:t>
      </w:r>
    </w:p>
    <w:p w14:paraId="609D569F" w14:textId="3628FFD8" w:rsidR="00AE74B4" w:rsidRDefault="00AE74B4" w:rsidP="00AE74B4">
      <w:pPr>
        <w:pStyle w:val="Heading20"/>
        <w:rPr>
          <w:color w:val="auto"/>
        </w:rPr>
      </w:pPr>
      <w:r>
        <w:rPr>
          <w:color w:val="auto"/>
        </w:rPr>
        <w:t>7.1. Machine Learning for Control and Forecasting</w:t>
      </w:r>
    </w:p>
    <w:p w14:paraId="1A611A8E" w14:textId="77777777" w:rsidR="00B4497F" w:rsidRPr="00B4497F" w:rsidRDefault="00B4497F" w:rsidP="00B4497F">
      <w:pPr>
        <w:spacing w:after="120"/>
        <w:ind w:firstLine="480"/>
      </w:pPr>
      <w:r w:rsidRPr="00B4497F">
        <w:t>The framework consists of seven interrelated elements that cover key aspects of renewable-based data center design and operation. These components are not separate, but rather are interdependent, with decisions made in one component affecting and limiting choices in another component. The framework has been designed to be modular and scalable, and can be adapted to fit facilities from the small edge computing node (1-10 MW) to the hyperscale cloud data center (100+ MW) located in different geographic and climatic conditions.</w:t>
      </w:r>
    </w:p>
    <w:p w14:paraId="1A44705C" w14:textId="77777777" w:rsidR="00B4497F" w:rsidRPr="00B4497F" w:rsidRDefault="00B4497F" w:rsidP="00B4497F">
      <w:pPr>
        <w:spacing w:after="120"/>
        <w:ind w:firstLine="480"/>
      </w:pPr>
      <w:r w:rsidRPr="00B4497F">
        <w:t>[Figure: fig7_1.png - not found]</w:t>
      </w:r>
    </w:p>
    <w:p w14:paraId="4E974ACB" w14:textId="77777777" w:rsidR="00B4497F" w:rsidRPr="00B4497F" w:rsidRDefault="00B4497F" w:rsidP="00B4497F">
      <w:pPr>
        <w:spacing w:after="120"/>
        <w:ind w:firstLine="480"/>
      </w:pPr>
      <w:r w:rsidRPr="00B4497F">
        <w:t>Fig. 5. Introduced a seven-component framework architecture for AI data centres using renewables.</w:t>
      </w:r>
    </w:p>
    <w:p w14:paraId="1D1D31A1" w14:textId="2C729037" w:rsidR="00B4497F" w:rsidRPr="00B4497F" w:rsidRDefault="00B4497F" w:rsidP="00B4497F">
      <w:pPr>
        <w:spacing w:after="120"/>
        <w:ind w:firstLine="480"/>
      </w:pPr>
      <w:r w:rsidRPr="00B4497F">
        <w:t>Site Assessment (Component 1) covers renewable resource availability, grid interconnection feasibility, water and land availability, and climate resilience. Component 2 is called Technology Selection and covers optimizing the renewable capacity, storage time and backup power type according to site-specific conditions. Component 3, Electrical Integration, specifies the voltage ranges, topology, redundancy and power quality mitigation. Control Strategy relates to dispatch algorithms, forecasting integration and demand response mechanisms (component 4). Workload Flexibility (</w:t>
      </w:r>
      <w:r w:rsidR="0057330A">
        <w:t>c</w:t>
      </w:r>
      <w:r w:rsidRPr="00B4497F">
        <w:t>omponent 5) measures the extent to which load can be shifted, deferred, or prioritized. The financial performance is modeled in Component 6, Economic Viability, using LCOE, NPV, and IRR analysis. Component 7: Resilience and Sustainability focuses on reliability measures, carbon footprinting, and regulatory adherence.</w:t>
      </w:r>
    </w:p>
    <w:p w14:paraId="1B28A18D" w14:textId="4C2C646B" w:rsidR="00314B47" w:rsidRDefault="00B4497F" w:rsidP="00B4497F">
      <w:pPr>
        <w:spacing w:after="120"/>
        <w:ind w:firstLine="480"/>
      </w:pPr>
      <w:r w:rsidRPr="00B4497F">
        <w:t xml:space="preserve">The three main quantitative goals of the framework are: (1) cost of delivered energy (dollar per Megawatt-hour, $/MWh), (2) system reliability (percent uptime, &gt;99.99 percent), and (3) carbon emissions (gCO2 per kWh). The objectives are also frequently conflicting and must be balanced by means of multi-objective optimization techniques. The </w:t>
      </w:r>
      <w:r w:rsidR="0029629A" w:rsidRPr="00B4497F">
        <w:t>main</w:t>
      </w:r>
      <w:r w:rsidRPr="00B4497F">
        <w:t xml:space="preserve"> variables are the capacity factor of renewables, the duration of storage (in hours), the type of back-up power, interconnection capacity of the grid, and flexibility parameters of the demand.</w:t>
      </w:r>
    </w:p>
    <w:p w14:paraId="27AEA181" w14:textId="4C647F52" w:rsidR="0029629A" w:rsidRDefault="0029629A" w:rsidP="0029629A">
      <w:pPr>
        <w:pStyle w:val="Heading20"/>
        <w:rPr>
          <w:color w:val="auto"/>
        </w:rPr>
      </w:pPr>
      <w:r>
        <w:rPr>
          <w:color w:val="auto"/>
        </w:rPr>
        <w:t>7.2. Site Selection and Resourc Assessment</w:t>
      </w:r>
    </w:p>
    <w:p w14:paraId="51C5B550" w14:textId="77777777" w:rsidR="00D17DBD" w:rsidRPr="00D17DBD" w:rsidRDefault="00D17DBD" w:rsidP="00D17DBD">
      <w:pPr>
        <w:spacing w:after="120"/>
        <w:ind w:firstLine="480"/>
      </w:pPr>
      <w:r w:rsidRPr="00D17DBD">
        <w:t xml:space="preserve">Site selection utilizes a multi-criteria decision analysis (MCDA) approach that assigns weights to a series of criteria related to resource quality, infrastructure access, environmental factors, and economic considerations, then scores candidate locations based upon the weights </w:t>
      </w:r>
      <w:r w:rsidRPr="00D17DBD">
        <w:lastRenderedPageBreak/>
        <w:t>of the criteria. The quality of the solar resource is evaluated by the annual capacity factor target exceeding 20 percent, based on satellite data corrected for local terrain shading and typical meteorological conditions. For onshore installations, the wind resource targets a capacity factor above 25 per cent, derived from measurements taken on meteorological towers or from LiDAR, for at least one year [94].</w:t>
      </w:r>
    </w:p>
    <w:p w14:paraId="1A8E1266" w14:textId="225B849A" w:rsidR="0029629A" w:rsidRPr="00D17DBD" w:rsidRDefault="00D17DBD" w:rsidP="00866BB5">
      <w:pPr>
        <w:spacing w:after="120"/>
        <w:ind w:firstLine="480"/>
      </w:pPr>
      <w:r w:rsidRPr="00D17DBD">
        <w:t>Interconnection feasibility is also an important criterion for site selection; this will influence project viability due to the cost and time of interconnection. Interconnection costs are typically $500,000 to $2 million for sites within 5 km of existing transmission infrastructure with available capacity and $5 to $10 million when new transmission line construction is necessary [23]. Climate resilience assessment quantifies the likelihood of extreme events such as hurricanes, flooding, wildfires, and ice storms occurring that may harm renewable generation equipment, affect grid supply, or affect the performance of cooling systems</w:t>
      </w:r>
      <w:r w:rsidR="006E21DA">
        <w:fldChar w:fldCharType="begin"/>
      </w:r>
      <w:r w:rsidR="00866BB5">
        <w:instrText xml:space="preserve"> ADDIN ZOTERO_ITEM CSL_CITATION {"citationID":"trVOJ2Tp","properties":{"unsorted":false,"formattedCitation":"[139]","plainCitation":"[139]","noteIndex":0},"citationItems":[{"id":2117,"uris":["http://zotero.org/users/9870935/items/DV9F9NJF"],"itemData":{"id":2117,"type":"article-journal","container-title":"Energy","DOI":"10.1016/j.energy.2011.11.056","ISSN":"03605442","issue":"1","journalAbbreviation":"Energy","language":"en","license":"https://www.elsevier.com/tdm/userlicense/1.0/","page":"1-12","source":"DOI.org (Crossref)","title":"Energy sector vulnerability to climate change: A review","title-short":"Energy sector vulnerability to climate change","volume":"38","author":[{"family":"Schaeffer","given":"Roberto"},{"family":"Szklo","given":"Alexandre Salem"},{"family":"Pereira De Lucena","given":"André Frossard"},{"family":"Moreira Cesar Borba","given":"Bruno Soares"},{"family":"Pupo Nogueira","given":"Larissa Pinheiro"},{"family":"Fleming","given":"Fernanda Pereira"},{"family":"Troccoli","given":"Alberto"},{"family":"Harrison","given":"Mike"},{"family":"Boulahya","given":"Mohammed Sadeck"}],"issued":{"date-parts":[["2012",2]]}}}],"schema":"https://github.com/citation-style-language/schema/raw/master/csl-citation.json"} </w:instrText>
      </w:r>
      <w:r w:rsidR="006E21DA">
        <w:fldChar w:fldCharType="separate"/>
      </w:r>
      <w:r w:rsidR="00866BB5" w:rsidRPr="00866BB5">
        <w:t>[139]</w:t>
      </w:r>
      <w:r w:rsidR="006E21DA">
        <w:fldChar w:fldCharType="end"/>
      </w:r>
      <w:r w:rsidRPr="00D17DBD">
        <w:t>. In areas of the world that have a high climate risk, extra engineering interventions such as the installation of raised equipment platforms, strengthened structural ratings or redundancy upgrades may be needed, adding to capital expenses.</w:t>
      </w:r>
    </w:p>
    <w:p w14:paraId="6A1897AB" w14:textId="26AFFCF8" w:rsidR="001B3304" w:rsidRDefault="001B3304" w:rsidP="001B3304">
      <w:pPr>
        <w:pStyle w:val="Heading20"/>
        <w:rPr>
          <w:color w:val="auto"/>
        </w:rPr>
      </w:pPr>
      <w:r>
        <w:rPr>
          <w:color w:val="auto"/>
        </w:rPr>
        <w:t>7.3. Technology Mix Optimization</w:t>
      </w:r>
    </w:p>
    <w:p w14:paraId="6E6D1F16" w14:textId="57DF231D" w:rsidR="00EF0A8C" w:rsidRDefault="000E3C80" w:rsidP="00EF0A8C">
      <w:pPr>
        <w:spacing w:after="120"/>
        <w:ind w:firstLine="480"/>
      </w:pPr>
      <w:r w:rsidRPr="000E3C80">
        <w:t>The technology mix optimization is a problem that balances the mix of renewable generation, storage duration, and backup power type to minimize the total cost of the system over the expected project lifetime of 20–25 years, while also meeting reliability and emissions targets</w:t>
      </w:r>
      <w:r w:rsidR="00EF0A8C">
        <w:fldChar w:fldCharType="begin"/>
      </w:r>
      <w:r w:rsidR="00EF0A8C">
        <w:instrText xml:space="preserve"> ADDIN ZOTERO_ITEM CSL_CITATION {"citationID":"yYMe4jcT","properties":{"unsorted":false,"formattedCitation":"[51]","plainCitation":"[51]","noteIndex":0},"citationItems":[{"id":1989,"uris":["http://zotero.org/users/9870935/items/3AV4CVJ6"],"itemData":{"id":1989,"type":"article-journal","container-title":"Journal of Energy Storage","DOI":"10.1016/j.est.2025.119502","ISSN":"2352152X","journalAbbreviation":"Journal of Energy Storage","language":"en","page":"119502","source":"DOI.org (Crossref)","title":"Optimal sizing of battery storage for cost-effective peak shaving in regional distribution networks","volume":"141","author":[{"family":"Rana","given":"Md Masud"},{"family":"Mo","given":"Huadong"},{"family":"Shafiullah","given":"G.M."},{"family":"Qiao","given":"Li"},{"family":"Dong","given":"Daoyi"}],"issued":{"date-parts":[["2026",1]]}}}],"schema":"https://github.com/citation-style-language/schema/raw/master/csl-citation.json"} </w:instrText>
      </w:r>
      <w:r w:rsidR="00EF0A8C">
        <w:fldChar w:fldCharType="separate"/>
      </w:r>
      <w:r w:rsidR="00EF0A8C" w:rsidRPr="00EF0A8C">
        <w:t>[51]</w:t>
      </w:r>
      <w:r w:rsidR="00EF0A8C">
        <w:fldChar w:fldCharType="end"/>
      </w:r>
      <w:r w:rsidRPr="000E3C80">
        <w:t xml:space="preserve">. The three primary choices used as critical decision variables for this optimization are the renewable capacity expressed as a percentage of the mean load (100% or 110% or 150% of mean load or higher), storage duration scaled across 4, 8, 12, or 24 hours, and backup power technology: diesel generator, hydrogen fuel cell, grid connection, or hybrid configuration. </w:t>
      </w:r>
    </w:p>
    <w:p w14:paraId="34947438" w14:textId="6AECF915" w:rsidR="001B3304" w:rsidRPr="000E3C80" w:rsidRDefault="000E3C80" w:rsidP="00866BB5">
      <w:pPr>
        <w:spacing w:after="120"/>
        <w:ind w:firstLine="480"/>
      </w:pPr>
      <w:r w:rsidRPr="000E3C80">
        <w:t>Visually depicted in Fig. 6. Cost-emissions Pareto frontier for technology mix optimization, this modelling quantifies trade-offs needed to reconcile the economics of the system with the performance of the set of environmental targets.</w:t>
      </w:r>
      <w:r w:rsidR="00BC5EE1">
        <w:t xml:space="preserve"> </w:t>
      </w:r>
      <w:r w:rsidRPr="000E3C80">
        <w:t>Parametric sensitivity analysis shows that this optimal technology mix is most sensitive to three main parameters: (1) renewable capacity factor, with an error of</w:t>
      </w:r>
      <w:r w:rsidR="00621DDC">
        <w:t xml:space="preserve"> 5%</w:t>
      </w:r>
      <w:r w:rsidRPr="000E3C80">
        <w:t xml:space="preserve"> leading to an approximate </w:t>
      </w:r>
      <w:r w:rsidR="00621DDC">
        <w:t xml:space="preserve">15% </w:t>
      </w:r>
      <w:r w:rsidRPr="000E3C80">
        <w:t xml:space="preserve"> change in the LCOE; (2) battery storage cost, where a $20 per MWh change in the battery storage cost results in an approximate 10% change in LCOE; and (3) grid electricity price, where a 20$ per MWh increase in the grid electricity price has a significant impact on the solution and leads to a higher renewable penetration. Combining these factors, the analysis shows that hybrid systems are by far the most cost-effective in most cases. Systems with 100% to 150% renewable generation and 4 to 8 hours of battery storage and dedicated grid backup reliably achieve a highly competitive LCOE of 35$ to 80$ per MWh reliably satisfying a 99.9% system reliability target</w:t>
      </w:r>
      <w:r w:rsidR="007F7CDC">
        <w:fldChar w:fldCharType="begin"/>
      </w:r>
      <w:r w:rsidR="00866BB5">
        <w:instrText xml:space="preserve"> ADDIN ZOTERO_ITEM CSL_CITATION {"citationID":"149zuRfz","properties":{"unsorted":false,"formattedCitation":"[140]","plainCitation":"[140]","noteIndex":0},"citationItems":[{"id":2118,"uris":["http://zotero.org/users/9870935/items/J7J6PP3T"],"itemData":{"id":2118,"type":"article-journal","abstract":"In southern Algeria, diesel generators (DGs) and small-scale off-grid systems are the primary power sources for powering remote regions. These systems are unreliable, uneconomical, and environmentally unsustainable for achieving the goals of Algeria's renewable energy transition. For this context, this paper aims to explore the techno-economic feasibility of three hybrid energy systems using advanced storage systems to electrify households and agricultural lands in the Indalek area. These systems are a photovoltaic (PV)/diesel (DG)/battery energy storage system (BESS), a hydrogen-based PV/DG/fuel cell (FC)/BESS, and a hydrogen-based PV/DG/FC/pump hydro-storage (PHS) system. First, Hybrid Optimization of Multiple Electric Renewable (HOMER) software is used to conduct the techno-economic and environmental analysis to select the appropriate system. Second, the Particle Swarm Optimization (PSO) method is applied to optimize the environmental performance of the optimal configuration based on the derating factor (Fd) and the reliability level [reliability 1-loss of power supply probability (LPSP)]. The optimization is formulated as a single-objective problem, aiming to maximize renewable fraction (RF), which indirectly leads to reduced CO2 emissions. The simulation results indicate that the hydrogen-based PV/DG/FC/PHS system is the optimal system, consisting of 41.2 kW PV arrays, 100 kW DG, 250 kW FC, 50 kW electrolyzer, 19.2 kW converter, 10 kg of the hydrogen tank, and 3000 m3 reservoir. This system achieves the most techno-economic and environmental performance, with the net present cost of $284 143.20, cost of energy of 0.364 $/kW h, operating cost of $1216, reliability level of 97.28% (LPSP = 0.0272), unmet load of 0%, autonomy energy of 98.65%, RF of 91.8%, and CO2 emissions of 67 440 kg/yr. The environmental performance optimization outcomes of the hydrogen-based PV/DG/FC/PHS configuration demonstrate that at the reliability level of 100% (LPSP = 0) and the Fd of 80%, the RF increases to 99.999%, while the CO2 decreases to 62 289 kg/yr compared to the scenario with the Fd of 60%.","container-title":"Journal of Renewable and Sustainable Energy","DOI":"10.1063/5.0297401","ISSN":"1941-7012","issue":"5","language":"en","page":"056309","source":"DOI.org (Crossref)","title":"Techno-economic and environmental optimization of standalone hybrid energy systems using advanced energy storage for remote electrification in Southern Algeria","volume":"17","author":[{"family":"Bekhti","given":"Mohammed Abderahim"},{"family":"Ghomri","given":"Leila"},{"family":"Beklaouz","given":"Hadj Larbi"},{"family":"Bouddou","given":"Riyadh"}],"issued":{"date-parts":[["2025",9,1]]}}}],"schema":"https://github.com/citation-style-language/schema/raw/master/csl-citation.json"} </w:instrText>
      </w:r>
      <w:r w:rsidR="007F7CDC">
        <w:fldChar w:fldCharType="separate"/>
      </w:r>
      <w:r w:rsidR="00866BB5" w:rsidRPr="00866BB5">
        <w:t>[140]</w:t>
      </w:r>
      <w:r w:rsidR="007F7CDC">
        <w:fldChar w:fldCharType="end"/>
      </w:r>
      <w:r w:rsidRPr="000E3C80">
        <w:t>.</w:t>
      </w:r>
    </w:p>
    <w:p w14:paraId="0FF0E5DA" w14:textId="42CFBCA3" w:rsidR="0029629A" w:rsidRPr="00B4497F" w:rsidRDefault="007D006A" w:rsidP="00B4497F">
      <w:pPr>
        <w:spacing w:after="120"/>
        <w:ind w:firstLine="480"/>
      </w:pPr>
      <w:r w:rsidRPr="007D006A">
        <w:rPr>
          <w:noProof/>
        </w:rPr>
        <w:lastRenderedPageBreak/>
        <w:drawing>
          <wp:inline distT="0" distB="0" distL="0" distR="0" wp14:anchorId="36848352" wp14:editId="6E55B5B3">
            <wp:extent cx="5615940" cy="3340597"/>
            <wp:effectExtent l="0" t="0" r="3810" b="0"/>
            <wp:docPr id="727780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780516" name=""/>
                    <pic:cNvPicPr/>
                  </pic:nvPicPr>
                  <pic:blipFill rotWithShape="1">
                    <a:blip r:embed="rId15"/>
                    <a:srcRect t="7282"/>
                    <a:stretch>
                      <a:fillRect/>
                    </a:stretch>
                  </pic:blipFill>
                  <pic:spPr bwMode="auto">
                    <a:xfrm>
                      <a:off x="0" y="0"/>
                      <a:ext cx="5615940" cy="3340597"/>
                    </a:xfrm>
                    <a:prstGeom prst="rect">
                      <a:avLst/>
                    </a:prstGeom>
                    <a:ln>
                      <a:noFill/>
                    </a:ln>
                    <a:extLst>
                      <a:ext uri="{53640926-AAD7-44D8-BBD7-CCE9431645EC}">
                        <a14:shadowObscured xmlns:a14="http://schemas.microsoft.com/office/drawing/2010/main"/>
                      </a:ext>
                    </a:extLst>
                  </pic:spPr>
                </pic:pic>
              </a:graphicData>
            </a:graphic>
          </wp:inline>
        </w:drawing>
      </w:r>
    </w:p>
    <w:p w14:paraId="79BC4620" w14:textId="5F28A888" w:rsidR="005B3B34" w:rsidRDefault="005B3B34" w:rsidP="005B3B34">
      <w:pPr>
        <w:pStyle w:val="Heading20"/>
        <w:rPr>
          <w:color w:val="auto"/>
        </w:rPr>
      </w:pPr>
      <w:r>
        <w:rPr>
          <w:color w:val="auto"/>
        </w:rPr>
        <w:t>7.4. Electrical Architecture and Integration</w:t>
      </w:r>
    </w:p>
    <w:p w14:paraId="5CC0C275" w14:textId="18AF52BB" w:rsidR="00925F1B" w:rsidRPr="00925F1B" w:rsidRDefault="00925F1B" w:rsidP="00866BB5">
      <w:pPr>
        <w:spacing w:after="120"/>
        <w:ind w:firstLine="480"/>
      </w:pPr>
      <w:r w:rsidRPr="00925F1B">
        <w:t>The Electrical Architecture specifies the voltage levels, distribution topology and integration points of all the generation, storage and load elements. The selection of primary interconnection voltage is a compromise between equipment cost and power transfer capacity, with higher voltage levels (25 kV vs. 13.8 kV) also decreasing conductor size and losses, but increasing equipment cost and the required rating of switchgear and protection devices</w:t>
      </w:r>
      <w:r w:rsidR="006D0E83">
        <w:fldChar w:fldCharType="begin"/>
      </w:r>
      <w:r w:rsidR="00866BB5">
        <w:instrText xml:space="preserve"> ADDIN ZOTERO_ITEM CSL_CITATION {"citationID":"fRAGWE9K","properties":{"unsorted":false,"formattedCitation":"[65]","plainCitation":"[65]","noteIndex":0},"citationItems":[{"id":2011,"uris":["http://zotero.org/users/9870935/items/3TIRQDVC"],"itemData":{"id":2011,"type":"standard","DOI":"10.1109/IEEESTD.1998.89291","ISBN":"978-0-7381-1148-3","publisher":"IEEE","source":"DOI.org (Crossref)","title":"IEEE Recommended Practice for the Design of Reliable Industrial and Commercial Power Systems (Gold Book)","URL":"http://ieeexplore.ieee.org/document/757619/","accessed":{"date-parts":[["2026",5,16]]}}}],"schema":"https://github.com/citation-style-language/schema/raw/master/csl-citation.json"} </w:instrText>
      </w:r>
      <w:r w:rsidR="006D0E83">
        <w:fldChar w:fldCharType="separate"/>
      </w:r>
      <w:r w:rsidR="00866BB5" w:rsidRPr="00866BB5">
        <w:t>[65]</w:t>
      </w:r>
      <w:r w:rsidR="006D0E83">
        <w:fldChar w:fldCharType="end"/>
      </w:r>
      <w:r w:rsidRPr="00925F1B">
        <w:t>. A primary interconnection of 25 kV is generally the most economical option for a 100 MW data center, and step-down to 13.8 kV is more economical for facility distribution, while further step-down to 480 V is more economical for equipment power distribution.</w:t>
      </w:r>
    </w:p>
    <w:p w14:paraId="7C4286FD" w14:textId="0EA5974C" w:rsidR="005B3B34" w:rsidRDefault="00925F1B" w:rsidP="00866BB5">
      <w:pPr>
        <w:spacing w:after="120"/>
        <w:ind w:firstLine="480"/>
      </w:pPr>
      <w:r w:rsidRPr="00925F1B">
        <w:t>A discussion about the debate between DC and AC distribution for data centers is worth considering. While AC-DC-AC conversion in the UPS is a double conversion loss, the conversion from AC to DC and back to AC (AC-DC-AC) can be avoided by using DC distribution, which can boost efficiency by 3 - 5 percent, but involves the use of DC-rated switchgear, circuit protection, and building wiring, which are more expensive and less readily available</w:t>
      </w:r>
      <w:r w:rsidR="008729A6">
        <w:fldChar w:fldCharType="begin"/>
      </w:r>
      <w:r w:rsidR="00866BB5">
        <w:instrText xml:space="preserve"> ADDIN ZOTERO_ITEM CSL_CITATION {"citationID":"4ZtdSEc3","properties":{"unsorted":false,"formattedCitation":"[141]","plainCitation":"[141]","noteIndex":0},"citationItems":[{"id":2119,"uris":["http://zotero.org/users/9870935/items/HCPVHF7M"],"itemData":{"id":2119,"type":"article-journal","container-title":"Energy Reports","DOI":"10.1016/j.egyr.2025.03.020","ISSN":"23524847","journalAbbreviation":"Energy Reports","language":"en","page":"3661-3671","source":"DOI.org (Crossref)","title":"Data centres as a source of flexibility for power systems","volume":"13","author":[{"family":"Takci","given":"Mehmet Türker"},{"family":"Qadrdan","given":"Meysam"},{"family":"Summers","given":"Jon"},{"family":"Gustafsson","given":"Jonas"}],"issued":{"date-parts":[["2025",6]]}}}],"schema":"https://github.com/citation-style-language/schema/raw/master/csl-citation.json"} </w:instrText>
      </w:r>
      <w:r w:rsidR="008729A6">
        <w:fldChar w:fldCharType="separate"/>
      </w:r>
      <w:r w:rsidR="00866BB5" w:rsidRPr="00866BB5">
        <w:t>[141]</w:t>
      </w:r>
      <w:r w:rsidR="008729A6">
        <w:fldChar w:fldCharType="end"/>
      </w:r>
      <w:r w:rsidRPr="00925F1B">
        <w:t>. In AI data centers with a high level of renewable energy consumption, where most of the energy is likely to be sourced from inverter-based DC power, DC distribution systems can present attractive efficiency benefits that outweigh the additional cost of the equipment.</w:t>
      </w:r>
    </w:p>
    <w:p w14:paraId="38729069" w14:textId="680E27A3" w:rsidR="00581E8E" w:rsidRDefault="00581E8E" w:rsidP="00581E8E">
      <w:pPr>
        <w:pStyle w:val="Heading20"/>
        <w:rPr>
          <w:color w:val="auto"/>
        </w:rPr>
      </w:pPr>
      <w:r>
        <w:rPr>
          <w:color w:val="auto"/>
        </w:rPr>
        <w:t>7.5. Control and Dispatch Strategies</w:t>
      </w:r>
    </w:p>
    <w:p w14:paraId="42EB400A" w14:textId="77777777" w:rsidR="00163578" w:rsidRPr="00163578" w:rsidRDefault="00163578" w:rsidP="00163578">
      <w:pPr>
        <w:spacing w:after="120"/>
        <w:ind w:firstLine="480"/>
      </w:pPr>
      <w:r w:rsidRPr="00163578">
        <w:t>Control strategy is the method by which the data center can coordinate renewable generation, storage, backup power, and demand-side resources to reliably and economically meet the demand for power. The proposed framework adopts a hierarchical control structure with three different layers and each with different time scale and different control purpose.</w:t>
      </w:r>
    </w:p>
    <w:p w14:paraId="56049820" w14:textId="42BD5C84" w:rsidR="00163578" w:rsidRPr="00163578" w:rsidRDefault="00163578" w:rsidP="00163578">
      <w:pPr>
        <w:spacing w:after="120"/>
        <w:ind w:firstLine="480"/>
      </w:pPr>
      <w:r w:rsidRPr="00163578">
        <w:lastRenderedPageBreak/>
        <w:t xml:space="preserve"> </w:t>
      </w:r>
      <w:r w:rsidR="00711AA9" w:rsidRPr="00711AA9">
        <w:rPr>
          <w:noProof/>
        </w:rPr>
        <w:drawing>
          <wp:inline distT="0" distB="0" distL="0" distR="0" wp14:anchorId="75931D60" wp14:editId="18024C65">
            <wp:extent cx="5615172" cy="2449002"/>
            <wp:effectExtent l="0" t="0" r="5080" b="8890"/>
            <wp:docPr id="424310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310074" name=""/>
                    <pic:cNvPicPr/>
                  </pic:nvPicPr>
                  <pic:blipFill rotWithShape="1">
                    <a:blip r:embed="rId16"/>
                    <a:srcRect t="6412" b="17628"/>
                    <a:stretch>
                      <a:fillRect/>
                    </a:stretch>
                  </pic:blipFill>
                  <pic:spPr bwMode="auto">
                    <a:xfrm>
                      <a:off x="0" y="0"/>
                      <a:ext cx="5615940" cy="2449337"/>
                    </a:xfrm>
                    <a:prstGeom prst="rect">
                      <a:avLst/>
                    </a:prstGeom>
                    <a:ln>
                      <a:noFill/>
                    </a:ln>
                    <a:extLst>
                      <a:ext uri="{53640926-AAD7-44D8-BBD7-CCE9431645EC}">
                        <a14:shadowObscured xmlns:a14="http://schemas.microsoft.com/office/drawing/2010/main"/>
                      </a:ext>
                    </a:extLst>
                  </pic:spPr>
                </pic:pic>
              </a:graphicData>
            </a:graphic>
          </wp:inline>
        </w:drawing>
      </w:r>
    </w:p>
    <w:p w14:paraId="094CE1F7" w14:textId="77777777" w:rsidR="00163578" w:rsidRPr="00163578" w:rsidRDefault="00163578" w:rsidP="00163578">
      <w:pPr>
        <w:spacing w:after="120"/>
        <w:ind w:firstLine="480"/>
      </w:pPr>
      <w:r w:rsidRPr="00163578">
        <w:t>Fig. 7. Hierarchical control architecture for operation of a data center micro grid.</w:t>
      </w:r>
    </w:p>
    <w:p w14:paraId="65856824" w14:textId="19567398" w:rsidR="00163578" w:rsidRPr="00163578" w:rsidRDefault="00163578" w:rsidP="00866BB5">
      <w:pPr>
        <w:spacing w:after="120"/>
        <w:ind w:firstLine="480"/>
      </w:pPr>
      <w:r w:rsidRPr="00163578">
        <w:t>The device-level control (level 1) controls the grid-forming or grid-following characteristics of the inverter, reacts to frequency and voltage deviations, and offers fast frequency response at millisecond timescales. At the facility-level (Level 2), EMS operates at minute to hourly timescales, and performs dispatch optimization using model-predictive control with 24-48 hour forecast horizons</w:t>
      </w:r>
      <w:r w:rsidR="00DF6659">
        <w:fldChar w:fldCharType="begin"/>
      </w:r>
      <w:r w:rsidR="00866BB5">
        <w:instrText xml:space="preserve"> ADDIN ZOTERO_ITEM CSL_CITATION {"citationID":"twpO3hsE","properties":{"unsorted":false,"formattedCitation":"[142]","plainCitation":"[142]","noteIndex":0},"citationItems":[{"id":2122,"uris":["http://zotero.org/users/9870935/items/JQYYBKN7"],"itemData":{"id":2122,"type":"article-journal","abstract":"As data centers grow and face energy challenges, traditional thermal management struggles with dynamic loads, multi-scale coupling, and heterogeneous control. This review examines AI-driven solutions for energy efficiency, focusing on integrating deep learning and reinforcement learning. Key innovations include physics-data hybrid models and constrained RL controllers, achieving PUE&lt;1.2, a 55.7% reduction in fan energy, and enhanced thermal stability. Challenges remain in explainable decision-making, hardware compatibility, and the complexity of multi-physics simulation. Our evaluation framework emphasizes PUE and energy savings, advocating for future advancements in digital twins, edge AI deployment, and renewable cooling integration. Policy-supported AI implementation could increase annual energy savings to 8-12%, promoting sustainable digital infrastructure. Future research should explore multi-scale optimization, reliable AI mechanisms, and renewable-cooling coordination to meet dynamic demand and support carbon neutrality goals.","container-title":"International Journal of Applied Science","DOI":"10.30560/ijas.v8n3p108","ISSN":"2576-7259, 2576-7240","issue":"3","journalAbbreviation":"IJAS","language":"en","license":"http://creativecommons.org/licenses/by/4.0","page":"p108","source":"DOI.org (Crossref)","title":"A Review on AI-Driven Optimization of Data Center Energy Efficiency and Thermal Management","volume":"8","author":[{"family":"Li","given":"Xiyong"},{"family":"Zhao","given":"Zhiming"},{"family":"Jiang","given":"Xiangjun"},{"family":"Chen","given":"Yingmei"},{"family":"He","given":"Ruxuan"}],"issued":{"date-parts":[["2025",9,27]]}}}],"schema":"https://github.com/citation-style-language/schema/raw/master/csl-citation.json"} </w:instrText>
      </w:r>
      <w:r w:rsidR="00DF6659">
        <w:fldChar w:fldCharType="separate"/>
      </w:r>
      <w:r w:rsidR="00866BB5" w:rsidRPr="00866BB5">
        <w:t>[142]</w:t>
      </w:r>
      <w:r w:rsidR="00DF6659">
        <w:fldChar w:fldCharType="end"/>
      </w:r>
      <w:r w:rsidRPr="00163578">
        <w:t>. At level 3, the corporate level, the optimization is conducted at the hourly to daily time scale and involves the scheduling of multiple facilities, such as routing compute workloads to facilities that offer the best renewable conditions</w:t>
      </w:r>
      <w:r w:rsidR="0073662B">
        <w:fldChar w:fldCharType="begin"/>
      </w:r>
      <w:r w:rsidR="00866BB5">
        <w:instrText xml:space="preserve"> ADDIN ZOTERO_ITEM CSL_CITATION {"citationID":"RyTTtKMh","properties":{"unsorted":false,"formattedCitation":"[142]","plainCitation":"[142]","noteIndex":0},"citationItems":[{"id":2122,"uris":["http://zotero.org/users/9870935/items/JQYYBKN7"],"itemData":{"id":2122,"type":"article-journal","abstract":"As data centers grow and face energy challenges, traditional thermal management struggles with dynamic loads, multi-scale coupling, and heterogeneous control. This review examines AI-driven solutions for energy efficiency, focusing on integrating deep learning and reinforcement learning. Key innovations include physics-data hybrid models and constrained RL controllers, achieving PUE&lt;1.2, a 55.7% reduction in fan energy, and enhanced thermal stability. Challenges remain in explainable decision-making, hardware compatibility, and the complexity of multi-physics simulation. Our evaluation framework emphasizes PUE and energy savings, advocating for future advancements in digital twins, edge AI deployment, and renewable cooling integration. Policy-supported AI implementation could increase annual energy savings to 8-12%, promoting sustainable digital infrastructure. Future research should explore multi-scale optimization, reliable AI mechanisms, and renewable-cooling coordination to meet dynamic demand and support carbon neutrality goals.","container-title":"International Journal of Applied Science","DOI":"10.30560/ijas.v8n3p108","ISSN":"2576-7259, 2576-7240","issue":"3","journalAbbreviation":"IJAS","language":"en","license":"http://creativecommons.org/licenses/by/4.0","page":"p108","source":"DOI.org (Crossref)","title":"A Review on AI-Driven Optimization of Data Center Energy Efficiency and Thermal Management","volume":"8","author":[{"family":"Li","given":"Xiyong"},{"family":"Zhao","given":"Zhiming"},{"family":"Jiang","given":"Xiangjun"},{"family":"Chen","given":"Yingmei"},{"family":"He","given":"Ruxuan"}],"issued":{"date-parts":[["2025",9,27]]}}}],"schema":"https://github.com/citation-style-language/schema/raw/master/csl-citation.json"} </w:instrText>
      </w:r>
      <w:r w:rsidR="0073662B">
        <w:fldChar w:fldCharType="separate"/>
      </w:r>
      <w:r w:rsidR="00866BB5" w:rsidRPr="00866BB5">
        <w:t>[142]</w:t>
      </w:r>
      <w:r w:rsidR="0073662B">
        <w:fldChar w:fldCharType="end"/>
      </w:r>
      <w:r w:rsidRPr="00163578">
        <w:t>.</w:t>
      </w:r>
    </w:p>
    <w:p w14:paraId="410DDD9C" w14:textId="10EFE660" w:rsidR="00581E8E" w:rsidRDefault="00163578" w:rsidP="00866BB5">
      <w:pPr>
        <w:spacing w:after="120"/>
        <w:ind w:firstLine="480"/>
      </w:pPr>
      <w:r w:rsidRPr="00163578">
        <w:t>AI workload scheduling is a special type of demand-side resource that data centers have that the traditional electricity consumers. Training workloads, which can stand hours to days of delay without compromising service quality, can be planned to coincide with times of high renewable generation. Relaxed latency requirements for inference workloads can be spread across facilities or time-shifted within SLA limits. Energy savings of up to 10% to 20% and reductions in carbon emissions of 5% to 15% are shown by quantified benefits from industry deployments, which shows that workload scheduling alone can make a difference</w:t>
      </w:r>
      <w:r w:rsidR="00AF6E46">
        <w:fldChar w:fldCharType="begin"/>
      </w:r>
      <w:r w:rsidR="00866BB5">
        <w:instrText xml:space="preserve"> ADDIN ZOTERO_ITEM CSL_CITATION {"citationID":"2jjafZXH","properties":{"unsorted":false,"formattedCitation":"[143]","plainCitation":"[143]","noteIndex":0},"citationItems":[{"id":2123,"uris":["http://zotero.org/users/9870935/items/2LZQJ3ZJ"],"itemData":{"id":2123,"type":"article","abstract":"The amount of CO$_2$ emitted per kilowatt-hour on an electricity grid varies by time of day and substantially varies by location due to the types of generation. Networked collections of warehouse scale computers, sometimes called Hyperscale Computing, emit more carbon than needed if operated without regard to these variations in carbon intensity. This paper introduces Google's system for Carbon-Intelligent Compute Management, which actively minimizes electricity-based carbon footprint and power infrastructure costs by delaying temporally flexible workloads. The core component of the system is a suite of analytical pipelines used to gather the next day's carbon intensity forecasts, train day-ahead demand prediction models, and use risk-aware optimization to generate the next day's carbon-aware Virtual Capacity Curves (VCCs) for all datacenter clusters across Google's fleet. VCCs impose hourly limits on resources available to temporally flexible workloads while preserving overall daily capacity, enabling all such workloads to complete within a day. Data from operation shows that VCCs effectively limit hourly capacity when the grid's energy supply mix is carbon intensive and delay the execution of temporally flexible workloads to \"greener\" times.","DOI":"10.48550/ARXIV.2106.11750","license":"Creative Commons Attribution 4.0 International","note":"version: 1","publisher":"arXiv","source":"DOI.org (Datacite)","title":"Carbon-Aware Computing for Datacenters","URL":"https://arxiv.org/abs/2106.11750","author":[{"family":"Radovanovic","given":"Ana"},{"family":"Koningstein","given":"Ross"},{"family":"Schneider","given":"Ian"},{"family":"Chen","given":"Bokan"},{"family":"Duarte","given":"Alexandre"},{"family":"Roy","given":"Binz"},{"family":"Xiao","given":"Diyue"},{"family":"Haridasan","given":"Maya"},{"family":"Hung","given":"Patrick"},{"family":"Care","given":"Nick"},{"family":"Talukdar","given":"Saurav"},{"family":"Mullen","given":"Eric"},{"family":"Smith","given":"Kendal"},{"family":"Cottman","given":"MariEllen"},{"family":"Cirne","given":"Walfredo"}],"accessed":{"date-parts":[["2026",5,23]]},"issued":{"date-parts":[["2021"]]}}}],"schema":"https://github.com/citation-style-language/schema/raw/master/csl-citation.json"} </w:instrText>
      </w:r>
      <w:r w:rsidR="00AF6E46">
        <w:fldChar w:fldCharType="separate"/>
      </w:r>
      <w:r w:rsidR="00866BB5" w:rsidRPr="00866BB5">
        <w:t>[143]</w:t>
      </w:r>
      <w:r w:rsidR="00AF6E46">
        <w:fldChar w:fldCharType="end"/>
      </w:r>
      <w:r w:rsidRPr="00163578">
        <w:t>.</w:t>
      </w:r>
    </w:p>
    <w:p w14:paraId="0EC7203B" w14:textId="4F84B18F" w:rsidR="00CF6F72" w:rsidRDefault="00CF6F72" w:rsidP="00CF6F72">
      <w:pPr>
        <w:pStyle w:val="Heading20"/>
        <w:rPr>
          <w:color w:val="auto"/>
        </w:rPr>
      </w:pPr>
      <w:r>
        <w:rPr>
          <w:color w:val="auto"/>
        </w:rPr>
        <w:t>7.6. Deman</w:t>
      </w:r>
      <w:r w:rsidR="0099741A">
        <w:rPr>
          <w:color w:val="auto"/>
        </w:rPr>
        <w:t>d</w:t>
      </w:r>
      <w:r>
        <w:rPr>
          <w:color w:val="auto"/>
        </w:rPr>
        <w:t>-Side Management and Load Flexibility</w:t>
      </w:r>
    </w:p>
    <w:p w14:paraId="46E99FA4" w14:textId="225503A1" w:rsidR="000E77FA" w:rsidRPr="000E77FA" w:rsidRDefault="000E77FA" w:rsidP="00866BB5">
      <w:pPr>
        <w:spacing w:after="120"/>
        <w:ind w:firstLine="480"/>
      </w:pPr>
      <w:r w:rsidRPr="000E77FA">
        <w:t xml:space="preserve">Data center workloads are divided into one of four flexibility classes: (1) Training, highly flexible with deferral windows of hours to days, (2) Inference, less than 100 ms response time to some deferral, depending on application, (3) Analytics and Batch processing, highly flexible and easily shifted to renewable peaks, and (4) Background tasks, such as model optimization, data indexing, and system maintenance, are fully interruptible </w:t>
      </w:r>
      <w:r w:rsidR="0028220C">
        <w:fldChar w:fldCharType="begin"/>
      </w:r>
      <w:r w:rsidR="00866BB5">
        <w:instrText xml:space="preserve"> ADDIN ZOTERO_ITEM CSL_CITATION {"citationID":"oMLFJ3Xg","properties":{"unsorted":false,"formattedCitation":"[144]","plainCitation":"[144]","noteIndex":0},"citationItems":[{"id":2124,"uris":["http://zotero.org/users/9870935/items/7MUJEUDP"],"itemData":{"id":2124,"type":"paper-conference","container-title":"Proceedings of the Nineteenth European Conference on Computer Systems","DOI":"10.1145/3627703.3650079","event-title":"EuroSys '24: Nineteenth European Conference on Computer Systems","ISBN":"979-8-4007-0437-6","language":"en","page":"924-941","publisher":"ACM","publisher-place":"Athens Greece","source":"DOI.org (Crossref)","title":"On the Limitations of Carbon-Aware Temporal and Spatial Workload Shifting in the Cloud","URL":"https://dl.acm.org/doi/10.1145/3627703.3650079","author":[{"family":"Sukprasert","given":"Thanathorn"},{"family":"Souza","given":"Abel"},{"family":"Bashir","given":"Noman"},{"family":"Irwin","given":"David"},{"family":"Shenoy","given":"Prashant"}],"accessed":{"date-parts":[["2026",5,23]]},"issued":{"date-parts":[["2024",4,22]]}}}],"schema":"https://github.com/citation-style-language/schema/raw/master/csl-citation.json"} </w:instrText>
      </w:r>
      <w:r w:rsidR="0028220C">
        <w:fldChar w:fldCharType="separate"/>
      </w:r>
      <w:r w:rsidR="00866BB5" w:rsidRPr="00866BB5">
        <w:t>[144]</w:t>
      </w:r>
      <w:r w:rsidR="0028220C">
        <w:fldChar w:fldCharType="end"/>
      </w:r>
      <w:r w:rsidRPr="000E77FA">
        <w:t>. This classification allows the control system to dynamically prioritize and schedule workloads according to forecasts of renewable availability.</w:t>
      </w:r>
    </w:p>
    <w:p w14:paraId="0B4587A5" w14:textId="579D77F2" w:rsidR="00CF6F72" w:rsidRPr="000E77FA" w:rsidRDefault="000E77FA" w:rsidP="00866BB5">
      <w:pPr>
        <w:spacing w:after="120"/>
        <w:ind w:firstLine="480"/>
      </w:pPr>
      <w:r w:rsidRPr="000E77FA">
        <w:t>Workload scheduling requires changes to the job scheduling infrastructure, which are executed through Kubernetes extensions or custom scheduling plugin that calls a renewable availability API that provides 24-48 hour forecasts</w:t>
      </w:r>
      <w:r w:rsidR="007F7AF6">
        <w:fldChar w:fldCharType="begin"/>
      </w:r>
      <w:r w:rsidR="00866BB5">
        <w:instrText xml:space="preserve"> ADDIN ZOTERO_ITEM CSL_CITATION {"citationID":"xaFTh4pu","properties":{"unsorted":false,"formattedCitation":"[145]","plainCitation":"[145]","noteIndex":0},"citationItems":[{"id":2126,"uris":["http://zotero.org/users/9870935/items/5SGD5DQK"],"itemData":{"id":2126,"type":"paper-conference","container-title":"ICC 2025 - IEEE International Conference on Communications","DOI":"10.1109/ICC52391.2025.11160865","event-title":"ICC 2025 - IEEE International Conference on Communications","ISBN":"979-8-3315-0521-9","license":"https://doi.org/10.15223/policy-029","page":"1500-1505","publisher":"IEEE","publisher-place":"Montreal, QC, Canada","source":"DOI.org (Crossref)","title":"Enabling Power-Awareness for Kubernetes Scheduling Through Multi-Criteria Optimization","URL":"https://ieeexplore.ieee.org/document/11160865/","author":[{"family":"Gouaouri","given":"Mohammed Dhiya Eddine"},{"family":"Bagaa","given":"Miloud"},{"family":"Ouahouah","given":"Sihem"},{"family":"Ouameur","given":"Messaoud Ahmed"},{"family":"Ksentini","given":"Adlen"}],"accessed":{"date-parts":[["2026",5,23]]},"issued":{"date-parts":[["2025",6,8]]}}}],"schema":"https://github.com/citation-style-language/schema/raw/master/csl-citation.json"} </w:instrText>
      </w:r>
      <w:r w:rsidR="007F7AF6">
        <w:fldChar w:fldCharType="separate"/>
      </w:r>
      <w:r w:rsidR="00866BB5" w:rsidRPr="00866BB5">
        <w:t>[145]</w:t>
      </w:r>
      <w:r w:rsidR="007F7AF6">
        <w:fldChar w:fldCharType="end"/>
      </w:r>
      <w:r w:rsidRPr="000E77FA">
        <w:t xml:space="preserve">. The API provides time-series data </w:t>
      </w:r>
      <w:r w:rsidRPr="000E77FA">
        <w:lastRenderedPageBreak/>
        <w:t>on the percentage of the total load to be met from renewable generation, which the scheduler can use to determine good time periods for workloads that can be deferred. SLA relaxation parameters are the maximum allowable increase in latency (usually 5</w:t>
      </w:r>
      <w:r w:rsidR="009C3032">
        <w:t>-10%</w:t>
      </w:r>
      <w:r w:rsidRPr="000E77FA">
        <w:t>) that a business can expect in return for the cost and carbon savings of more than 15</w:t>
      </w:r>
      <w:r w:rsidR="009C3032">
        <w:t>%</w:t>
      </w:r>
      <w:r w:rsidRPr="000E77FA">
        <w:t>.</w:t>
      </w:r>
    </w:p>
    <w:p w14:paraId="0B8BF1B0" w14:textId="4367B8BB" w:rsidR="003B44B7" w:rsidRDefault="003B44B7" w:rsidP="003B44B7">
      <w:pPr>
        <w:pStyle w:val="Heading20"/>
        <w:rPr>
          <w:color w:val="auto"/>
        </w:rPr>
      </w:pPr>
      <w:r>
        <w:rPr>
          <w:color w:val="auto"/>
        </w:rPr>
        <w:t>7.7. Cooling System Coordination</w:t>
      </w:r>
    </w:p>
    <w:p w14:paraId="407AEB3D" w14:textId="589A1250" w:rsidR="00613288" w:rsidRPr="00613288" w:rsidRDefault="00613288" w:rsidP="00866BB5">
      <w:pPr>
        <w:spacing w:after="120"/>
        <w:ind w:firstLine="480"/>
      </w:pPr>
      <w:r w:rsidRPr="00613288">
        <w:t>The concept of cooling system coordination is based on synchronizing the electric and thermal energy systems to optimize overall efficiency. Thermal energy storage (TES) systems, particularly ice storage and chilled water storage, enable cooling demand to be shifted to periods of abundant renewable energy or low electricity prices. If there is excess renewable energy during periods of high renewable energy, it can be utilized to generate chilled water or ice, and then stored for use during other times of low renewable energy production</w:t>
      </w:r>
      <w:r w:rsidR="00DB24DF">
        <w:fldChar w:fldCharType="begin"/>
      </w:r>
      <w:r w:rsidR="00866BB5">
        <w:instrText xml:space="preserve"> ADDIN ZOTERO_ITEM CSL_CITATION {"citationID":"9ETsUl6Y","properties":{"unsorted":false,"formattedCitation":"[79]","plainCitation":"[79]","noteIndex":0},"citationItems":[{"id":2036,"uris":["http://zotero.org/users/9870935/items/2KMJ9H69"],"itemData":{"id":2036,"type":"paper-conference","container-title":"2011 IEEE Third International Conference on Cloud Computing Technology and Science","DOI":"10.1109/CloudCom.2011.100","event-title":"2011 IEEE 3rd International Conference on Cloud Computing Technology and Science (CloudCom)","ISBN":"978-1-4673-0090-2","page":"646-651","publisher":"IEEE","publisher-place":"Athens, Greece","source":"DOI.org (Crossref)","title":"Energy Efficient Free Cooling System for Data Centers","URL":"http://ieeexplore.ieee.org/document/6133209/","author":[{"family":"D.","given":"Christy Sujatha"},{"family":"Abimannan","given":"Satheesh"}],"accessed":{"date-parts":[["2026",5,16]]},"issued":{"date-parts":[["2011",11]]}}}],"schema":"https://github.com/citation-style-language/schema/raw/master/csl-citation.json"} </w:instrText>
      </w:r>
      <w:r w:rsidR="00DB24DF">
        <w:fldChar w:fldCharType="separate"/>
      </w:r>
      <w:r w:rsidR="00866BB5" w:rsidRPr="00866BB5">
        <w:t>[79]</w:t>
      </w:r>
      <w:r w:rsidR="00DB24DF">
        <w:fldChar w:fldCharType="end"/>
      </w:r>
      <w:r w:rsidRPr="00613288">
        <w:t>. Dynamic setpoint management enables the cooling system temperature to vary within a control range, thereby saving energy when renewable energy sources are available and strengthening control when the grid becomes critical</w:t>
      </w:r>
      <w:r w:rsidR="0017669A">
        <w:fldChar w:fldCharType="begin"/>
      </w:r>
      <w:r w:rsidR="00866BB5">
        <w:instrText xml:space="preserve"> ADDIN ZOTERO_ITEM CSL_CITATION {"citationID":"ovfPeKR7","properties":{"unsorted":false,"formattedCitation":"[146]","plainCitation":"[146]","noteIndex":0},"citationItems":[{"id":2127,"uris":["http://zotero.org/users/9870935/items/TPD6JBT4"],"itemData":{"id":2127,"type":"article","abstract":"As machine learning workloads significantly increase energy consumption, sustainable data centers with low carbon emissions are becoming a top priority for governments and corporations worldwide. This requires a paradigm shift in optimizing power consumption in cooling and IT loads, shifting flexible loads based on the availability of renewable energy in the power grid, and leveraging battery storage from the uninterrupted power supply in data centers, using collaborative agents. The complex association between these optimization strategies and their dependencies on variable external factors like weather and the power grid carbon intensity makes this a hard problem. Currently, a real-time controller to optimize all these goals simultaneously in a dynamic real-world setting is lacking. We propose a Data Center Carbon Footprint Reduction (DC-CFR) multi-agent Reinforcement Learning (MARL) framework that optimizes data centers for the multiple objectives of carbon footprint reduction, energy consumption, and energy cost. The results show that the DC-CFR MARL agents effectively resolved the complex interdependencies in optimizing cooling, load shifting, and energy storage in real-time for various locations under real-world dynamic weather and grid carbon intensity conditions. DC-CFR significantly outperformed the industry standard ASHRAE controller with a considerable reduction in carbon emissions (14.5%), energy usage (14.4%), and energy cost (13.7%) when evaluated over one year across multiple geographical regions.","DOI":"10.48550/ARXIV.2403.14092","license":"arXiv.org perpetual, non-exclusive license","note":"version: 3","publisher":"arXiv","source":"DOI.org (Datacite)","title":"Carbon Footprint Reduction for Sustainable Data Centers in Real-Time","URL":"https://arxiv.org/abs/2403.14092","author":[{"family":"Sarkar","given":"Soumyendu"},{"family":"Naug","given":"Avisek"},{"family":"Luna","given":"Ricardo"},{"family":"Guillen","given":"Antonio"},{"family":"Gundecha","given":"Vineet"},{"family":"Ghorbanpour","given":"Sahand"},{"family":"Mousavi","given":"Sajad"},{"family":"Markovikj","given":"Dejan"},{"family":"Babu","given":"Ashwin Ramesh"}],"accessed":{"date-parts":[["2026",5,23]]},"issued":{"date-parts":[["2024"]]}}}],"schema":"https://github.com/citation-style-language/schema/raw/master/csl-citation.json"} </w:instrText>
      </w:r>
      <w:r w:rsidR="0017669A">
        <w:fldChar w:fldCharType="separate"/>
      </w:r>
      <w:r w:rsidR="00866BB5" w:rsidRPr="00866BB5">
        <w:t>[146]</w:t>
      </w:r>
      <w:r w:rsidR="0017669A">
        <w:fldChar w:fldCharType="end"/>
      </w:r>
      <w:r w:rsidRPr="00613288">
        <w:t>.</w:t>
      </w:r>
    </w:p>
    <w:p w14:paraId="53D79C68" w14:textId="2F063790" w:rsidR="003B44B7" w:rsidRPr="00613288" w:rsidRDefault="00613288" w:rsidP="00866BB5">
      <w:pPr>
        <w:spacing w:after="120"/>
        <w:ind w:firstLine="480"/>
      </w:pPr>
      <w:r w:rsidRPr="00613288">
        <w:t>The efficiency benefit of liquid cooling for AI accelerators is impressive, with cooling energy per watt of IT load dropping from 0.3W to 0.5W (air cooling) to 0.1W to 0.2W (direct-to-chip liquid cooling)</w:t>
      </w:r>
      <w:r w:rsidR="00F66B81">
        <w:fldChar w:fldCharType="begin"/>
      </w:r>
      <w:r w:rsidR="00F66B81">
        <w:instrText xml:space="preserve"> ADDIN ZOTERO_ITEM CSL_CITATION {"citationID":"XJwrlQZK","properties":{"unsorted":false,"formattedCitation":"[34]","plainCitation":"[34]","noteIndex":0},"citationItems":[{"id":1964,"uris":["http://zotero.org/users/9870935/items/97W4FH39"],"itemData":{"id":1964,"type":"article-journal","container-title":"Applied Thermal Engineering","DOI":"10.1016/j.applthermaleng.2024.123112","ISSN":"13594311","journalAbbreviation":"Applied Thermal Engineering","language":"en","page":"123112","source":"DOI.org (Crossref)","title":"Liquid cooling of data centers: A necessity facing challenges","title-short":"Liquid cooling of data centers","volume":"247","author":[{"family":"Azarifar","given":"Mohammad"},{"family":"Arik","given":"Mehmet"},{"family":"Chang","given":"Je-Young"}],"issued":{"date-parts":[["2024",6]]}}}],"schema":"https://github.com/citation-style-language/schema/raw/master/csl-citation.json"} </w:instrText>
      </w:r>
      <w:r w:rsidR="00F66B81">
        <w:fldChar w:fldCharType="separate"/>
      </w:r>
      <w:r w:rsidR="00F66B81" w:rsidRPr="00F66B81">
        <w:t>[34]</w:t>
      </w:r>
      <w:r w:rsidR="00F66B81">
        <w:fldChar w:fldCharType="end"/>
      </w:r>
      <w:r w:rsidRPr="00613288">
        <w:t xml:space="preserve">. Waste heat recovery involves recovering the thermal energy that the data center rejects for other applications, like district heating, greenhouse heating, or industrial process heat, in order to reduce the overall amount of energy consumed by the data center, with a benefit of </w:t>
      </w:r>
      <w:r w:rsidR="00836B83">
        <w:t>5-</w:t>
      </w:r>
      <w:r w:rsidRPr="00613288">
        <w:t>10</w:t>
      </w:r>
      <w:r w:rsidR="00836B83">
        <w:t xml:space="preserve">% </w:t>
      </w:r>
      <w:r w:rsidRPr="00613288">
        <w:t>of total energy costs</w:t>
      </w:r>
      <w:r w:rsidR="004E5D29">
        <w:fldChar w:fldCharType="begin"/>
      </w:r>
      <w:r w:rsidR="00866BB5">
        <w:instrText xml:space="preserve"> ADDIN ZOTERO_ITEM CSL_CITATION {"citationID":"pKIYxu2A","properties":{"unsorted":false,"formattedCitation":"[147]","plainCitation":"[147]","noteIndex":0},"citationItems":[{"id":2128,"uris":["http://zotero.org/users/9870935/items/I7S4GH78"],"itemData":{"id":2128,"type":"article-journal","container-title":"Information, Communication &amp; Society","DOI":"10.1080/1369118X.2025.2596872","ISSN":"1369-118X, 1468-4462","journalAbbreviation":"Information, Communication &amp; Society","language":"en","page":"1-17","source":"DOI.org (Crossref)","title":"Sustainable datacentres and eco-modernist frictions in Sweden","author":[{"family":"Sefyrin","given":"Johanna"}],"issued":{"date-parts":[["2025",12,11]]}}}],"schema":"https://github.com/citation-style-language/schema/raw/master/csl-citation.json"} </w:instrText>
      </w:r>
      <w:r w:rsidR="004E5D29">
        <w:fldChar w:fldCharType="separate"/>
      </w:r>
      <w:r w:rsidR="00866BB5" w:rsidRPr="00866BB5">
        <w:t>[147]</w:t>
      </w:r>
      <w:r w:rsidR="004E5D29">
        <w:fldChar w:fldCharType="end"/>
      </w:r>
      <w:r w:rsidRPr="00613288">
        <w:t>.</w:t>
      </w:r>
    </w:p>
    <w:p w14:paraId="41191194" w14:textId="5D49C342" w:rsidR="00E87A9C" w:rsidRDefault="00E87A9C" w:rsidP="00E87A9C">
      <w:pPr>
        <w:pStyle w:val="Heading20"/>
        <w:rPr>
          <w:color w:val="auto"/>
        </w:rPr>
      </w:pPr>
      <w:r>
        <w:rPr>
          <w:color w:val="auto"/>
        </w:rPr>
        <w:t>7.8. Economic Model and Financial Vaibility</w:t>
      </w:r>
    </w:p>
    <w:p w14:paraId="06888322" w14:textId="569AFDF3" w:rsidR="00E87A9C" w:rsidRPr="00354B1B" w:rsidRDefault="00F30983" w:rsidP="00866BB5">
      <w:pPr>
        <w:spacing w:after="120"/>
        <w:ind w:firstLine="480"/>
      </w:pPr>
      <w:r w:rsidRPr="00354B1B">
        <w:t>The economic model employs standard financial metrics including Levelized Cost of Energy (LCOE), Net Present Value (NPV), Internal Rate of Return (IRR), and payback period to evaluate the financial performance of renewable-powered data center configurations. The LCOE calculation aggregates all capital and operating costs over the project lifetime and divides by total energy delivered, discounted to present value</w:t>
      </w:r>
      <w:r w:rsidR="004C5D3A">
        <w:fldChar w:fldCharType="begin"/>
      </w:r>
      <w:r w:rsidR="00866BB5">
        <w:instrText xml:space="preserve"> ADDIN ZOTERO_ITEM CSL_CITATION {"citationID":"AU6U0yuJ","properties":{"unsorted":false,"formattedCitation":"[148]","plainCitation":"[148]","noteIndex":0},"citationItems":[{"id":2132,"uris":["http://zotero.org/users/9870935/items/786EAJKN"],"itemData":{"id":2132,"type":"document","title":"Levelized Cost of Energy","URL":"https://www.lazard.com/media/eijnqja3/lazards-lcoeplus-june-2025.pdf","author":[{"family":"Lazard","given":""}]}}],"schema":"https://github.com/citation-style-language/schema/raw/master/csl-citation.json"} </w:instrText>
      </w:r>
      <w:r w:rsidR="004C5D3A">
        <w:fldChar w:fldCharType="separate"/>
      </w:r>
      <w:r w:rsidR="00866BB5" w:rsidRPr="00866BB5">
        <w:t>[148]</w:t>
      </w:r>
      <w:r w:rsidR="004C5D3A">
        <w:fldChar w:fldCharType="end"/>
      </w:r>
      <w:r w:rsidRPr="00354B1B">
        <w:t>.</w:t>
      </w:r>
    </w:p>
    <w:p w14:paraId="293606F7" w14:textId="472620B0" w:rsidR="00F31A23" w:rsidRDefault="00F31A23" w:rsidP="00F31A23">
      <w:pPr>
        <w:pStyle w:val="Caption"/>
        <w:keepNext/>
      </w:pPr>
      <w:r>
        <w:t xml:space="preserve">Table </w:t>
      </w:r>
      <w:r>
        <w:fldChar w:fldCharType="begin"/>
      </w:r>
      <w:r>
        <w:instrText xml:space="preserve"> SEQ Table \* ARABIC </w:instrText>
      </w:r>
      <w:r>
        <w:fldChar w:fldCharType="separate"/>
      </w:r>
      <w:r w:rsidR="00516167">
        <w:rPr>
          <w:noProof/>
        </w:rPr>
        <w:t>3</w:t>
      </w:r>
      <w:r>
        <w:fldChar w:fldCharType="end"/>
      </w:r>
      <w:r>
        <w:t xml:space="preserve"> </w:t>
      </w:r>
      <w:r w:rsidRPr="000B7235">
        <w:t>CAPEX Breakdown by Technology (2025–2026)</w:t>
      </w:r>
    </w:p>
    <w:tbl>
      <w:tblPr>
        <w:tblStyle w:val="Mdeck5tablebodythreelines"/>
        <w:tblW w:w="0" w:type="auto"/>
        <w:tblLook w:val="04A0" w:firstRow="1" w:lastRow="0" w:firstColumn="1" w:lastColumn="0" w:noHBand="0" w:noVBand="1"/>
      </w:tblPr>
      <w:tblGrid>
        <w:gridCol w:w="2329"/>
        <w:gridCol w:w="1793"/>
        <w:gridCol w:w="1812"/>
        <w:gridCol w:w="1650"/>
        <w:gridCol w:w="1260"/>
      </w:tblGrid>
      <w:tr w:rsidR="00F30983" w:rsidRPr="00F30983" w14:paraId="392F0304" w14:textId="77777777" w:rsidTr="00F30983">
        <w:trPr>
          <w:cnfStyle w:val="100000000000" w:firstRow="1" w:lastRow="0" w:firstColumn="0" w:lastColumn="0" w:oddVBand="0" w:evenVBand="0" w:oddHBand="0" w:evenHBand="0" w:firstRowFirstColumn="0" w:firstRowLastColumn="0" w:lastRowFirstColumn="0" w:lastRowLastColumn="0"/>
        </w:trPr>
        <w:tc>
          <w:tcPr>
            <w:tcW w:w="0" w:type="auto"/>
            <w:hideMark/>
          </w:tcPr>
          <w:p w14:paraId="06CA88B0" w14:textId="77777777" w:rsidR="00F30983" w:rsidRPr="00F30983" w:rsidRDefault="00F30983" w:rsidP="00F30983">
            <w:pPr>
              <w:pStyle w:val="TableBody"/>
              <w:spacing w:line="240" w:lineRule="auto"/>
              <w:rPr>
                <w:b/>
                <w:bCs/>
                <w:snapToGrid w:val="0"/>
                <w:color w:val="auto"/>
                <w:lang w:val="en-US"/>
              </w:rPr>
            </w:pPr>
            <w:r w:rsidRPr="00F30983">
              <w:rPr>
                <w:b/>
                <w:bCs/>
                <w:snapToGrid w:val="0"/>
                <w:color w:val="auto"/>
                <w:lang w:val="en-US"/>
              </w:rPr>
              <w:t>Technology</w:t>
            </w:r>
          </w:p>
        </w:tc>
        <w:tc>
          <w:tcPr>
            <w:tcW w:w="0" w:type="auto"/>
            <w:hideMark/>
          </w:tcPr>
          <w:p w14:paraId="22EA7340" w14:textId="77777777" w:rsidR="00F30983" w:rsidRPr="00F30983" w:rsidRDefault="00F30983" w:rsidP="00F30983">
            <w:pPr>
              <w:pStyle w:val="TableBody"/>
              <w:spacing w:line="240" w:lineRule="auto"/>
              <w:rPr>
                <w:b/>
                <w:bCs/>
                <w:snapToGrid w:val="0"/>
                <w:color w:val="auto"/>
                <w:lang w:val="en-US"/>
              </w:rPr>
            </w:pPr>
            <w:r w:rsidRPr="00F30983">
              <w:rPr>
                <w:b/>
                <w:bCs/>
                <w:snapToGrid w:val="0"/>
                <w:color w:val="auto"/>
                <w:lang w:val="en-US"/>
              </w:rPr>
              <w:t>CAPEX Range</w:t>
            </w:r>
          </w:p>
        </w:tc>
        <w:tc>
          <w:tcPr>
            <w:tcW w:w="0" w:type="auto"/>
            <w:hideMark/>
          </w:tcPr>
          <w:p w14:paraId="17541147" w14:textId="77777777" w:rsidR="00F30983" w:rsidRPr="00F30983" w:rsidRDefault="00F30983" w:rsidP="00F30983">
            <w:pPr>
              <w:pStyle w:val="TableBody"/>
              <w:spacing w:line="240" w:lineRule="auto"/>
              <w:rPr>
                <w:b/>
                <w:bCs/>
                <w:snapToGrid w:val="0"/>
                <w:color w:val="auto"/>
                <w:lang w:val="en-US"/>
              </w:rPr>
            </w:pPr>
            <w:r w:rsidRPr="00F30983">
              <w:rPr>
                <w:b/>
                <w:bCs/>
                <w:snapToGrid w:val="0"/>
                <w:color w:val="auto"/>
                <w:lang w:val="en-US"/>
              </w:rPr>
              <w:t>Fixed O&amp;M (%/yr)</w:t>
            </w:r>
          </w:p>
        </w:tc>
        <w:tc>
          <w:tcPr>
            <w:tcW w:w="0" w:type="auto"/>
            <w:hideMark/>
          </w:tcPr>
          <w:p w14:paraId="0F279F05" w14:textId="77777777" w:rsidR="00F30983" w:rsidRPr="00F30983" w:rsidRDefault="00F30983" w:rsidP="00F30983">
            <w:pPr>
              <w:pStyle w:val="TableBody"/>
              <w:spacing w:line="240" w:lineRule="auto"/>
              <w:rPr>
                <w:b/>
                <w:bCs/>
                <w:snapToGrid w:val="0"/>
                <w:color w:val="auto"/>
                <w:lang w:val="en-US"/>
              </w:rPr>
            </w:pPr>
            <w:r w:rsidRPr="00F30983">
              <w:rPr>
                <w:b/>
                <w:bCs/>
                <w:snapToGrid w:val="0"/>
                <w:color w:val="auto"/>
                <w:lang w:val="en-US"/>
              </w:rPr>
              <w:t>LCOE ($/MWh)</w:t>
            </w:r>
          </w:p>
        </w:tc>
        <w:tc>
          <w:tcPr>
            <w:tcW w:w="0" w:type="auto"/>
            <w:hideMark/>
          </w:tcPr>
          <w:p w14:paraId="7E0C4E91" w14:textId="77777777" w:rsidR="00F30983" w:rsidRPr="00F30983" w:rsidRDefault="00F30983" w:rsidP="00F30983">
            <w:pPr>
              <w:pStyle w:val="TableBody"/>
              <w:spacing w:line="240" w:lineRule="auto"/>
              <w:rPr>
                <w:b/>
                <w:bCs/>
                <w:snapToGrid w:val="0"/>
                <w:color w:val="auto"/>
                <w:lang w:val="en-US"/>
              </w:rPr>
            </w:pPr>
            <w:r w:rsidRPr="00F30983">
              <w:rPr>
                <w:b/>
                <w:bCs/>
                <w:snapToGrid w:val="0"/>
                <w:color w:val="auto"/>
                <w:lang w:val="en-US"/>
              </w:rPr>
              <w:t>Lifetime</w:t>
            </w:r>
          </w:p>
        </w:tc>
      </w:tr>
      <w:tr w:rsidR="00F30983" w:rsidRPr="00F30983" w14:paraId="2ED52775" w14:textId="77777777" w:rsidTr="00F30983">
        <w:tc>
          <w:tcPr>
            <w:tcW w:w="0" w:type="auto"/>
            <w:hideMark/>
          </w:tcPr>
          <w:p w14:paraId="5B93917C" w14:textId="77777777" w:rsidR="00F30983" w:rsidRPr="00F30983" w:rsidRDefault="00F30983" w:rsidP="00F30983">
            <w:pPr>
              <w:pStyle w:val="TableBody"/>
              <w:spacing w:line="240" w:lineRule="auto"/>
              <w:rPr>
                <w:b/>
                <w:bCs/>
                <w:color w:val="auto"/>
                <w:lang w:val="en-US"/>
              </w:rPr>
            </w:pPr>
            <w:r w:rsidRPr="00F30983">
              <w:rPr>
                <w:b/>
                <w:bCs/>
                <w:color w:val="auto"/>
                <w:lang w:val="en-US"/>
              </w:rPr>
              <w:t>Solar PV (Utility)</w:t>
            </w:r>
          </w:p>
        </w:tc>
        <w:tc>
          <w:tcPr>
            <w:tcW w:w="0" w:type="auto"/>
            <w:hideMark/>
          </w:tcPr>
          <w:p w14:paraId="47412481" w14:textId="77777777" w:rsidR="00F30983" w:rsidRPr="00F30983" w:rsidRDefault="00F30983" w:rsidP="00F30983">
            <w:pPr>
              <w:pStyle w:val="TableBody"/>
              <w:spacing w:line="240" w:lineRule="auto"/>
              <w:rPr>
                <w:b/>
                <w:bCs/>
                <w:color w:val="auto"/>
                <w:lang w:val="en-US"/>
              </w:rPr>
            </w:pPr>
            <w:r w:rsidRPr="00F30983">
              <w:rPr>
                <w:b/>
                <w:bCs/>
                <w:color w:val="auto"/>
                <w:lang w:val="en-US"/>
              </w:rPr>
              <w:t>$900–$1,600 /kW</w:t>
            </w:r>
          </w:p>
        </w:tc>
        <w:tc>
          <w:tcPr>
            <w:tcW w:w="0" w:type="auto"/>
            <w:hideMark/>
          </w:tcPr>
          <w:p w14:paraId="29223644" w14:textId="77777777" w:rsidR="00F30983" w:rsidRPr="00F30983" w:rsidRDefault="00F30983" w:rsidP="00F30983">
            <w:pPr>
              <w:pStyle w:val="TableBody"/>
              <w:spacing w:line="240" w:lineRule="auto"/>
              <w:rPr>
                <w:b/>
                <w:bCs/>
                <w:color w:val="auto"/>
                <w:lang w:val="en-US"/>
              </w:rPr>
            </w:pPr>
            <w:r w:rsidRPr="00F30983">
              <w:rPr>
                <w:b/>
                <w:bCs/>
                <w:color w:val="auto"/>
                <w:lang w:val="en-US"/>
              </w:rPr>
              <w:t>0.4–0.8%</w:t>
            </w:r>
          </w:p>
        </w:tc>
        <w:tc>
          <w:tcPr>
            <w:tcW w:w="0" w:type="auto"/>
            <w:hideMark/>
          </w:tcPr>
          <w:p w14:paraId="20889A88" w14:textId="77777777" w:rsidR="00F30983" w:rsidRPr="00F30983" w:rsidRDefault="00F30983" w:rsidP="00F30983">
            <w:pPr>
              <w:pStyle w:val="TableBody"/>
              <w:spacing w:line="240" w:lineRule="auto"/>
              <w:rPr>
                <w:b/>
                <w:bCs/>
                <w:color w:val="auto"/>
                <w:lang w:val="en-US"/>
              </w:rPr>
            </w:pPr>
            <w:r w:rsidRPr="00F30983">
              <w:rPr>
                <w:b/>
                <w:bCs/>
                <w:color w:val="auto"/>
                <w:lang w:val="en-US"/>
              </w:rPr>
              <w:t>$50–$80</w:t>
            </w:r>
          </w:p>
        </w:tc>
        <w:tc>
          <w:tcPr>
            <w:tcW w:w="0" w:type="auto"/>
            <w:hideMark/>
          </w:tcPr>
          <w:p w14:paraId="339D265A" w14:textId="77777777" w:rsidR="00F30983" w:rsidRPr="00F30983" w:rsidRDefault="00F30983" w:rsidP="00F30983">
            <w:pPr>
              <w:pStyle w:val="TableBody"/>
              <w:spacing w:line="240" w:lineRule="auto"/>
              <w:rPr>
                <w:b/>
                <w:bCs/>
                <w:color w:val="auto"/>
                <w:lang w:val="en-US"/>
              </w:rPr>
            </w:pPr>
            <w:r w:rsidRPr="00F30983">
              <w:rPr>
                <w:b/>
                <w:bCs/>
                <w:color w:val="auto"/>
                <w:lang w:val="en-US"/>
              </w:rPr>
              <w:t>25–30 years</w:t>
            </w:r>
          </w:p>
        </w:tc>
      </w:tr>
      <w:tr w:rsidR="00F30983" w:rsidRPr="00F30983" w14:paraId="53A92FA6" w14:textId="77777777" w:rsidTr="00F30983">
        <w:tc>
          <w:tcPr>
            <w:tcW w:w="0" w:type="auto"/>
            <w:hideMark/>
          </w:tcPr>
          <w:p w14:paraId="42578866" w14:textId="77777777" w:rsidR="00F30983" w:rsidRPr="00F30983" w:rsidRDefault="00F30983" w:rsidP="00F30983">
            <w:pPr>
              <w:pStyle w:val="TableBody"/>
              <w:spacing w:line="240" w:lineRule="auto"/>
              <w:rPr>
                <w:b/>
                <w:bCs/>
                <w:color w:val="auto"/>
                <w:lang w:val="en-US"/>
              </w:rPr>
            </w:pPr>
            <w:r w:rsidRPr="00F30983">
              <w:rPr>
                <w:b/>
                <w:bCs/>
                <w:color w:val="auto"/>
                <w:lang w:val="en-US"/>
              </w:rPr>
              <w:t>Wind Onshore</w:t>
            </w:r>
          </w:p>
        </w:tc>
        <w:tc>
          <w:tcPr>
            <w:tcW w:w="0" w:type="auto"/>
            <w:hideMark/>
          </w:tcPr>
          <w:p w14:paraId="3318832D" w14:textId="77777777" w:rsidR="00F30983" w:rsidRPr="00F30983" w:rsidRDefault="00F30983" w:rsidP="00F30983">
            <w:pPr>
              <w:pStyle w:val="TableBody"/>
              <w:spacing w:line="240" w:lineRule="auto"/>
              <w:rPr>
                <w:b/>
                <w:bCs/>
                <w:color w:val="auto"/>
                <w:lang w:val="en-US"/>
              </w:rPr>
            </w:pPr>
            <w:r w:rsidRPr="00F30983">
              <w:rPr>
                <w:b/>
                <w:bCs/>
                <w:color w:val="auto"/>
                <w:lang w:val="en-US"/>
              </w:rPr>
              <w:t>$1,800–$2,600 /kW</w:t>
            </w:r>
          </w:p>
        </w:tc>
        <w:tc>
          <w:tcPr>
            <w:tcW w:w="0" w:type="auto"/>
            <w:hideMark/>
          </w:tcPr>
          <w:p w14:paraId="4E6D322F" w14:textId="77777777" w:rsidR="00F30983" w:rsidRPr="00F30983" w:rsidRDefault="00F30983" w:rsidP="00F30983">
            <w:pPr>
              <w:pStyle w:val="TableBody"/>
              <w:spacing w:line="240" w:lineRule="auto"/>
              <w:rPr>
                <w:b/>
                <w:bCs/>
                <w:color w:val="auto"/>
                <w:lang w:val="en-US"/>
              </w:rPr>
            </w:pPr>
            <w:r w:rsidRPr="00F30983">
              <w:rPr>
                <w:b/>
                <w:bCs/>
                <w:color w:val="auto"/>
                <w:lang w:val="en-US"/>
              </w:rPr>
              <w:t>1.5–2.5%</w:t>
            </w:r>
          </w:p>
        </w:tc>
        <w:tc>
          <w:tcPr>
            <w:tcW w:w="0" w:type="auto"/>
            <w:hideMark/>
          </w:tcPr>
          <w:p w14:paraId="4E2B10F0" w14:textId="77777777" w:rsidR="00F30983" w:rsidRPr="00F30983" w:rsidRDefault="00F30983" w:rsidP="00F30983">
            <w:pPr>
              <w:pStyle w:val="TableBody"/>
              <w:spacing w:line="240" w:lineRule="auto"/>
              <w:rPr>
                <w:b/>
                <w:bCs/>
                <w:color w:val="auto"/>
                <w:lang w:val="en-US"/>
              </w:rPr>
            </w:pPr>
            <w:r w:rsidRPr="00F30983">
              <w:rPr>
                <w:b/>
                <w:bCs/>
                <w:color w:val="auto"/>
                <w:lang w:val="en-US"/>
              </w:rPr>
              <w:t>$45–$70</w:t>
            </w:r>
          </w:p>
        </w:tc>
        <w:tc>
          <w:tcPr>
            <w:tcW w:w="0" w:type="auto"/>
            <w:hideMark/>
          </w:tcPr>
          <w:p w14:paraId="65359530" w14:textId="77777777" w:rsidR="00F30983" w:rsidRPr="00F30983" w:rsidRDefault="00F30983" w:rsidP="00F30983">
            <w:pPr>
              <w:pStyle w:val="TableBody"/>
              <w:spacing w:line="240" w:lineRule="auto"/>
              <w:rPr>
                <w:b/>
                <w:bCs/>
                <w:color w:val="auto"/>
                <w:lang w:val="en-US"/>
              </w:rPr>
            </w:pPr>
            <w:r w:rsidRPr="00F30983">
              <w:rPr>
                <w:b/>
                <w:bCs/>
                <w:color w:val="auto"/>
                <w:lang w:val="en-US"/>
              </w:rPr>
              <w:t>20–25 years</w:t>
            </w:r>
          </w:p>
        </w:tc>
      </w:tr>
      <w:tr w:rsidR="00F30983" w:rsidRPr="00F30983" w14:paraId="02DAD235" w14:textId="77777777" w:rsidTr="00F30983">
        <w:tc>
          <w:tcPr>
            <w:tcW w:w="0" w:type="auto"/>
            <w:hideMark/>
          </w:tcPr>
          <w:p w14:paraId="1C95CBA6" w14:textId="77777777" w:rsidR="00F30983" w:rsidRPr="00F30983" w:rsidRDefault="00F30983" w:rsidP="00F30983">
            <w:pPr>
              <w:pStyle w:val="TableBody"/>
              <w:spacing w:line="240" w:lineRule="auto"/>
              <w:rPr>
                <w:b/>
                <w:bCs/>
                <w:color w:val="auto"/>
                <w:lang w:val="en-US"/>
              </w:rPr>
            </w:pPr>
            <w:r w:rsidRPr="00F30983">
              <w:rPr>
                <w:b/>
                <w:bCs/>
                <w:color w:val="auto"/>
                <w:lang w:val="en-US"/>
              </w:rPr>
              <w:t>Li-ion Battery (4h BESS)</w:t>
            </w:r>
          </w:p>
        </w:tc>
        <w:tc>
          <w:tcPr>
            <w:tcW w:w="0" w:type="auto"/>
            <w:hideMark/>
          </w:tcPr>
          <w:p w14:paraId="39B258B3" w14:textId="77777777" w:rsidR="00F30983" w:rsidRPr="00F30983" w:rsidRDefault="00F30983" w:rsidP="00F30983">
            <w:pPr>
              <w:pStyle w:val="TableBody"/>
              <w:spacing w:line="240" w:lineRule="auto"/>
              <w:rPr>
                <w:b/>
                <w:bCs/>
                <w:color w:val="auto"/>
                <w:lang w:val="en-US"/>
              </w:rPr>
            </w:pPr>
            <w:r w:rsidRPr="00F30983">
              <w:rPr>
                <w:b/>
                <w:bCs/>
                <w:color w:val="auto"/>
                <w:lang w:val="en-US"/>
              </w:rPr>
              <w:t>$180–$320 /kWh</w:t>
            </w:r>
          </w:p>
        </w:tc>
        <w:tc>
          <w:tcPr>
            <w:tcW w:w="0" w:type="auto"/>
            <w:hideMark/>
          </w:tcPr>
          <w:p w14:paraId="0A01AA1D" w14:textId="77777777" w:rsidR="00F30983" w:rsidRPr="00F30983" w:rsidRDefault="00F30983" w:rsidP="00F30983">
            <w:pPr>
              <w:pStyle w:val="TableBody"/>
              <w:spacing w:line="240" w:lineRule="auto"/>
              <w:rPr>
                <w:b/>
                <w:bCs/>
                <w:color w:val="auto"/>
                <w:lang w:val="en-US"/>
              </w:rPr>
            </w:pPr>
            <w:r w:rsidRPr="00F30983">
              <w:rPr>
                <w:b/>
                <w:bCs/>
                <w:color w:val="auto"/>
                <w:lang w:val="en-US"/>
              </w:rPr>
              <w:t>1.0–2.0%</w:t>
            </w:r>
          </w:p>
        </w:tc>
        <w:tc>
          <w:tcPr>
            <w:tcW w:w="0" w:type="auto"/>
            <w:hideMark/>
          </w:tcPr>
          <w:p w14:paraId="7CE7E144" w14:textId="77777777" w:rsidR="00F30983" w:rsidRPr="00F30983" w:rsidRDefault="00F30983" w:rsidP="00F30983">
            <w:pPr>
              <w:pStyle w:val="TableBody"/>
              <w:spacing w:line="240" w:lineRule="auto"/>
              <w:rPr>
                <w:b/>
                <w:bCs/>
                <w:color w:val="auto"/>
                <w:lang w:val="en-US"/>
              </w:rPr>
            </w:pPr>
            <w:r w:rsidRPr="00F30983">
              <w:rPr>
                <w:b/>
                <w:bCs/>
                <w:color w:val="auto"/>
                <w:lang w:val="en-US"/>
              </w:rPr>
              <w:t>$80–$130</w:t>
            </w:r>
          </w:p>
        </w:tc>
        <w:tc>
          <w:tcPr>
            <w:tcW w:w="0" w:type="auto"/>
            <w:hideMark/>
          </w:tcPr>
          <w:p w14:paraId="66B9D986" w14:textId="77777777" w:rsidR="00F30983" w:rsidRPr="00F30983" w:rsidRDefault="00F30983" w:rsidP="00F30983">
            <w:pPr>
              <w:pStyle w:val="TableBody"/>
              <w:spacing w:line="240" w:lineRule="auto"/>
              <w:rPr>
                <w:b/>
                <w:bCs/>
                <w:color w:val="auto"/>
                <w:lang w:val="en-US"/>
              </w:rPr>
            </w:pPr>
            <w:r w:rsidRPr="00F30983">
              <w:rPr>
                <w:b/>
                <w:bCs/>
                <w:color w:val="auto"/>
                <w:lang w:val="en-US"/>
              </w:rPr>
              <w:t>15–20 years</w:t>
            </w:r>
          </w:p>
        </w:tc>
      </w:tr>
      <w:tr w:rsidR="00F30983" w:rsidRPr="00F30983" w14:paraId="60D2E6A5" w14:textId="77777777" w:rsidTr="00F30983">
        <w:tc>
          <w:tcPr>
            <w:tcW w:w="0" w:type="auto"/>
            <w:hideMark/>
          </w:tcPr>
          <w:p w14:paraId="1FBEFDA5" w14:textId="77777777" w:rsidR="00F30983" w:rsidRPr="00F30983" w:rsidRDefault="00F30983" w:rsidP="00F30983">
            <w:pPr>
              <w:pStyle w:val="TableBody"/>
              <w:spacing w:line="240" w:lineRule="auto"/>
              <w:rPr>
                <w:b/>
                <w:bCs/>
                <w:color w:val="auto"/>
                <w:lang w:val="en-US"/>
              </w:rPr>
            </w:pPr>
            <w:r w:rsidRPr="00F30983">
              <w:rPr>
                <w:b/>
                <w:bCs/>
                <w:color w:val="auto"/>
                <w:lang w:val="en-US"/>
              </w:rPr>
              <w:t>Diesel Generator</w:t>
            </w:r>
          </w:p>
        </w:tc>
        <w:tc>
          <w:tcPr>
            <w:tcW w:w="0" w:type="auto"/>
            <w:hideMark/>
          </w:tcPr>
          <w:p w14:paraId="7D1553DE" w14:textId="77777777" w:rsidR="00F30983" w:rsidRPr="00F30983" w:rsidRDefault="00F30983" w:rsidP="00F30983">
            <w:pPr>
              <w:pStyle w:val="TableBody"/>
              <w:spacing w:line="240" w:lineRule="auto"/>
              <w:rPr>
                <w:b/>
                <w:bCs/>
                <w:color w:val="auto"/>
                <w:lang w:val="en-US"/>
              </w:rPr>
            </w:pPr>
            <w:r w:rsidRPr="00F30983">
              <w:rPr>
                <w:b/>
                <w:bCs/>
                <w:color w:val="auto"/>
                <w:lang w:val="en-US"/>
              </w:rPr>
              <w:t>$400–$750 /kW</w:t>
            </w:r>
          </w:p>
        </w:tc>
        <w:tc>
          <w:tcPr>
            <w:tcW w:w="0" w:type="auto"/>
            <w:hideMark/>
          </w:tcPr>
          <w:p w14:paraId="363F73F2" w14:textId="77777777" w:rsidR="00F30983" w:rsidRPr="00F30983" w:rsidRDefault="00F30983" w:rsidP="00F30983">
            <w:pPr>
              <w:pStyle w:val="TableBody"/>
              <w:spacing w:line="240" w:lineRule="auto"/>
              <w:rPr>
                <w:b/>
                <w:bCs/>
                <w:color w:val="auto"/>
                <w:lang w:val="en-US"/>
              </w:rPr>
            </w:pPr>
            <w:r w:rsidRPr="00F30983">
              <w:rPr>
                <w:b/>
                <w:bCs/>
                <w:color w:val="auto"/>
                <w:lang w:val="en-US"/>
              </w:rPr>
              <w:t>2.0–3.5%</w:t>
            </w:r>
          </w:p>
        </w:tc>
        <w:tc>
          <w:tcPr>
            <w:tcW w:w="0" w:type="auto"/>
            <w:hideMark/>
          </w:tcPr>
          <w:p w14:paraId="3B4FCDFA" w14:textId="77777777" w:rsidR="00F30983" w:rsidRPr="00F30983" w:rsidRDefault="00F30983" w:rsidP="00F30983">
            <w:pPr>
              <w:pStyle w:val="TableBody"/>
              <w:spacing w:line="240" w:lineRule="auto"/>
              <w:rPr>
                <w:b/>
                <w:bCs/>
                <w:color w:val="auto"/>
                <w:lang w:val="en-US"/>
              </w:rPr>
            </w:pPr>
            <w:r w:rsidRPr="00F30983">
              <w:rPr>
                <w:b/>
                <w:bCs/>
                <w:color w:val="auto"/>
                <w:lang w:val="en-US"/>
              </w:rPr>
              <w:t>Fuel dependent</w:t>
            </w:r>
          </w:p>
        </w:tc>
        <w:tc>
          <w:tcPr>
            <w:tcW w:w="0" w:type="auto"/>
            <w:hideMark/>
          </w:tcPr>
          <w:p w14:paraId="7F9DB919" w14:textId="77777777" w:rsidR="00F30983" w:rsidRPr="00F30983" w:rsidRDefault="00F30983" w:rsidP="00F30983">
            <w:pPr>
              <w:pStyle w:val="TableBody"/>
              <w:spacing w:line="240" w:lineRule="auto"/>
              <w:rPr>
                <w:b/>
                <w:bCs/>
                <w:color w:val="auto"/>
                <w:lang w:val="en-US"/>
              </w:rPr>
            </w:pPr>
            <w:r w:rsidRPr="00F30983">
              <w:rPr>
                <w:b/>
                <w:bCs/>
                <w:color w:val="auto"/>
                <w:lang w:val="en-US"/>
              </w:rPr>
              <w:t>20–25 years</w:t>
            </w:r>
          </w:p>
        </w:tc>
      </w:tr>
      <w:tr w:rsidR="00F30983" w:rsidRPr="00F30983" w14:paraId="647ADA2B" w14:textId="77777777" w:rsidTr="00F30983">
        <w:tc>
          <w:tcPr>
            <w:tcW w:w="0" w:type="auto"/>
            <w:hideMark/>
          </w:tcPr>
          <w:p w14:paraId="15E73DCE" w14:textId="77777777" w:rsidR="00F30983" w:rsidRPr="00F30983" w:rsidRDefault="00F30983" w:rsidP="00F30983">
            <w:pPr>
              <w:pStyle w:val="TableBody"/>
              <w:spacing w:line="240" w:lineRule="auto"/>
              <w:rPr>
                <w:b/>
                <w:bCs/>
                <w:color w:val="auto"/>
                <w:lang w:val="en-US"/>
              </w:rPr>
            </w:pPr>
            <w:r w:rsidRPr="00F30983">
              <w:rPr>
                <w:b/>
                <w:bCs/>
                <w:color w:val="auto"/>
                <w:lang w:val="en-US"/>
              </w:rPr>
              <w:t>H2 Fuel Cell</w:t>
            </w:r>
          </w:p>
        </w:tc>
        <w:tc>
          <w:tcPr>
            <w:tcW w:w="0" w:type="auto"/>
            <w:hideMark/>
          </w:tcPr>
          <w:p w14:paraId="633AD6F5" w14:textId="77777777" w:rsidR="00F30983" w:rsidRPr="00F30983" w:rsidRDefault="00F30983" w:rsidP="00F30983">
            <w:pPr>
              <w:pStyle w:val="TableBody"/>
              <w:spacing w:line="240" w:lineRule="auto"/>
              <w:rPr>
                <w:b/>
                <w:bCs/>
                <w:color w:val="auto"/>
                <w:lang w:val="en-US"/>
              </w:rPr>
            </w:pPr>
            <w:r w:rsidRPr="00F30983">
              <w:rPr>
                <w:b/>
                <w:bCs/>
                <w:color w:val="auto"/>
                <w:lang w:val="en-US"/>
              </w:rPr>
              <w:t>$1,600–$3,200 /kW</w:t>
            </w:r>
          </w:p>
        </w:tc>
        <w:tc>
          <w:tcPr>
            <w:tcW w:w="0" w:type="auto"/>
            <w:hideMark/>
          </w:tcPr>
          <w:p w14:paraId="63556E03" w14:textId="77777777" w:rsidR="00F30983" w:rsidRPr="00F30983" w:rsidRDefault="00F30983" w:rsidP="00F30983">
            <w:pPr>
              <w:pStyle w:val="TableBody"/>
              <w:spacing w:line="240" w:lineRule="auto"/>
              <w:rPr>
                <w:b/>
                <w:bCs/>
                <w:color w:val="auto"/>
                <w:lang w:val="en-US"/>
              </w:rPr>
            </w:pPr>
            <w:r w:rsidRPr="00F30983">
              <w:rPr>
                <w:b/>
                <w:bCs/>
                <w:color w:val="auto"/>
                <w:lang w:val="en-US"/>
              </w:rPr>
              <w:t>3.0–5.0%</w:t>
            </w:r>
          </w:p>
        </w:tc>
        <w:tc>
          <w:tcPr>
            <w:tcW w:w="0" w:type="auto"/>
            <w:hideMark/>
          </w:tcPr>
          <w:p w14:paraId="5F6A5057" w14:textId="77777777" w:rsidR="00F30983" w:rsidRPr="00F30983" w:rsidRDefault="00F30983" w:rsidP="00F30983">
            <w:pPr>
              <w:pStyle w:val="TableBody"/>
              <w:spacing w:line="240" w:lineRule="auto"/>
              <w:rPr>
                <w:b/>
                <w:bCs/>
                <w:color w:val="auto"/>
                <w:lang w:val="en-US"/>
              </w:rPr>
            </w:pPr>
            <w:r w:rsidRPr="00F30983">
              <w:rPr>
                <w:b/>
                <w:bCs/>
                <w:color w:val="auto"/>
                <w:lang w:val="en-US"/>
              </w:rPr>
              <w:t>$140–$220</w:t>
            </w:r>
          </w:p>
        </w:tc>
        <w:tc>
          <w:tcPr>
            <w:tcW w:w="0" w:type="auto"/>
            <w:hideMark/>
          </w:tcPr>
          <w:p w14:paraId="0C98FEFD" w14:textId="77777777" w:rsidR="00F30983" w:rsidRPr="00F30983" w:rsidRDefault="00F30983" w:rsidP="00F30983">
            <w:pPr>
              <w:pStyle w:val="TableBody"/>
              <w:spacing w:line="240" w:lineRule="auto"/>
              <w:rPr>
                <w:b/>
                <w:bCs/>
                <w:color w:val="auto"/>
                <w:lang w:val="en-US"/>
              </w:rPr>
            </w:pPr>
            <w:r w:rsidRPr="00F30983">
              <w:rPr>
                <w:b/>
                <w:bCs/>
                <w:color w:val="auto"/>
                <w:lang w:val="en-US"/>
              </w:rPr>
              <w:t>12–15 years</w:t>
            </w:r>
          </w:p>
        </w:tc>
      </w:tr>
      <w:tr w:rsidR="00F30983" w:rsidRPr="00F30983" w14:paraId="380A59EB" w14:textId="77777777" w:rsidTr="00F30983">
        <w:tc>
          <w:tcPr>
            <w:tcW w:w="0" w:type="auto"/>
            <w:hideMark/>
          </w:tcPr>
          <w:p w14:paraId="58108E8B" w14:textId="77777777" w:rsidR="00F30983" w:rsidRPr="00F30983" w:rsidRDefault="00F30983" w:rsidP="00F30983">
            <w:pPr>
              <w:pStyle w:val="TableBody"/>
              <w:spacing w:line="240" w:lineRule="auto"/>
              <w:rPr>
                <w:b/>
                <w:bCs/>
                <w:color w:val="auto"/>
                <w:lang w:val="en-US"/>
              </w:rPr>
            </w:pPr>
            <w:r w:rsidRPr="00F30983">
              <w:rPr>
                <w:b/>
                <w:bCs/>
                <w:color w:val="auto"/>
                <w:lang w:val="en-US"/>
              </w:rPr>
              <w:t>Grid Electricity</w:t>
            </w:r>
          </w:p>
        </w:tc>
        <w:tc>
          <w:tcPr>
            <w:tcW w:w="0" w:type="auto"/>
            <w:hideMark/>
          </w:tcPr>
          <w:p w14:paraId="0E394C0E" w14:textId="77777777" w:rsidR="00F30983" w:rsidRPr="00F30983" w:rsidRDefault="00F30983" w:rsidP="00F30983">
            <w:pPr>
              <w:pStyle w:val="TableBody"/>
              <w:spacing w:line="240" w:lineRule="auto"/>
              <w:rPr>
                <w:b/>
                <w:bCs/>
                <w:color w:val="auto"/>
                <w:lang w:val="en-US"/>
              </w:rPr>
            </w:pPr>
            <w:r w:rsidRPr="00F30983">
              <w:rPr>
                <w:b/>
                <w:bCs/>
                <w:color w:val="auto"/>
                <w:lang w:val="en-US"/>
              </w:rPr>
              <w:t>N/A</w:t>
            </w:r>
          </w:p>
        </w:tc>
        <w:tc>
          <w:tcPr>
            <w:tcW w:w="0" w:type="auto"/>
            <w:hideMark/>
          </w:tcPr>
          <w:p w14:paraId="47277B98" w14:textId="77777777" w:rsidR="00F30983" w:rsidRPr="00F30983" w:rsidRDefault="00F30983" w:rsidP="00F30983">
            <w:pPr>
              <w:pStyle w:val="TableBody"/>
              <w:spacing w:line="240" w:lineRule="auto"/>
              <w:rPr>
                <w:b/>
                <w:bCs/>
                <w:color w:val="auto"/>
                <w:lang w:val="en-US"/>
              </w:rPr>
            </w:pPr>
            <w:r w:rsidRPr="00F30983">
              <w:rPr>
                <w:b/>
                <w:bCs/>
                <w:color w:val="auto"/>
                <w:lang w:val="en-US"/>
              </w:rPr>
              <w:t>N/A</w:t>
            </w:r>
          </w:p>
        </w:tc>
        <w:tc>
          <w:tcPr>
            <w:tcW w:w="0" w:type="auto"/>
            <w:hideMark/>
          </w:tcPr>
          <w:p w14:paraId="50BD4D23" w14:textId="77777777" w:rsidR="00F30983" w:rsidRPr="00F30983" w:rsidRDefault="00F30983" w:rsidP="00F30983">
            <w:pPr>
              <w:pStyle w:val="TableBody"/>
              <w:spacing w:line="240" w:lineRule="auto"/>
              <w:rPr>
                <w:b/>
                <w:bCs/>
                <w:color w:val="auto"/>
                <w:lang w:val="en-US"/>
              </w:rPr>
            </w:pPr>
            <w:r w:rsidRPr="00F30983">
              <w:rPr>
                <w:b/>
                <w:bCs/>
                <w:color w:val="auto"/>
                <w:lang w:val="en-US"/>
              </w:rPr>
              <w:t>$85–$160</w:t>
            </w:r>
          </w:p>
        </w:tc>
        <w:tc>
          <w:tcPr>
            <w:tcW w:w="0" w:type="auto"/>
            <w:hideMark/>
          </w:tcPr>
          <w:p w14:paraId="0945062B" w14:textId="77777777" w:rsidR="00F30983" w:rsidRPr="00F30983" w:rsidRDefault="00F30983" w:rsidP="00F30983">
            <w:pPr>
              <w:pStyle w:val="TableBody"/>
              <w:spacing w:line="240" w:lineRule="auto"/>
              <w:rPr>
                <w:b/>
                <w:bCs/>
                <w:color w:val="auto"/>
                <w:lang w:val="en-US"/>
              </w:rPr>
            </w:pPr>
            <w:r w:rsidRPr="00F30983">
              <w:rPr>
                <w:b/>
                <w:bCs/>
                <w:color w:val="auto"/>
                <w:lang w:val="en-US"/>
              </w:rPr>
              <w:t>N/A</w:t>
            </w:r>
          </w:p>
        </w:tc>
      </w:tr>
    </w:tbl>
    <w:p w14:paraId="15A054B7" w14:textId="77777777" w:rsidR="00F30983" w:rsidRPr="00E87A9C" w:rsidRDefault="00F30983" w:rsidP="00F30983">
      <w:pPr>
        <w:pStyle w:val="Heading20"/>
        <w:rPr>
          <w:i w:val="0"/>
          <w:iCs/>
          <w:color w:val="auto"/>
        </w:rPr>
      </w:pPr>
    </w:p>
    <w:p w14:paraId="5E4E0394" w14:textId="77777777" w:rsidR="00CF6F72" w:rsidRPr="00163578" w:rsidRDefault="00CF6F72" w:rsidP="00AF6E46">
      <w:pPr>
        <w:spacing w:after="120"/>
        <w:ind w:firstLine="480"/>
      </w:pPr>
    </w:p>
    <w:p w14:paraId="006518C1" w14:textId="51F1CF12" w:rsidR="00354B1B" w:rsidRDefault="00354B1B" w:rsidP="00866BB5">
      <w:pPr>
        <w:spacing w:after="120"/>
        <w:ind w:firstLine="480"/>
      </w:pPr>
      <w:r>
        <w:t>The U.S. Inflation Reduction Act (IRA) and the subsequent extensions into 2025 and 2026 offer substantial financial benefits which dramatically enhance project economics. For solar, energy storage systems (BESS), and qualifying hydrogen production equipment, the Investment Tax Credit (ITC) of 30 percent baseline of eligible project costs effectively decreases capital expenditure by about 30 percent</w:t>
      </w:r>
      <w:r w:rsidR="004E7936">
        <w:fldChar w:fldCharType="begin"/>
      </w:r>
      <w:r w:rsidR="00866BB5">
        <w:instrText xml:space="preserve"> ADDIN ZOTERO_ITEM CSL_CITATION {"citationID":"HM1dLL2m","properties":{"unsorted":false,"formattedCitation":"[149]","plainCitation":"[149]","noteIndex":0},"citationItems":[{"id":2133,"uris":["http://zotero.org/users/9870935/items/DBM7MVTI"],"itemData":{"id":2133,"type":"post-weblog","title":"Summary of Inflation Reduction Act provisions related to renewable energy","URL":"https://www.epa.gov/green-power-markets/summary-inflation-reduction-act-provisions-related-renewable-energy","author":[{"family":"EPA","given":""}]}}],"schema":"https://github.com/citation-style-language/schema/raw/master/csl-citation.json"} </w:instrText>
      </w:r>
      <w:r w:rsidR="004E7936">
        <w:fldChar w:fldCharType="separate"/>
      </w:r>
      <w:r w:rsidR="00866BB5" w:rsidRPr="00866BB5">
        <w:t>[149]</w:t>
      </w:r>
      <w:r w:rsidR="004E7936">
        <w:fldChar w:fldCharType="end"/>
      </w:r>
      <w:r>
        <w:t>. The ITC can be combined with domestic content bonuses, energy community stackability, and accelerated depreciation under MACRS (5-year recovery for solar and battery storage, 7-year for wind), which can boost the effective ITC to 40 to 50 percent of total project cost.</w:t>
      </w:r>
    </w:p>
    <w:p w14:paraId="6E43C1E6" w14:textId="0610602D" w:rsidR="00581E8E" w:rsidRPr="00925F1B" w:rsidRDefault="00354B1B" w:rsidP="00866BB5">
      <w:pPr>
        <w:spacing w:after="120"/>
        <w:ind w:firstLine="480"/>
      </w:pPr>
      <w:r>
        <w:t>By applying an improved discount rate of 7.5</w:t>
      </w:r>
      <w:r w:rsidR="00775467">
        <w:t xml:space="preserve">% </w:t>
      </w:r>
      <w:r>
        <w:t>(due to the sustained higher macroeconomic interest rate) and central cost estimates, payback periods for hybrid renewable systems using stacked ITCs range from 4 to 8 years, while without federal incentives, payback periods are between 9 and 16 years</w:t>
      </w:r>
      <w:r w:rsidR="00B11F1D">
        <w:fldChar w:fldCharType="begin"/>
      </w:r>
      <w:r w:rsidR="00866BB5">
        <w:instrText xml:space="preserve"> ADDIN ZOTERO_ITEM CSL_CITATION {"citationID":"PgzIkKnz","properties":{"unsorted":false,"formattedCitation":"[150]","plainCitation":"[150]","noteIndex":0},"citationItems":[{"id":2135,"uris":["http://zotero.org/users/9870935/items/LS7EG3UL"],"itemData":{"id":2135,"type":"article-journal","language":"en","source":"Zotero","title":"Characteristics of Power Plants Seeking Transmission Interconnection As of the End of 2024","author":[{"family":"Rand","given":"Joseph"},{"family":"Manderlink","given":"Nick"},{"family":"Zhang","given":"Steven"},{"family":"Talley","given":"Chris"},{"family":"Gorman","given":"Will"},{"family":"Seel","given":"Joachim"},{"family":"Kemp","given":"Julie Mulvaney"},{"family":"Jeong","given":"Seongeun"},{"family":"Kahrl","given":"Fritz"}]}}],"schema":"https://github.com/citation-style-language/schema/raw/master/csl-citation.json"} </w:instrText>
      </w:r>
      <w:r w:rsidR="00B11F1D">
        <w:fldChar w:fldCharType="separate"/>
      </w:r>
      <w:r w:rsidR="00866BB5" w:rsidRPr="00866BB5">
        <w:t>[150]</w:t>
      </w:r>
      <w:r w:rsidR="00B11F1D">
        <w:fldChar w:fldCharType="end"/>
      </w:r>
      <w:r>
        <w:t>.</w:t>
      </w:r>
    </w:p>
    <w:p w14:paraId="348C5F1B" w14:textId="01AB33ED" w:rsidR="0019198D" w:rsidRDefault="0019198D" w:rsidP="0019198D">
      <w:pPr>
        <w:pStyle w:val="Heading20"/>
        <w:rPr>
          <w:color w:val="auto"/>
        </w:rPr>
      </w:pPr>
      <w:r>
        <w:rPr>
          <w:color w:val="auto"/>
        </w:rPr>
        <w:t>7.9. Reliability and Resilience Metrics</w:t>
      </w:r>
    </w:p>
    <w:p w14:paraId="41663005" w14:textId="7AFEE8B5" w:rsidR="00DB0B99" w:rsidRPr="00DB0B99" w:rsidRDefault="00DB0B99" w:rsidP="00866BB5">
      <w:pPr>
        <w:spacing w:after="120"/>
        <w:ind w:firstLine="480"/>
      </w:pPr>
      <w:r w:rsidRPr="00DB0B99">
        <w:t>The framework sets reliability objectives consistent with the worth of AI computing workloads. Availability is the main reliability metric, representing the percentage of time that the system provides adequate power to keep all critical computing functions running. Target availability is 99.99% or 52.6 minutes per year</w:t>
      </w:r>
      <w:r w:rsidR="00762DCD">
        <w:fldChar w:fldCharType="begin"/>
      </w:r>
      <w:r w:rsidR="00866BB5">
        <w:instrText xml:space="preserve"> ADDIN ZOTERO_ITEM CSL_CITATION {"citationID":"U6VB0uq4","properties":{"unsorted":false,"formattedCitation":"[151]","plainCitation":"[151]","noteIndex":0},"citationItems":[{"id":2136,"uris":["http://zotero.org/users/9870935/items/UMQBEY7U"],"itemData":{"id":2136,"type":"article-journal","container-title":"Circular Economy and Sustainability","DOI":"10.1007/s43615-022-00191-9","ISSN":"2730-597X, 2730-5988","issue":"1","journalAbbreviation":"Circ.Econ.Sust.","language":"en","page":"173-197","source":"DOI.org (Crossref)","title":"Tools Towards the Sustainability and Circularity of Data Centers","volume":"3","author":[{"family":"Hoosain","given":"Mohamed Sameer"},{"family":"Paul","given":"Babu Sena"},{"family":"Kass","given":"Susanna"},{"family":"Ramakrishna","given":"Seeram"}],"issued":{"date-parts":[["2023",3]]}}}],"schema":"https://github.com/citation-style-language/schema/raw/master/csl-citation.json"} </w:instrText>
      </w:r>
      <w:r w:rsidR="00762DCD">
        <w:fldChar w:fldCharType="separate"/>
      </w:r>
      <w:r w:rsidR="00866BB5" w:rsidRPr="00866BB5">
        <w:t>[151]</w:t>
      </w:r>
      <w:r w:rsidR="00762DCD">
        <w:fldChar w:fldCharType="end"/>
      </w:r>
      <w:r w:rsidRPr="00DB0B99">
        <w:t>. A complementary metric that quantifies the expected frequency of insufficient "generation events" is Loss of Load Expectation (LOLE), which is measured in hours per year. A data center aiming for 99.99</w:t>
      </w:r>
      <w:r w:rsidR="008257C1">
        <w:t xml:space="preserve">% </w:t>
      </w:r>
      <w:r w:rsidRPr="00DB0B99">
        <w:t>availability would expect to experience around 0.1 hours of LOLE per year.</w:t>
      </w:r>
    </w:p>
    <w:p w14:paraId="07FDFD00" w14:textId="3DDD5F0A" w:rsidR="004B2C96" w:rsidRPr="00DB0B99" w:rsidRDefault="00DB0B99" w:rsidP="00866BB5">
      <w:pPr>
        <w:spacing w:after="120"/>
        <w:ind w:firstLine="480"/>
      </w:pPr>
      <w:r w:rsidRPr="00DB0B99">
        <w:t>Energy resilience represents the period of time (typically in hours) the facility can sustain its operations during a full grid outage using stored energy, and is crucial to disaster preparedness. If normal load conditions are used, a data center with 8h of battery storage and 72h of diesel fuel can operate for more than 80h if the power grid fails</w:t>
      </w:r>
      <w:r w:rsidR="00A91417">
        <w:fldChar w:fldCharType="begin"/>
      </w:r>
      <w:r w:rsidR="00866BB5">
        <w:instrText xml:space="preserve"> ADDIN ZOTERO_ITEM CSL_CITATION {"citationID":"hNx0eRYE","properties":{"unsorted":false,"formattedCitation":"[152]","plainCitation":"[152]","noteIndex":0},"citationItems":[{"id":2138,"uris":["http://zotero.org/users/9870935/items/S7ZKHMNS"],"itemData":{"id":2138,"type":"document","title":"NFPA 110 Type 10 Requirements for Emergency Power Systems","URL":"https://www.cummins.com/sites/default/files/2019-03/PowerHour_NFPA110.pdf","author":[{"family":"NFPA","given":""}]}}],"schema":"https://github.com/citation-style-language/schema/raw/master/csl-citation.json"} </w:instrText>
      </w:r>
      <w:r w:rsidR="00A91417">
        <w:fldChar w:fldCharType="separate"/>
      </w:r>
      <w:r w:rsidR="00866BB5" w:rsidRPr="00866BB5">
        <w:t>[152]</w:t>
      </w:r>
      <w:r w:rsidR="00A91417">
        <w:fldChar w:fldCharType="end"/>
      </w:r>
      <w:r w:rsidRPr="00DB0B99">
        <w:t>. The N-1 contingency criterion states that if any one component, such as a generator, a battery string or a grid feed is lost, then the system is still reliable.</w:t>
      </w:r>
    </w:p>
    <w:p w14:paraId="72CFEECC" w14:textId="6DFD1874" w:rsidR="00426773" w:rsidRDefault="00426773" w:rsidP="00426773">
      <w:pPr>
        <w:pStyle w:val="Heading20"/>
        <w:rPr>
          <w:color w:val="auto"/>
        </w:rPr>
      </w:pPr>
      <w:r>
        <w:rPr>
          <w:color w:val="auto"/>
        </w:rPr>
        <w:t xml:space="preserve">7.10. </w:t>
      </w:r>
      <w:r w:rsidR="005E1042">
        <w:rPr>
          <w:color w:val="auto"/>
        </w:rPr>
        <w:t>Carbon Accounting and Sustainability</w:t>
      </w:r>
    </w:p>
    <w:p w14:paraId="3F5A64EC" w14:textId="0BF78DB9" w:rsidR="005E1042" w:rsidRPr="005E1042" w:rsidRDefault="005E1042" w:rsidP="00866BB5">
      <w:pPr>
        <w:spacing w:after="120"/>
        <w:ind w:firstLine="480"/>
      </w:pPr>
      <w:r w:rsidRPr="005E1042">
        <w:t>The framework covers the full scope of the Greenhouse Gas Protocol. Scope 1 emissions include direct emissions from burning fuel in backup generators and fuel cells, usually making up less than 1</w:t>
      </w:r>
      <w:r w:rsidR="006D435C">
        <w:t xml:space="preserve">% </w:t>
      </w:r>
      <w:r w:rsidRPr="005E1042">
        <w:t>of the total emissions from a facility with low usage of its back-up generators</w:t>
      </w:r>
      <w:r w:rsidR="00E2506A">
        <w:fldChar w:fldCharType="begin"/>
      </w:r>
      <w:r w:rsidR="00866BB5">
        <w:instrText xml:space="preserve"> ADDIN ZOTERO_ITEM CSL_CITATION {"citationID":"4f9aWF2j","properties":{"unsorted":false,"formattedCitation":"[153]","plainCitation":"[153]","noteIndex":0},"citationItems":[{"id":2139,"uris":["http://zotero.org/users/9870935/items/MZBJCIBN"],"itemData":{"id":2139,"type":"article-journal","abstract":"Climate-related reporting has become an integral part of firms’ disclosure. In this context, firms’ greenhouse gas (GHG) emissions are of major importance to stakeholders and management. For measuring GHG emissions, a global standard has been established with the GHG Protocol. This standard contains an important accounting policy option that significantly affects firms’ reported emissions by allowing them to use different consolidation approaches: the equity share, operational control, and financial control approach. However, there is limited evidence on firms’ use of these approaches, resulting in a lack of foundation for discussing the approaches’ sufficiency to support achieving environmental sustainability. Therefore, this paper aims to close this research gap by empirically investigating the approaches’ relevance using 16,604 firm-year observations between 2009 and 2019. We demonstrate that the operational control approach is used by most firms and that its predominance substantially increased during the last decade. However, the predominant use of the operational control approach is not fully compatible with societal and political sustainability goals as expressed in recent sustainability regulations. Therefore, policy makers need to critically assess whether current GHG reporting supports achieving their goals. Furthermore, we develop a research agenda to encourage future researchers to contribute to improvements in GHG reporting.","container-title":"Sustainability","DOI":"10.3390/su15020994","ISSN":"2071-1050","issue":"2","journalAbbreviation":"Sustainability","language":"en","page":"994","source":"DOI.org (Crossref)","title":"Accounting for Carbon Emissions—Current State of Sustainability Reporting Practice under the GHG Protocol","volume":"15","author":[{"family":"Kasperzak","given":"Rainer"},{"family":"Kureljusic","given":"Marko"},{"family":"Reisch","given":"Lucas"},{"family":"Thies","given":"Simon"}],"issued":{"date-parts":[["2023",1,5]]}}}],"schema":"https://github.com/citation-style-language/schema/raw/master/csl-citation.json"} </w:instrText>
      </w:r>
      <w:r w:rsidR="00E2506A">
        <w:fldChar w:fldCharType="separate"/>
      </w:r>
      <w:r w:rsidR="00866BB5" w:rsidRPr="00866BB5">
        <w:t>[153]</w:t>
      </w:r>
      <w:r w:rsidR="00E2506A">
        <w:fldChar w:fldCharType="end"/>
      </w:r>
      <w:r w:rsidRPr="005E1042">
        <w:t>. The largest are Scope 2 emissions, purchased electricity, and they are the first to be reduced by purchasing renewables. These are known as scope 3 emissions, representing around 5 to 10 grams of CO2 per kWh over the asset's lifetime and can be mitigated by implementing circular economy approaches, such as embodied carbon in equipment manufacturing or end-of-life disposal, respectively</w:t>
      </w:r>
      <w:r w:rsidR="00984CA9">
        <w:fldChar w:fldCharType="begin"/>
      </w:r>
      <w:r w:rsidR="00866BB5">
        <w:instrText xml:space="preserve"> ADDIN ZOTERO_ITEM CSL_CITATION {"citationID":"mW0ul4pI","properties":{"unsorted":false,"formattedCitation":"[154]","plainCitation":"[154]","noteIndex":0},"citationItems":[{"id":2141,"uris":["http://zotero.org/users/9870935/items/G3GVLHVX"],"itemData":{"id":2141,"type":"article-journal","container-title":"Renewable and Sustainable Energy Reviews","DOI":"10.1016/j.rser.2026.116861","ISSN":"13640321","journalAbbreviation":"Renewable and Sustainable Energy Reviews","language":"en","page":"116861","source":"DOI.org (Crossref)","title":"Reviewing the socio-technical dynamics of AI, data centers and digitalization on energy and the environment","volume":"234","author":[{"family":"Kim","given":"Jinsoo"},{"family":"Kim","given":"Jihyo"},{"family":"Sovacool","given":"Benjamin K."},{"family":"Griffiths","given":"Steve"},{"family":"Bazilian","given":"Morgan"},{"family":"Creutzig","given":"Felix"},{"family":"Furszyfer Del Rio","given":"Dylan D."},{"family":"Agrawala","given":"Matthew"},{"family":"Choi","given":"Minki"},{"family":"Debnath","given":"Ramit"}],"issued":{"date-parts":[["2026",7]]}}}],"schema":"https://github.com/citation-style-language/schema/raw/master/csl-citation.json"} </w:instrText>
      </w:r>
      <w:r w:rsidR="00984CA9">
        <w:fldChar w:fldCharType="separate"/>
      </w:r>
      <w:r w:rsidR="00866BB5" w:rsidRPr="00866BB5">
        <w:t>[154]</w:t>
      </w:r>
      <w:r w:rsidR="00984CA9">
        <w:fldChar w:fldCharType="end"/>
      </w:r>
      <w:r w:rsidRPr="005E1042">
        <w:t>.</w:t>
      </w:r>
    </w:p>
    <w:p w14:paraId="148FE59F" w14:textId="3B670937" w:rsidR="005E1042" w:rsidRPr="005E1042" w:rsidRDefault="005E1042" w:rsidP="00F81B79">
      <w:pPr>
        <w:spacing w:after="120"/>
        <w:ind w:firstLine="480"/>
      </w:pPr>
      <w:r w:rsidRPr="005E1042">
        <w:t xml:space="preserve">The 24/7 Carbon-Free Energy (CFE) standard, which calls for matching carbon-free generation time to electricity consumption time, is considered the most stringent sustainability measure and is being embraced by many of the industry's largest operators, </w:t>
      </w:r>
      <w:r w:rsidRPr="005E1042">
        <w:lastRenderedPageBreak/>
        <w:t>such as Google and Microsoft</w:t>
      </w:r>
      <w:r w:rsidR="00F81B79">
        <w:fldChar w:fldCharType="begin"/>
      </w:r>
      <w:r w:rsidR="00F81B79">
        <w:instrText xml:space="preserve"> ADDIN ZOTERO_ITEM CSL_CITATION {"citationID":"I9rd0fZt","properties":{"unsorted":false,"formattedCitation":"[6]","plainCitation":"[6]","noteIndex":0},"citationItems":[{"id":1903,"uris":["http://zotero.org/users/9870935/items/QAA9ZM27"],"itemData":{"id":1903,"type":"article-journal","container-title":"Resources, Conservation and Recycling","DOI":"10.1016/j.resconrec.2025.108670","ISSN":"09213449","journalAbbreviation":"Resources, Conservation and Recycling","language":"en","page":"108670","source":"DOI.org (Crossref)","title":"Assessing the carbon footprint of language models: Towards sustainability in AI","title-short":"Assessing the carbon footprint of language models","volume":"226","author":[{"family":"Jeanquartier","given":"Fleur"},{"family":"Jean-Quartier","given":"Claire"},{"family":"Rieder","given":"Paul"},{"family":"Misirlić","given":"Vedad"},{"family":"Pasero","given":"Christian"},{"family":"Hohensinner","given":"Richard"},{"family":"Müller","given":"Heimo"},{"family":"Holzinger","given":"Andreas"}],"issued":{"date-parts":[["2026",2]]}}}],"schema":"https://github.com/citation-style-language/schema/raw/master/csl-citation.json"} </w:instrText>
      </w:r>
      <w:r w:rsidR="00F81B79">
        <w:fldChar w:fldCharType="separate"/>
      </w:r>
      <w:r w:rsidR="00F81B79" w:rsidRPr="00F81B79">
        <w:t>[6]</w:t>
      </w:r>
      <w:r w:rsidR="00F81B79">
        <w:fldChar w:fldCharType="end"/>
      </w:r>
      <w:r w:rsidRPr="005E1042">
        <w:t>. 24/7 CFE will require the implementation of sophisticated forecasts and control systems that can optimise energy dispatch every hour, along with clear procurement of time-matched renewable energy via PPAs or on-site generation. The framework suggests that annual renewable energy matching should be implemented first, followed by hourly matching when the control systems and the market mechanisms are advanced.</w:t>
      </w:r>
    </w:p>
    <w:p w14:paraId="6BB99EAE" w14:textId="31970997" w:rsidR="001A3F06" w:rsidRDefault="001A3F06" w:rsidP="001A3F06">
      <w:pPr>
        <w:pStyle w:val="Heading10"/>
        <w:rPr>
          <w:color w:val="auto"/>
        </w:rPr>
      </w:pPr>
      <w:r>
        <w:rPr>
          <w:color w:val="auto"/>
          <w:lang w:eastAsia="zh-CN"/>
        </w:rPr>
        <w:t xml:space="preserve">8. </w:t>
      </w:r>
      <w:r>
        <w:rPr>
          <w:color w:val="auto"/>
        </w:rPr>
        <w:t>Case Studies: Real-World Deployments</w:t>
      </w:r>
    </w:p>
    <w:p w14:paraId="6D8F8E8F" w14:textId="77777777" w:rsidR="00C3415F" w:rsidRDefault="00C3415F" w:rsidP="00C3415F">
      <w:pPr>
        <w:spacing w:after="120"/>
        <w:ind w:firstLine="480"/>
      </w:pPr>
      <w:r>
        <w:t>This chapter examines the renewable energy strategies of five leading technology companies, extracting lessons learned and validating the proposed framework against real-world implementations. Each case study provides detailed technical specifications, performance metrics, financial data, and strategic insights.</w:t>
      </w:r>
    </w:p>
    <w:p w14:paraId="781EB42B" w14:textId="51482166" w:rsidR="00A75EF8" w:rsidRDefault="00A75EF8" w:rsidP="00A75EF8">
      <w:pPr>
        <w:pStyle w:val="Heading20"/>
        <w:rPr>
          <w:color w:val="auto"/>
        </w:rPr>
      </w:pPr>
      <w:r>
        <w:rPr>
          <w:color w:val="auto"/>
        </w:rPr>
        <w:t>8.1. Google Data Centers: Renewable Energy Matching</w:t>
      </w:r>
    </w:p>
    <w:p w14:paraId="16F88AED" w14:textId="061D88C7" w:rsidR="00B40CF9" w:rsidRPr="00B40CF9" w:rsidRDefault="00B40CF9" w:rsidP="00E92130">
      <w:pPr>
        <w:spacing w:after="120"/>
        <w:ind w:firstLine="480"/>
      </w:pPr>
      <w:r w:rsidRPr="00B40CF9">
        <w:t xml:space="preserve">Google has over 100 data center facilities worldwide and has set the most aggressive renewable energy goal in the technology industry: 24/7 carbon-free energy (CFE) for all local data center electricity grids where it operates by 2030. Google's aggressive purchasing approach has resulted in a growing clean energy portfolio, with the company now having over 22 GW of total renewable energy contracts through a global portfolio of more than 170 power purchase agreements (PPAs) that include utility-scale solar power, onshore wind, geothermal, and battery storage solutions. Driven by the growing computational workload of the generative AI age, Google met an important milestone in its operations, raising the hourly 24/7 CFE score for its entire facilities global footprint to 66 percent, while 9 of 20 primary data center grid regions achieved an 80 percent, hourly CFE score </w:t>
      </w:r>
      <w:r w:rsidR="00A155CD">
        <w:fldChar w:fldCharType="begin"/>
      </w:r>
      <w:r w:rsidR="00A155CD">
        <w:instrText xml:space="preserve"> ADDIN ZOTERO_ITEM CSL_CITATION {"citationID":"ic18cWPX","properties":{"unsorted":false,"formattedCitation":"[55]","plainCitation":"[55]","noteIndex":0},"citationItems":[{"id":1995,"uris":["http://zotero.org/users/9870935/items/ZZ4BDIPH"],"itemData":{"id":1995,"type":"post-weblog","title":"Google Environmental Report 2025","URL":"https://sustainability.google/reports/google-2025-environmental-report/","author":[{"family":"Google","given":""}]}}],"schema":"https://github.com/citation-style-language/schema/raw/master/csl-citation.json"} </w:instrText>
      </w:r>
      <w:r w:rsidR="00A155CD">
        <w:fldChar w:fldCharType="separate"/>
      </w:r>
      <w:r w:rsidR="00A155CD" w:rsidRPr="00E92130">
        <w:t>[55]</w:t>
      </w:r>
      <w:r w:rsidR="00A155CD">
        <w:fldChar w:fldCharType="end"/>
      </w:r>
      <w:r w:rsidRPr="00B40CF9">
        <w:t>.</w:t>
      </w:r>
    </w:p>
    <w:p w14:paraId="241308D5" w14:textId="2A27BA67" w:rsidR="00B40CF9" w:rsidRPr="00B40CF9" w:rsidRDefault="00B40CF9" w:rsidP="00B40CF9">
      <w:pPr>
        <w:spacing w:after="120"/>
        <w:ind w:firstLine="480"/>
      </w:pPr>
      <w:r w:rsidRPr="00B40CF9">
        <w:t>A number of key technical installations are in place and marked as part of this infrastructure strategy, such as the 50 MW on-site wind generation array at the Council Bluffs facility in Iowa that directly connects with the data center's electrical distribution system and exports excess peak capacity back to the regional transmission organization. Likewise, a portfolios of wind and solar combined PPA power plants greater than 200 MW installed in Chile's Atacama Desert takes advantage of complementary resource timing patterns, as the wind is found to occur in times of low solar irradiance, and the solar resource is found to occur in times of high wind speed in the localized thermal wind zones. Modern infrastructure blueprints for AI workloads in the modern era of Gemini place a strong emphasis on deep grid integration and spatial load shaping. This includes specialized, direct backlinks with utility scale battery storage networks to enable facilities to shift flexible server demand from high-carbon time periods to when there is high local renewable generation</w:t>
      </w:r>
      <w:r w:rsidR="00B2096E">
        <w:fldChar w:fldCharType="begin"/>
      </w:r>
      <w:r w:rsidR="00C90ABC">
        <w:instrText xml:space="preserve"> ADDIN ZOTERO_ITEM CSL_CITATION {"citationID":"Q8pR1MCS","properties":{"unsorted":false,"formattedCitation":"[55]","plainCitation":"[55]","noteIndex":0},"citationItems":[{"id":1995,"uris":["http://zotero.org/users/9870935/items/ZZ4BDIPH"],"itemData":{"id":1995,"type":"post-weblog","title":"Google Environmental Report 2025","URL":"https://sustainability.google/reports/google-2025-environmental-report/","author":[{"family":"Google","given":""}]}}],"schema":"https://github.com/citation-style-language/schema/raw/master/csl-citation.json"} </w:instrText>
      </w:r>
      <w:r w:rsidR="00B2096E">
        <w:fldChar w:fldCharType="separate"/>
      </w:r>
      <w:r w:rsidR="00B2096E" w:rsidRPr="00E92130">
        <w:t>[55]</w:t>
      </w:r>
      <w:r w:rsidR="00B2096E">
        <w:fldChar w:fldCharType="end"/>
      </w:r>
      <w:r w:rsidRPr="00B40CF9">
        <w:t>.</w:t>
      </w:r>
    </w:p>
    <w:p w14:paraId="526CA61F" w14:textId="40953220" w:rsidR="00A75EF8" w:rsidRPr="00B40CF9" w:rsidRDefault="00B40CF9" w:rsidP="00B40CF9">
      <w:pPr>
        <w:spacing w:after="120"/>
        <w:ind w:firstLine="480"/>
      </w:pPr>
      <w:r w:rsidRPr="00B40CF9">
        <w:t xml:space="preserve">Structured corporate PPAs have reliably proven their ability to protect against short-term fluctuations in wholesale grid electricity markets for 15-25 year contracts and energy cost metrics ranging from $30 to $50 per MWh – values that are more predictable than the $70-120 per MWh that can be found across main commercial markets </w:t>
      </w:r>
      <w:r w:rsidR="00B34AEE">
        <w:fldChar w:fldCharType="begin"/>
      </w:r>
      <w:r w:rsidR="00C90ABC">
        <w:instrText xml:space="preserve"> ADDIN ZOTERO_ITEM CSL_CITATION {"citationID":"ovp4JwlY","properties":{"unsorted":false,"formattedCitation":"[55]","plainCitation":"[55]","noteIndex":0},"citationItems":[{"id":1995,"uris":["http://zotero.org/users/9870935/items/ZZ4BDIPH"],"itemData":{"id":1995,"type":"post-weblog","title":"Google Environmental Report 2025","URL":"https://sustainability.google/reports/google-2025-environmental-report/","author":[{"family":"Google","given":""}]}}],"schema":"https://github.com/citation-style-language/schema/raw/master/csl-citation.json"} </w:instrText>
      </w:r>
      <w:r w:rsidR="00B34AEE">
        <w:fldChar w:fldCharType="separate"/>
      </w:r>
      <w:r w:rsidR="00B34AEE" w:rsidRPr="00E92130">
        <w:t>[55]</w:t>
      </w:r>
      <w:r w:rsidR="00B34AEE">
        <w:fldChar w:fldCharType="end"/>
      </w:r>
      <w:r w:rsidRPr="00B40CF9">
        <w:t xml:space="preserve"> – across the board. The company's focus on geographic distribution and its use of carbon-aware software scheduling allows it to dynamically place non-interactive compute workloads to facilities that </w:t>
      </w:r>
      <w:r w:rsidRPr="00B40CF9">
        <w:lastRenderedPageBreak/>
        <w:t>are in the best condition for generating clean energy. This distributed computing approach is a basic solution that eliminates the penalties associated with local over-provisioning in physical facilities and chemical storage that would otherwise burden individual facilities. Concrete industry validation for strict site assessment, multi-technology resource aggregation, carbon-aware control strategies, and long term economic viability is provided by framework validation, which correlates Google's active portfolio to Components 1, 2, 4 and 6 of the proposed architecture.</w:t>
      </w:r>
    </w:p>
    <w:p w14:paraId="20D78066" w14:textId="04AE74F7" w:rsidR="006D1510" w:rsidRDefault="006D1510" w:rsidP="006D1510">
      <w:pPr>
        <w:pStyle w:val="Heading20"/>
        <w:rPr>
          <w:color w:val="auto"/>
        </w:rPr>
      </w:pPr>
      <w:r>
        <w:rPr>
          <w:color w:val="auto"/>
        </w:rPr>
        <w:t>8.2. Meta: Fuel Cell Integration at Prinveille</w:t>
      </w:r>
    </w:p>
    <w:p w14:paraId="72C5E02D" w14:textId="25F20E00" w:rsidR="00D64775" w:rsidRPr="00D64775" w:rsidRDefault="00D64775" w:rsidP="00C90ABC">
      <w:pPr>
        <w:spacing w:after="120"/>
        <w:ind w:firstLine="480"/>
      </w:pPr>
      <w:r w:rsidRPr="00D64775">
        <w:t>Meta (Facebook) has been following a unique path with its focus on fuel cell technology in its Prineville, OR data center campus. It has 5 MW of Bloom Energy solid oxide fuel cells (SOFCs) using natural gas as the main onsite generation resource, 1 MW of onsite solar canopy generation, and 50 MW of contracted wind energy through PPAs</w:t>
      </w:r>
      <w:r w:rsidR="00C90ABC">
        <w:fldChar w:fldCharType="begin"/>
      </w:r>
      <w:r w:rsidR="00C90ABC">
        <w:instrText xml:space="preserve"> ADDIN ZOTERO_ITEM CSL_CITATION {"citationID":"bKFO0NJY","properties":{"unsorted":false,"formattedCitation":"[57]","plainCitation":"[57]","noteIndex":0},"citationItems":[{"id":1998,"uris":["http://zotero.org/users/9870935/items/3PR5HCM7"],"itemData":{"id":1998,"type":"post-weblog","title":"2025 Sustainability Report","URL":"https://sustainability.atmeta.com/wp-content/uploads/2025/08/Meta_2025-Sustainability-Report.pdf","author":[{"family":"Meta","given":""}]}}],"schema":"https://github.com/citation-style-language/schema/raw/master/csl-citation.json"} </w:instrText>
      </w:r>
      <w:r w:rsidR="00C90ABC">
        <w:fldChar w:fldCharType="separate"/>
      </w:r>
      <w:r w:rsidR="00C90ABC" w:rsidRPr="00C90ABC">
        <w:t>[57]</w:t>
      </w:r>
      <w:r w:rsidR="00C90ABC">
        <w:fldChar w:fldCharType="end"/>
      </w:r>
      <w:r w:rsidRPr="00D64775">
        <w:t>. When used as combined heat and power (CHP) systems, the fuel cells' electrical efficiency is about 60</w:t>
      </w:r>
      <w:r w:rsidR="00C90ABC">
        <w:t xml:space="preserve">% </w:t>
      </w:r>
      <w:r w:rsidRPr="00D64775">
        <w:t>and the waste heat is recovered for building heating, yielding overall CHP efficiency of more than 80</w:t>
      </w:r>
      <w:r w:rsidR="00C90ABC">
        <w:t>%</w:t>
      </w:r>
      <w:r w:rsidR="00C90ABC">
        <w:fldChar w:fldCharType="begin"/>
      </w:r>
      <w:r w:rsidR="00C90ABC">
        <w:instrText xml:space="preserve"> ADDIN ZOTERO_ITEM CSL_CITATION {"citationID":"hobQYeKo","properties":{"unsorted":false,"formattedCitation":"[57]","plainCitation":"[57]","noteIndex":0},"citationItems":[{"id":1998,"uris":["http://zotero.org/users/9870935/items/3PR5HCM7"],"itemData":{"id":1998,"type":"post-weblog","title":"2025 Sustainability Report","URL":"https://sustainability.atmeta.com/wp-content/uploads/2025/08/Meta_2025-Sustainability-Report.pdf","author":[{"family":"Meta","given":""}]}}],"schema":"https://github.com/citation-style-language/schema/raw/master/csl-citation.json"} </w:instrText>
      </w:r>
      <w:r w:rsidR="00C90ABC">
        <w:fldChar w:fldCharType="separate"/>
      </w:r>
      <w:r w:rsidR="00C90ABC" w:rsidRPr="00C90ABC">
        <w:t>[57]</w:t>
      </w:r>
      <w:r w:rsidR="00C90ABC">
        <w:fldChar w:fldCharType="end"/>
      </w:r>
      <w:r w:rsidRPr="00D64775">
        <w:t>.</w:t>
      </w:r>
    </w:p>
    <w:p w14:paraId="613ED9AF" w14:textId="632462DF" w:rsidR="006D1510" w:rsidRPr="00D64775" w:rsidRDefault="00D64775" w:rsidP="00866BB5">
      <w:pPr>
        <w:spacing w:after="120"/>
        <w:ind w:firstLine="480"/>
      </w:pPr>
      <w:r w:rsidRPr="00D64775">
        <w:t>Performance metrics show a facility PUE of ~1.10, one of the lowest in the industry, and fuel cell up time in the high 90's percent. But there are some problems that have arisen. The cost of replacing fuel cell stacks ($1 to $3 million every 5 to 8 years) is a large operating cost and the use of the natural gas feedstock introduces a pathway for carbon emissions that is incompatible with net zero commitments</w:t>
      </w:r>
      <w:r w:rsidR="00C45569">
        <w:fldChar w:fldCharType="begin"/>
      </w:r>
      <w:r w:rsidR="00866BB5">
        <w:instrText xml:space="preserve"> ADDIN ZOTERO_ITEM CSL_CITATION {"citationID":"afh57Dbe","properties":{"unsorted":false,"formattedCitation":"[155]","plainCitation":"[155]","noteIndex":0},"citationItems":[{"id":2140,"uris":["http://zotero.org/users/9870935/items/ZUBI2HTD"],"itemData":{"id":2140,"type":"article-journal","container-title":"Energy Conversion and Management","DOI":"10.1016/j.enconman.2025.119762","ISSN":"01968904","journalAbbreviation":"Energy Conversion and Management","language":"en","page":"119762","source":"DOI.org (Crossref)","title":"Modeling and analysis of solid oxide fuel cell-based multigeneration system with supercritical and transcritical carbon dioxide power cycles, humidification-dehumidification system and hydrogen generation","volume":"332","author":[{"family":"Soyturk","given":"Gamze"},{"family":"Kizilkan","given":"Onder"}],"issued":{"date-parts":[["2025",5]]}}}],"schema":"https://github.com/citation-style-language/schema/raw/master/csl-citation.json"} </w:instrText>
      </w:r>
      <w:r w:rsidR="00C45569">
        <w:fldChar w:fldCharType="separate"/>
      </w:r>
      <w:r w:rsidR="00866BB5" w:rsidRPr="00866BB5">
        <w:t>[155]</w:t>
      </w:r>
      <w:r w:rsidR="00C45569">
        <w:fldChar w:fldCharType="end"/>
      </w:r>
      <w:r w:rsidRPr="00D64775">
        <w:t>. One of the factors with which Meta is working on decarbonizing its fuel usage is to shift from natural gas to green hydrogen as its fuel source, but it is unclear when this shift will happen or if it will be a costly process due to the lack of hydrogen production and distribution infrastructure. Fuel cells are shown to be a suitable bridge technology (Component 2: Technology Selection) but not necessarily the future preferred solution as battery storage costs are decreasing.</w:t>
      </w:r>
    </w:p>
    <w:p w14:paraId="40D62A7A" w14:textId="11EBB39E" w:rsidR="009C1130" w:rsidRDefault="009C1130" w:rsidP="009C1130">
      <w:pPr>
        <w:pStyle w:val="Heading20"/>
        <w:rPr>
          <w:color w:val="auto"/>
        </w:rPr>
      </w:pPr>
      <w:r>
        <w:rPr>
          <w:color w:val="auto"/>
        </w:rPr>
        <w:t>8.3. Microsoft: Modular Design and Nuclear Partnership</w:t>
      </w:r>
    </w:p>
    <w:p w14:paraId="74F5817B" w14:textId="49863A1D" w:rsidR="000A408E" w:rsidRPr="000A408E" w:rsidRDefault="000A408E" w:rsidP="00D40A09">
      <w:pPr>
        <w:spacing w:after="120"/>
        <w:ind w:firstLine="480"/>
      </w:pPr>
      <w:r w:rsidRPr="000A408E">
        <w:t>Microsoft has been looking at two innovative solutions for sustainable data center infrastructure: the experimental Project Natick which is an underwater data center, and baseload power supply with nuclear energy. The 99.9</w:t>
      </w:r>
      <w:r w:rsidR="002951E4">
        <w:t xml:space="preserve">% </w:t>
      </w:r>
      <w:r w:rsidRPr="000A408E">
        <w:t>reliability of Project Natick Phase 2, which was deployed off the coast of Scotland, was attributed to the less corrosive environment of the water and the nitrogen-filled sealed container preventing humidity-induced failures, and the results showed an eight-fold reduction in failure rates when compared with facilities of similar capacity on land</w:t>
      </w:r>
      <w:r w:rsidR="00D40A09">
        <w:fldChar w:fldCharType="begin"/>
      </w:r>
      <w:r w:rsidR="00D40A09">
        <w:instrText xml:space="preserve"> ADDIN ZOTERO_ITEM CSL_CITATION {"citationID":"IW33EuXw","properties":{"unsorted":false,"formattedCitation":"[60]","plainCitation":"[60]","noteIndex":0},"citationItems":[{"id":2001,"uris":["http://zotero.org/users/9870935/items/2FD7ZXSC"],"itemData":{"id":2001,"type":"article-journal","language":"en","source":"Zotero","title":"Project Natick — Microsoft's Self-sufficient Underwater Datacenters","author":[{"family":"Simon","given":"Kevin"}]}}],"schema":"https://github.com/citation-style-language/schema/raw/master/csl-citation.json"} </w:instrText>
      </w:r>
      <w:r w:rsidR="00D40A09">
        <w:fldChar w:fldCharType="separate"/>
      </w:r>
      <w:r w:rsidR="00D40A09" w:rsidRPr="00D40A09">
        <w:t>[60]</w:t>
      </w:r>
      <w:r w:rsidR="00D40A09">
        <w:fldChar w:fldCharType="end"/>
      </w:r>
      <w:r w:rsidRPr="000A408E">
        <w:t>.</w:t>
      </w:r>
    </w:p>
    <w:p w14:paraId="0975375C" w14:textId="3B8D6E70" w:rsidR="000A408E" w:rsidRPr="000A408E" w:rsidRDefault="000A408E" w:rsidP="00E74A80">
      <w:pPr>
        <w:spacing w:after="120"/>
        <w:ind w:firstLine="480"/>
      </w:pPr>
      <w:r w:rsidRPr="000A408E">
        <w:t>The most sizeable corporate nuclear energy pledge so far from Microsoft is a partnership to restart the Three Mile Island Unit 1 reactor (Crane Clean Energy Center) to supply 835 MW of baseload energy for its artificial intelligence operations</w:t>
      </w:r>
      <w:r w:rsidR="00D34D14">
        <w:fldChar w:fldCharType="begin"/>
      </w:r>
      <w:r w:rsidR="00D34D14">
        <w:instrText xml:space="preserve"> ADDIN ZOTERO_ITEM CSL_CITATION {"citationID":"r6PHcJZZ","properties":{"unsorted":false,"formattedCitation":"[59]","plainCitation":"[59]","noteIndex":0},"citationItems":[{"id":2005,"uris":["http://zotero.org/users/9870935/items/GPXLWD7A"],"itemData":{"id":2005,"type":"article-journal","abstract":"This research investigates the future landscape of cloud computing, concentrating specifically on Microsoft's pioneering underwater data center initiative. With the global demand for cloud services on the rise, there is an urgent need for sustainable and efficient solutions to address the increasing requirements for data storage. Microsoft's underwater data centers, part of Project Natick, are designed to confront these challenges by leveraging the natural cooling capabilities of ocean water, which significantly lowers energy consumption in comparison to conventional land-based facilities. Beyond energy efficiency, these submerged data centers present an opportunity to lessen the environmental footprint associated with extensive data storage, thereby offering a distinctive method for promoting eco-friendly computing. This thorough study assesses the technological innovations, economic feasibility, and environmental consequences of underwater data centers, evaluating their capacity to fulfil the scalability and reliability needs of cloud infrastructure. The research also examines the practicality of large-scale deployment, the challenges of underwater connectivity, and maintenance, and the long-term resilience of the infrastructure. By analyzing findings from Microsoft's pilot projects, this study seeks to enhance understanding of how underwater data centers could transform the future of cloud computing, potentially revolutionizing digital data storage and management in a more sustainable and efficient manner.","issue":"3","language":"en","source":"Zotero","title":"Exploring the Future of Cloud Computing: A Comprehensive Study of Microsoft's Underwater Data Centers","volume":"12","author":[{"family":"Panchal","given":"Yash"},{"family":"Dubey","given":"Shivam"},{"family":"Pathak","given":"Rashmi"}],"issued":{"date-parts":[["2025"]]}}}],"schema":"https://github.com/citation-style-language/schema/raw/master/csl-citation.json"} </w:instrText>
      </w:r>
      <w:r w:rsidR="00D34D14">
        <w:fldChar w:fldCharType="separate"/>
      </w:r>
      <w:r w:rsidR="00D34D14" w:rsidRPr="00D34D14">
        <w:t>[59]</w:t>
      </w:r>
      <w:r w:rsidR="00D34D14">
        <w:fldChar w:fldCharType="end"/>
      </w:r>
      <w:r w:rsidRPr="000A408E">
        <w:t xml:space="preserve">. Also, Microsoft has backed Helion Energy, a fusion energy start-up with the goal of making it commercially viable by </w:t>
      </w:r>
      <w:r w:rsidR="00D40A09" w:rsidRPr="000A408E">
        <w:t>2028 and</w:t>
      </w:r>
      <w:r w:rsidRPr="000A408E">
        <w:t xml:space="preserve"> has signed a deal to buy electricity generated by fusion</w:t>
      </w:r>
      <w:r w:rsidR="00E74A80">
        <w:fldChar w:fldCharType="begin"/>
      </w:r>
      <w:r w:rsidR="00E74A80">
        <w:instrText xml:space="preserve"> ADDIN ZOTERO_ITEM CSL_CITATION {"citationID":"8f2UmqPT","properties":{"unsorted":false,"formattedCitation":"[156]","plainCitation":"[156]","noteIndex":0},"citationItems":[{"id":2143,"uris":["http://zotero.org/users/9870935/items/QQ6IISPJ"],"itemData":{"id":2143,"type":"document","title":"U N L O C K I N G FUSION ENERGY","URL":"https://www.adlittle.com/sites/default/files/reports/ADL_Unlocking_fusion_energy_2025%20%281%29.pdf","author":[{"family":"Arthur D. Little","given":""}]}}],"schema":"https://github.com/citation-style-language/schema/raw/master/csl-citation.json"} </w:instrText>
      </w:r>
      <w:r w:rsidR="00E74A80">
        <w:fldChar w:fldCharType="separate"/>
      </w:r>
      <w:r w:rsidR="00E74A80" w:rsidRPr="00E74A80">
        <w:t>[156]</w:t>
      </w:r>
      <w:r w:rsidR="00E74A80">
        <w:fldChar w:fldCharType="end"/>
      </w:r>
      <w:r w:rsidRPr="000A408E">
        <w:t xml:space="preserve">. A second option for this nuclear integration with data centers is small modular reactors (SMRs), which can range in size from 50 to 300 MW, and are not expected to be commercialized until the </w:t>
      </w:r>
      <w:r w:rsidRPr="000A408E">
        <w:lastRenderedPageBreak/>
        <w:t>2020s or beyond. Framework alignment: Microsoft's approach is aligned with and validates Component 7 (Resilience and Sustainability), and shows how next generation technologies will augment renewable energy systems.</w:t>
      </w:r>
    </w:p>
    <w:p w14:paraId="70D978A5" w14:textId="3A5D8108" w:rsidR="000A408E" w:rsidRPr="000A408E" w:rsidRDefault="000A408E" w:rsidP="000A408E">
      <w:pPr>
        <w:pStyle w:val="Heading20"/>
        <w:jc w:val="both"/>
        <w:rPr>
          <w:color w:val="auto"/>
        </w:rPr>
      </w:pPr>
      <w:r w:rsidRPr="000A408E">
        <w:rPr>
          <w:color w:val="auto"/>
        </w:rPr>
        <w:t>8.4 Equinix</w:t>
      </w:r>
      <w:r w:rsidR="00A4549A">
        <w:rPr>
          <w:color w:val="auto"/>
        </w:rPr>
        <w:t xml:space="preserve">: </w:t>
      </w:r>
      <w:r w:rsidR="00A4549A" w:rsidRPr="000A408E">
        <w:rPr>
          <w:color w:val="auto"/>
        </w:rPr>
        <w:t>Distributed Solar PPAs:</w:t>
      </w:r>
    </w:p>
    <w:p w14:paraId="61F642EE" w14:textId="01488020" w:rsidR="000A408E" w:rsidRPr="000A408E" w:rsidRDefault="000A408E" w:rsidP="00004DA8">
      <w:pPr>
        <w:spacing w:after="120"/>
        <w:ind w:firstLine="480"/>
      </w:pPr>
      <w:r w:rsidRPr="000A408E">
        <w:t>As a global provider of more than 260 data centers in 33 countries, Equinix has taken a multi-location approach to renewable procurement, based on the geographic distribution of its locations. The company has signed more than 350 MW of solar and wind power through PPAs in California, Arizona, Texas, the Midwest U.S. and several European countries. Equinix has also published a sustainability report for 2024, which shows that 96 percent of its global portfolio is covered by renewable energy, and that Equinix will reach 100 percent by 2030</w:t>
      </w:r>
      <w:r w:rsidR="00F04E69">
        <w:fldChar w:fldCharType="begin"/>
      </w:r>
      <w:r w:rsidR="00F04E69">
        <w:instrText xml:space="preserve"> ADDIN ZOTERO_ITEM CSL_CITATION {"citationID":"xSrZql8g","properties":{"unsorted":false,"formattedCitation":"[62]","plainCitation":"[62]","noteIndex":0},"citationItems":[{"id":2007,"uris":["http://zotero.org/users/9870935/items/KHWRQFNN"],"itemData":{"id":2007,"type":"post-weblog","title":"Sustainability Report 2025","URL":"https://delivery-p112322-e1154416.adobeaemcloud.com/adobe/assets/deliver/urn:aaid:aem:116e6fc1-6217-4132-8fcf-1dc7096396df/Equinix-Inc_2025_Sustainability-Report.pdf","author":[{"family":"Equinix","given":""}]}}],"schema":"https://github.com/citation-style-language/schema/raw/master/csl-citation.json"} </w:instrText>
      </w:r>
      <w:r w:rsidR="00F04E69">
        <w:fldChar w:fldCharType="separate"/>
      </w:r>
      <w:r w:rsidR="00F04E69" w:rsidRPr="00004DA8">
        <w:t>[62]</w:t>
      </w:r>
      <w:r w:rsidR="00F04E69">
        <w:fldChar w:fldCharType="end"/>
      </w:r>
      <w:r w:rsidRPr="000A408E">
        <w:t>.</w:t>
      </w:r>
    </w:p>
    <w:p w14:paraId="3F72A15E" w14:textId="77777777" w:rsidR="000A408E" w:rsidRPr="000A408E" w:rsidRDefault="000A408E" w:rsidP="000A408E">
      <w:pPr>
        <w:spacing w:after="120"/>
        <w:ind w:firstLine="480"/>
      </w:pPr>
      <w:r w:rsidRPr="000A408E">
        <w:t>The financial model shows that PPA pricing in the markets at $40 to $60 per MWh, based on long-term (15 to 20 year) contracts, is lower than historical grid rates in most Equinix markets, which yields cost savings and price stability. The company's multi-facility load balancing enables routing of customer workloads to facilities with different renewable profiles, allowing for a virtual power plant that helps to balance the aggregate renewable variability. Yet, there are barriers to be faced in the part of the world where access to PPA is poor and in the markets where the cost of connecting to the grid is high compared to the savings from electricity. The distributed approach employed by Equinix is found to be a good solution to the two components – Workload Flexibility and Economic Viability – on validation of the framework.</w:t>
      </w:r>
    </w:p>
    <w:p w14:paraId="2BA5651F" w14:textId="124A499E" w:rsidR="000A408E" w:rsidRPr="000A408E" w:rsidRDefault="000A408E" w:rsidP="000A408E">
      <w:pPr>
        <w:pStyle w:val="Heading20"/>
        <w:jc w:val="both"/>
        <w:rPr>
          <w:color w:val="auto"/>
        </w:rPr>
      </w:pPr>
      <w:r w:rsidRPr="000A408E">
        <w:rPr>
          <w:color w:val="auto"/>
        </w:rPr>
        <w:t>8.5 Apple</w:t>
      </w:r>
      <w:r w:rsidR="00483956">
        <w:rPr>
          <w:color w:val="auto"/>
        </w:rPr>
        <w:t>:</w:t>
      </w:r>
      <w:r w:rsidR="00483956" w:rsidRPr="000A408E">
        <w:rPr>
          <w:color w:val="auto"/>
        </w:rPr>
        <w:t xml:space="preserve">100 </w:t>
      </w:r>
      <w:r w:rsidR="00483956">
        <w:rPr>
          <w:color w:val="auto"/>
        </w:rPr>
        <w:t>P</w:t>
      </w:r>
      <w:r w:rsidR="00483956" w:rsidRPr="000A408E">
        <w:rPr>
          <w:color w:val="auto"/>
        </w:rPr>
        <w:t xml:space="preserve">ercent </w:t>
      </w:r>
      <w:r w:rsidR="00483956">
        <w:rPr>
          <w:color w:val="auto"/>
        </w:rPr>
        <w:t>R</w:t>
      </w:r>
      <w:r w:rsidR="00483956" w:rsidRPr="000A408E">
        <w:rPr>
          <w:color w:val="auto"/>
        </w:rPr>
        <w:t xml:space="preserve">enewable </w:t>
      </w:r>
      <w:r w:rsidR="00483956">
        <w:rPr>
          <w:color w:val="auto"/>
        </w:rPr>
        <w:t>C</w:t>
      </w:r>
      <w:r w:rsidR="00483956" w:rsidRPr="000A408E">
        <w:rPr>
          <w:color w:val="auto"/>
        </w:rPr>
        <w:t>ommitment</w:t>
      </w:r>
    </w:p>
    <w:p w14:paraId="0325252A" w14:textId="28868569" w:rsidR="000A408E" w:rsidRPr="000A408E" w:rsidRDefault="000A408E" w:rsidP="00556DF7">
      <w:pPr>
        <w:spacing w:after="120"/>
        <w:ind w:firstLine="480"/>
      </w:pPr>
      <w:r w:rsidRPr="000A408E">
        <w:t xml:space="preserve">Apple has now made a full 100% commitment to renewable energy powering all of its global operations, including data centres, </w:t>
      </w:r>
      <w:r w:rsidR="00D221DC" w:rsidRPr="000A408E">
        <w:t>corporate</w:t>
      </w:r>
      <w:r w:rsidRPr="000A408E">
        <w:t xml:space="preserve"> buildings and retail stores, as well as its manufacturing supply chain. The Maiden, North Carolina data center is a flagship facility, using 10 MW of Bloom Energy fuel cells, and a 100-acre solar array producing around 42 million kWh per year on site. Apple's strategy includes owned generation on site (where possible), long-term PPAs and renewable energy certificates to meet its goals</w:t>
      </w:r>
      <w:r w:rsidR="00556DF7">
        <w:fldChar w:fldCharType="begin"/>
      </w:r>
      <w:r w:rsidR="00556DF7">
        <w:instrText xml:space="preserve"> ADDIN ZOTERO_ITEM CSL_CITATION {"citationID":"7UxY0Xko","properties":{"unsorted":false,"formattedCitation":"[64]","plainCitation":"[64]","noteIndex":0},"citationItems":[{"id":2010,"uris":["http://zotero.org/users/9870935/items/36ZP5SVZ"],"itemData":{"id":2010,"type":"post-weblog","title":"Environmental Progress Report","URL":"https://www.apple.com/environment/pdf/Apple_Environmental_Progress_Report_2025.pdf","author":[{"family":"Apple","given":""}]}}],"schema":"https://github.com/citation-style-language/schema/raw/master/csl-citation.json"} </w:instrText>
      </w:r>
      <w:r w:rsidR="00556DF7">
        <w:fldChar w:fldCharType="separate"/>
      </w:r>
      <w:r w:rsidR="00556DF7" w:rsidRPr="00556DF7">
        <w:t>[64]</w:t>
      </w:r>
      <w:r w:rsidR="00556DF7">
        <w:fldChar w:fldCharType="end"/>
      </w:r>
      <w:r w:rsidRPr="000A408E">
        <w:t>.</w:t>
      </w:r>
    </w:p>
    <w:p w14:paraId="0328E807" w14:textId="491122F1" w:rsidR="009C1130" w:rsidRDefault="000A408E" w:rsidP="000A408E">
      <w:pPr>
        <w:spacing w:after="120"/>
        <w:ind w:firstLine="480"/>
      </w:pPr>
      <w:r w:rsidRPr="000A408E">
        <w:t>The price difference for a 100</w:t>
      </w:r>
      <w:r w:rsidR="00556DF7">
        <w:t xml:space="preserve">% </w:t>
      </w:r>
      <w:r w:rsidRPr="000A408E">
        <w:t>renewable power mix is estimated at 10</w:t>
      </w:r>
      <w:r w:rsidR="00556DF7">
        <w:t>-</w:t>
      </w:r>
      <w:r w:rsidRPr="000A408E">
        <w:t>20</w:t>
      </w:r>
      <w:r w:rsidR="00556DF7">
        <w:t>%</w:t>
      </w:r>
      <w:r w:rsidRPr="000A408E">
        <w:t xml:space="preserve"> higher than using conventional grid electricity, although Apple says efficiencies from self-generated power and from the grid via revenue streams mitigate this cost </w:t>
      </w:r>
      <w:r w:rsidR="00AA35E2">
        <w:fldChar w:fldCharType="begin"/>
      </w:r>
      <w:r w:rsidR="003E44F5">
        <w:instrText xml:space="preserve"> ADDIN ZOTERO_ITEM CSL_CITATION {"citationID":"oiRUWADX","properties":{"unsorted":false,"formattedCitation":"[64]","plainCitation":"[64]","noteIndex":0},"citationItems":[{"id":2010,"uris":["http://zotero.org/users/9870935/items/36ZP5SVZ"],"itemData":{"id":2010,"type":"post-weblog","title":"Environmental Progress Report","URL":"https://www.apple.com/environment/pdf/Apple_Environmental_Progress_Report_2025.pdf","author":[{"family":"Apple","given":""}]}}],"schema":"https://github.com/citation-style-language/schema/raw/master/csl-citation.json"} </w:instrText>
      </w:r>
      <w:r w:rsidR="00AA35E2">
        <w:fldChar w:fldCharType="separate"/>
      </w:r>
      <w:r w:rsidR="00AA35E2" w:rsidRPr="00556DF7">
        <w:t>[64]</w:t>
      </w:r>
      <w:r w:rsidR="00AA35E2">
        <w:fldChar w:fldCharType="end"/>
      </w:r>
      <w:r w:rsidRPr="000A408E">
        <w:t>. Some of the main issues are high capital costs of building owned generation, supply chain limitations with renewable equipment and saturated PPA markets in certain areas. The staged, portfolio approach is a lesson learned in the Apple story that reinforces Component 7 (Sustainability) and underscores the need for long-term strategic planning to meet comprehensive renewable energy goals.</w:t>
      </w:r>
    </w:p>
    <w:p w14:paraId="1CC928C8" w14:textId="1F8CA234" w:rsidR="00FC26B6" w:rsidRDefault="00FC26B6" w:rsidP="00FC26B6">
      <w:pPr>
        <w:pStyle w:val="Heading20"/>
        <w:jc w:val="both"/>
        <w:rPr>
          <w:color w:val="auto"/>
        </w:rPr>
      </w:pPr>
      <w:r w:rsidRPr="000A408E">
        <w:rPr>
          <w:color w:val="auto"/>
        </w:rPr>
        <w:t>8.</w:t>
      </w:r>
      <w:r>
        <w:rPr>
          <w:color w:val="auto"/>
        </w:rPr>
        <w:t>6</w:t>
      </w:r>
      <w:r w:rsidRPr="000A408E">
        <w:rPr>
          <w:color w:val="auto"/>
        </w:rPr>
        <w:t xml:space="preserve"> </w:t>
      </w:r>
      <w:r>
        <w:rPr>
          <w:color w:val="auto"/>
        </w:rPr>
        <w:t>Comparative Analysis</w:t>
      </w:r>
    </w:p>
    <w:p w14:paraId="592642CF" w14:textId="7126A3EC" w:rsidR="00516167" w:rsidRDefault="00516167" w:rsidP="00516167">
      <w:pPr>
        <w:pStyle w:val="Caption"/>
        <w:keepNext/>
      </w:pPr>
      <w:r>
        <w:lastRenderedPageBreak/>
        <w:t xml:space="preserve">Table </w:t>
      </w:r>
      <w:r>
        <w:fldChar w:fldCharType="begin"/>
      </w:r>
      <w:r>
        <w:instrText xml:space="preserve"> SEQ Table \* ARABIC </w:instrText>
      </w:r>
      <w:r>
        <w:fldChar w:fldCharType="separate"/>
      </w:r>
      <w:r>
        <w:rPr>
          <w:noProof/>
        </w:rPr>
        <w:t>4</w:t>
      </w:r>
      <w:r>
        <w:fldChar w:fldCharType="end"/>
      </w:r>
      <w:r>
        <w:t xml:space="preserve"> </w:t>
      </w:r>
      <w:r w:rsidRPr="0060176D">
        <w:t xml:space="preserve">Comparative </w:t>
      </w:r>
      <w:r>
        <w:t>a</w:t>
      </w:r>
      <w:r w:rsidRPr="0060176D">
        <w:t xml:space="preserve">nalysis of </w:t>
      </w:r>
      <w:r>
        <w:t>i</w:t>
      </w:r>
      <w:r w:rsidRPr="0060176D">
        <w:t xml:space="preserve">ndustry </w:t>
      </w:r>
      <w:r>
        <w:t>c</w:t>
      </w:r>
      <w:r w:rsidRPr="0060176D">
        <w:t xml:space="preserve">ase </w:t>
      </w:r>
      <w:r>
        <w:t>s</w:t>
      </w:r>
      <w:r w:rsidRPr="0060176D">
        <w:t>tudies</w:t>
      </w:r>
    </w:p>
    <w:tbl>
      <w:tblPr>
        <w:tblStyle w:val="Mdeck5tablebodythreelines"/>
        <w:tblW w:w="5000" w:type="pct"/>
        <w:tblLook w:val="04A0" w:firstRow="1" w:lastRow="0" w:firstColumn="1" w:lastColumn="0" w:noHBand="0" w:noVBand="1"/>
      </w:tblPr>
      <w:tblGrid>
        <w:gridCol w:w="1463"/>
        <w:gridCol w:w="1740"/>
        <w:gridCol w:w="1564"/>
        <w:gridCol w:w="1565"/>
        <w:gridCol w:w="1300"/>
        <w:gridCol w:w="1212"/>
      </w:tblGrid>
      <w:tr w:rsidR="00612AA0" w14:paraId="3714B258" w14:textId="77777777" w:rsidTr="003C05F8">
        <w:trPr>
          <w:cnfStyle w:val="100000000000" w:firstRow="1" w:lastRow="0" w:firstColumn="0" w:lastColumn="0" w:oddVBand="0" w:evenVBand="0" w:oddHBand="0" w:evenHBand="0" w:firstRowFirstColumn="0" w:firstRowLastColumn="0" w:lastRowFirstColumn="0" w:lastRowLastColumn="0"/>
        </w:trPr>
        <w:tc>
          <w:tcPr>
            <w:tcW w:w="827" w:type="pct"/>
          </w:tcPr>
          <w:p w14:paraId="6FE7FF8A" w14:textId="77777777" w:rsidR="00612AA0" w:rsidRPr="00612AA0" w:rsidRDefault="00612AA0" w:rsidP="00612AA0">
            <w:pPr>
              <w:pStyle w:val="TableBody"/>
              <w:spacing w:line="240" w:lineRule="auto"/>
              <w:rPr>
                <w:b/>
                <w:bCs/>
                <w:snapToGrid w:val="0"/>
                <w:color w:val="auto"/>
                <w:lang w:val="en-US"/>
              </w:rPr>
            </w:pPr>
            <w:r w:rsidRPr="00612AA0">
              <w:rPr>
                <w:b/>
                <w:bCs/>
                <w:snapToGrid w:val="0"/>
                <w:color w:val="auto"/>
                <w:lang w:val="en-US"/>
              </w:rPr>
              <w:t>Organization</w:t>
            </w:r>
          </w:p>
        </w:tc>
        <w:tc>
          <w:tcPr>
            <w:tcW w:w="984" w:type="pct"/>
          </w:tcPr>
          <w:p w14:paraId="324356F5" w14:textId="77777777" w:rsidR="00612AA0" w:rsidRPr="00612AA0" w:rsidRDefault="00612AA0" w:rsidP="00612AA0">
            <w:pPr>
              <w:pStyle w:val="TableBody"/>
              <w:spacing w:line="240" w:lineRule="auto"/>
              <w:rPr>
                <w:b/>
                <w:bCs/>
                <w:snapToGrid w:val="0"/>
                <w:color w:val="auto"/>
                <w:lang w:val="en-US"/>
              </w:rPr>
            </w:pPr>
            <w:r w:rsidRPr="00612AA0">
              <w:rPr>
                <w:b/>
                <w:bCs/>
                <w:snapToGrid w:val="0"/>
                <w:color w:val="auto"/>
                <w:lang w:val="en-US"/>
              </w:rPr>
              <w:t>Approach</w:t>
            </w:r>
          </w:p>
        </w:tc>
        <w:tc>
          <w:tcPr>
            <w:tcW w:w="884" w:type="pct"/>
          </w:tcPr>
          <w:p w14:paraId="5C6BB85D" w14:textId="77777777" w:rsidR="00612AA0" w:rsidRPr="00612AA0" w:rsidRDefault="00612AA0" w:rsidP="00612AA0">
            <w:pPr>
              <w:pStyle w:val="TableBody"/>
              <w:spacing w:line="240" w:lineRule="auto"/>
              <w:rPr>
                <w:b/>
                <w:bCs/>
                <w:snapToGrid w:val="0"/>
                <w:color w:val="auto"/>
                <w:lang w:val="en-US"/>
              </w:rPr>
            </w:pPr>
            <w:r w:rsidRPr="00612AA0">
              <w:rPr>
                <w:b/>
                <w:bCs/>
                <w:snapToGrid w:val="0"/>
                <w:color w:val="auto"/>
                <w:lang w:val="en-US"/>
              </w:rPr>
              <w:t>Renewable %</w:t>
            </w:r>
          </w:p>
        </w:tc>
        <w:tc>
          <w:tcPr>
            <w:tcW w:w="885" w:type="pct"/>
          </w:tcPr>
          <w:p w14:paraId="2B8CACF1" w14:textId="77777777" w:rsidR="00612AA0" w:rsidRPr="00612AA0" w:rsidRDefault="00612AA0" w:rsidP="00612AA0">
            <w:pPr>
              <w:pStyle w:val="TableBody"/>
              <w:spacing w:line="240" w:lineRule="auto"/>
              <w:rPr>
                <w:b/>
                <w:bCs/>
                <w:snapToGrid w:val="0"/>
                <w:color w:val="auto"/>
                <w:lang w:val="en-US"/>
              </w:rPr>
            </w:pPr>
            <w:r w:rsidRPr="00612AA0">
              <w:rPr>
                <w:b/>
                <w:bCs/>
                <w:snapToGrid w:val="0"/>
                <w:color w:val="auto"/>
                <w:lang w:val="en-US"/>
              </w:rPr>
              <w:t>Storage</w:t>
            </w:r>
          </w:p>
        </w:tc>
        <w:tc>
          <w:tcPr>
            <w:tcW w:w="735" w:type="pct"/>
          </w:tcPr>
          <w:p w14:paraId="4ED35545" w14:textId="77777777" w:rsidR="00612AA0" w:rsidRPr="00612AA0" w:rsidRDefault="00612AA0" w:rsidP="00612AA0">
            <w:pPr>
              <w:pStyle w:val="TableBody"/>
              <w:spacing w:line="240" w:lineRule="auto"/>
              <w:rPr>
                <w:b/>
                <w:bCs/>
                <w:snapToGrid w:val="0"/>
                <w:color w:val="auto"/>
                <w:lang w:val="en-US"/>
              </w:rPr>
            </w:pPr>
            <w:r w:rsidRPr="00612AA0">
              <w:rPr>
                <w:b/>
                <w:bCs/>
                <w:snapToGrid w:val="0"/>
                <w:color w:val="auto"/>
                <w:lang w:val="en-US"/>
              </w:rPr>
              <w:t>Backup</w:t>
            </w:r>
          </w:p>
        </w:tc>
        <w:tc>
          <w:tcPr>
            <w:tcW w:w="685" w:type="pct"/>
          </w:tcPr>
          <w:p w14:paraId="1C7B08FE" w14:textId="77777777" w:rsidR="00612AA0" w:rsidRPr="00612AA0" w:rsidRDefault="00612AA0" w:rsidP="00612AA0">
            <w:pPr>
              <w:pStyle w:val="TableBody"/>
              <w:spacing w:line="240" w:lineRule="auto"/>
              <w:rPr>
                <w:b/>
                <w:bCs/>
                <w:snapToGrid w:val="0"/>
                <w:color w:val="auto"/>
                <w:lang w:val="en-US"/>
              </w:rPr>
            </w:pPr>
            <w:r w:rsidRPr="00612AA0">
              <w:rPr>
                <w:b/>
                <w:bCs/>
                <w:snapToGrid w:val="0"/>
                <w:color w:val="auto"/>
                <w:lang w:val="en-US"/>
              </w:rPr>
              <w:t>Est. LCOE</w:t>
            </w:r>
          </w:p>
        </w:tc>
      </w:tr>
      <w:tr w:rsidR="00612AA0" w14:paraId="2D05F564" w14:textId="77777777" w:rsidTr="003C05F8">
        <w:tc>
          <w:tcPr>
            <w:tcW w:w="827" w:type="pct"/>
          </w:tcPr>
          <w:p w14:paraId="300AAB0B" w14:textId="77777777" w:rsidR="00612AA0" w:rsidRPr="00612AA0" w:rsidRDefault="00612AA0" w:rsidP="00612AA0">
            <w:pPr>
              <w:pStyle w:val="TableBody"/>
              <w:spacing w:line="240" w:lineRule="auto"/>
              <w:rPr>
                <w:b/>
                <w:bCs/>
                <w:color w:val="auto"/>
                <w:lang w:val="en-US"/>
              </w:rPr>
            </w:pPr>
            <w:r w:rsidRPr="00612AA0">
              <w:rPr>
                <w:b/>
                <w:bCs/>
                <w:color w:val="auto"/>
                <w:lang w:val="en-US"/>
              </w:rPr>
              <w:t>Google</w:t>
            </w:r>
          </w:p>
        </w:tc>
        <w:tc>
          <w:tcPr>
            <w:tcW w:w="984" w:type="pct"/>
          </w:tcPr>
          <w:p w14:paraId="24508D01" w14:textId="77777777" w:rsidR="00612AA0" w:rsidRPr="00612AA0" w:rsidRDefault="00612AA0" w:rsidP="00612AA0">
            <w:pPr>
              <w:pStyle w:val="TableBody"/>
              <w:spacing w:line="240" w:lineRule="auto"/>
              <w:rPr>
                <w:b/>
                <w:bCs/>
                <w:color w:val="auto"/>
                <w:lang w:val="en-US"/>
              </w:rPr>
            </w:pPr>
            <w:r w:rsidRPr="00612AA0">
              <w:rPr>
                <w:b/>
                <w:bCs/>
                <w:color w:val="auto"/>
                <w:lang w:val="en-US"/>
              </w:rPr>
              <w:t>PPAs + Load Shift</w:t>
            </w:r>
          </w:p>
        </w:tc>
        <w:tc>
          <w:tcPr>
            <w:tcW w:w="884" w:type="pct"/>
          </w:tcPr>
          <w:p w14:paraId="413E2832" w14:textId="77777777" w:rsidR="00612AA0" w:rsidRPr="00612AA0" w:rsidRDefault="00612AA0" w:rsidP="00612AA0">
            <w:pPr>
              <w:pStyle w:val="TableBody"/>
              <w:spacing w:line="240" w:lineRule="auto"/>
              <w:rPr>
                <w:b/>
                <w:bCs/>
                <w:color w:val="auto"/>
                <w:lang w:val="en-US"/>
              </w:rPr>
            </w:pPr>
            <w:r w:rsidRPr="00612AA0">
              <w:rPr>
                <w:b/>
                <w:bCs/>
                <w:color w:val="auto"/>
                <w:lang w:val="en-US"/>
              </w:rPr>
              <w:t>&gt;64% hourly</w:t>
            </w:r>
          </w:p>
        </w:tc>
        <w:tc>
          <w:tcPr>
            <w:tcW w:w="885" w:type="pct"/>
          </w:tcPr>
          <w:p w14:paraId="0898CEEC" w14:textId="77777777" w:rsidR="00612AA0" w:rsidRPr="00612AA0" w:rsidRDefault="00612AA0" w:rsidP="00612AA0">
            <w:pPr>
              <w:pStyle w:val="TableBody"/>
              <w:spacing w:line="240" w:lineRule="auto"/>
              <w:rPr>
                <w:b/>
                <w:bCs/>
                <w:color w:val="auto"/>
                <w:lang w:val="en-US"/>
              </w:rPr>
            </w:pPr>
            <w:r w:rsidRPr="00612AA0">
              <w:rPr>
                <w:b/>
                <w:bCs/>
                <w:color w:val="auto"/>
                <w:lang w:val="en-US"/>
              </w:rPr>
              <w:t>Grid-scale BESS</w:t>
            </w:r>
          </w:p>
        </w:tc>
        <w:tc>
          <w:tcPr>
            <w:tcW w:w="735" w:type="pct"/>
          </w:tcPr>
          <w:p w14:paraId="6946F585" w14:textId="77777777" w:rsidR="00612AA0" w:rsidRPr="00612AA0" w:rsidRDefault="00612AA0" w:rsidP="00612AA0">
            <w:pPr>
              <w:pStyle w:val="TableBody"/>
              <w:spacing w:line="240" w:lineRule="auto"/>
              <w:rPr>
                <w:b/>
                <w:bCs/>
                <w:color w:val="auto"/>
                <w:lang w:val="en-US"/>
              </w:rPr>
            </w:pPr>
            <w:r w:rsidRPr="00612AA0">
              <w:rPr>
                <w:b/>
                <w:bCs/>
                <w:color w:val="auto"/>
                <w:lang w:val="en-US"/>
              </w:rPr>
              <w:t>Grid</w:t>
            </w:r>
          </w:p>
        </w:tc>
        <w:tc>
          <w:tcPr>
            <w:tcW w:w="685" w:type="pct"/>
          </w:tcPr>
          <w:p w14:paraId="6245DB96" w14:textId="77777777" w:rsidR="00612AA0" w:rsidRPr="00612AA0" w:rsidRDefault="00612AA0" w:rsidP="00612AA0">
            <w:pPr>
              <w:pStyle w:val="TableBody"/>
              <w:spacing w:line="240" w:lineRule="auto"/>
              <w:rPr>
                <w:b/>
                <w:bCs/>
                <w:color w:val="auto"/>
                <w:lang w:val="en-US"/>
              </w:rPr>
            </w:pPr>
            <w:r w:rsidRPr="00612AA0">
              <w:rPr>
                <w:b/>
                <w:bCs/>
                <w:color w:val="auto"/>
                <w:lang w:val="en-US"/>
              </w:rPr>
              <w:t>$40-60/MWh</w:t>
            </w:r>
          </w:p>
        </w:tc>
      </w:tr>
      <w:tr w:rsidR="00612AA0" w14:paraId="4DD4D8D9" w14:textId="77777777" w:rsidTr="003C05F8">
        <w:tc>
          <w:tcPr>
            <w:tcW w:w="827" w:type="pct"/>
          </w:tcPr>
          <w:p w14:paraId="58A3C662" w14:textId="77777777" w:rsidR="00612AA0" w:rsidRPr="00612AA0" w:rsidRDefault="00612AA0" w:rsidP="00612AA0">
            <w:pPr>
              <w:pStyle w:val="TableBody"/>
              <w:spacing w:line="240" w:lineRule="auto"/>
              <w:rPr>
                <w:b/>
                <w:bCs/>
                <w:color w:val="auto"/>
                <w:lang w:val="en-US"/>
              </w:rPr>
            </w:pPr>
            <w:r w:rsidRPr="00612AA0">
              <w:rPr>
                <w:b/>
                <w:bCs/>
                <w:color w:val="auto"/>
                <w:lang w:val="en-US"/>
              </w:rPr>
              <w:t>Meta</w:t>
            </w:r>
          </w:p>
        </w:tc>
        <w:tc>
          <w:tcPr>
            <w:tcW w:w="984" w:type="pct"/>
          </w:tcPr>
          <w:p w14:paraId="1DFE7B44" w14:textId="77777777" w:rsidR="00612AA0" w:rsidRPr="00612AA0" w:rsidRDefault="00612AA0" w:rsidP="00612AA0">
            <w:pPr>
              <w:pStyle w:val="TableBody"/>
              <w:spacing w:line="240" w:lineRule="auto"/>
              <w:rPr>
                <w:b/>
                <w:bCs/>
                <w:color w:val="auto"/>
                <w:lang w:val="en-US"/>
              </w:rPr>
            </w:pPr>
            <w:r w:rsidRPr="00612AA0">
              <w:rPr>
                <w:b/>
                <w:bCs/>
                <w:color w:val="auto"/>
                <w:lang w:val="en-US"/>
              </w:rPr>
              <w:t>Hybrid Fuel Cell</w:t>
            </w:r>
          </w:p>
        </w:tc>
        <w:tc>
          <w:tcPr>
            <w:tcW w:w="884" w:type="pct"/>
          </w:tcPr>
          <w:p w14:paraId="46CB9520" w14:textId="77777777" w:rsidR="00612AA0" w:rsidRPr="00612AA0" w:rsidRDefault="00612AA0" w:rsidP="00612AA0">
            <w:pPr>
              <w:pStyle w:val="TableBody"/>
              <w:spacing w:line="240" w:lineRule="auto"/>
              <w:rPr>
                <w:b/>
                <w:bCs/>
                <w:color w:val="auto"/>
                <w:lang w:val="en-US"/>
              </w:rPr>
            </w:pPr>
            <w:r w:rsidRPr="00612AA0">
              <w:rPr>
                <w:b/>
                <w:bCs/>
                <w:color w:val="auto"/>
                <w:lang w:val="en-US"/>
              </w:rPr>
              <w:t>~100% (annual)</w:t>
            </w:r>
          </w:p>
        </w:tc>
        <w:tc>
          <w:tcPr>
            <w:tcW w:w="885" w:type="pct"/>
          </w:tcPr>
          <w:p w14:paraId="0B24DA06" w14:textId="77777777" w:rsidR="00612AA0" w:rsidRPr="00612AA0" w:rsidRDefault="00612AA0" w:rsidP="00612AA0">
            <w:pPr>
              <w:pStyle w:val="TableBody"/>
              <w:spacing w:line="240" w:lineRule="auto"/>
              <w:rPr>
                <w:b/>
                <w:bCs/>
                <w:color w:val="auto"/>
                <w:lang w:val="en-US"/>
              </w:rPr>
            </w:pPr>
            <w:r w:rsidRPr="00612AA0">
              <w:rPr>
                <w:b/>
                <w:bCs/>
                <w:color w:val="auto"/>
                <w:lang w:val="en-US"/>
              </w:rPr>
              <w:t>Fuel Cell</w:t>
            </w:r>
          </w:p>
        </w:tc>
        <w:tc>
          <w:tcPr>
            <w:tcW w:w="735" w:type="pct"/>
          </w:tcPr>
          <w:p w14:paraId="1FCCD327" w14:textId="77777777" w:rsidR="00612AA0" w:rsidRPr="00612AA0" w:rsidRDefault="00612AA0" w:rsidP="00612AA0">
            <w:pPr>
              <w:pStyle w:val="TableBody"/>
              <w:spacing w:line="240" w:lineRule="auto"/>
              <w:rPr>
                <w:b/>
                <w:bCs/>
                <w:color w:val="auto"/>
                <w:lang w:val="en-US"/>
              </w:rPr>
            </w:pPr>
            <w:r w:rsidRPr="00612AA0">
              <w:rPr>
                <w:b/>
                <w:bCs/>
                <w:color w:val="auto"/>
                <w:lang w:val="en-US"/>
              </w:rPr>
              <w:t>Nat Gas</w:t>
            </w:r>
          </w:p>
        </w:tc>
        <w:tc>
          <w:tcPr>
            <w:tcW w:w="685" w:type="pct"/>
          </w:tcPr>
          <w:p w14:paraId="0FCD30C6" w14:textId="77777777" w:rsidR="00612AA0" w:rsidRPr="00612AA0" w:rsidRDefault="00612AA0" w:rsidP="00612AA0">
            <w:pPr>
              <w:pStyle w:val="TableBody"/>
              <w:spacing w:line="240" w:lineRule="auto"/>
              <w:rPr>
                <w:b/>
                <w:bCs/>
                <w:color w:val="auto"/>
                <w:lang w:val="en-US"/>
              </w:rPr>
            </w:pPr>
            <w:r w:rsidRPr="00612AA0">
              <w:rPr>
                <w:b/>
                <w:bCs/>
                <w:color w:val="auto"/>
                <w:lang w:val="en-US"/>
              </w:rPr>
              <w:t>$50-80/MWh</w:t>
            </w:r>
          </w:p>
        </w:tc>
      </w:tr>
      <w:tr w:rsidR="00612AA0" w14:paraId="3CC11C7D" w14:textId="77777777" w:rsidTr="003C05F8">
        <w:tc>
          <w:tcPr>
            <w:tcW w:w="827" w:type="pct"/>
          </w:tcPr>
          <w:p w14:paraId="798FCA28" w14:textId="77777777" w:rsidR="00612AA0" w:rsidRPr="00612AA0" w:rsidRDefault="00612AA0" w:rsidP="00612AA0">
            <w:pPr>
              <w:pStyle w:val="TableBody"/>
              <w:spacing w:line="240" w:lineRule="auto"/>
              <w:rPr>
                <w:b/>
                <w:bCs/>
                <w:color w:val="auto"/>
                <w:lang w:val="en-US"/>
              </w:rPr>
            </w:pPr>
            <w:r w:rsidRPr="00612AA0">
              <w:rPr>
                <w:b/>
                <w:bCs/>
                <w:color w:val="auto"/>
                <w:lang w:val="en-US"/>
              </w:rPr>
              <w:t>Microsoft</w:t>
            </w:r>
          </w:p>
        </w:tc>
        <w:tc>
          <w:tcPr>
            <w:tcW w:w="984" w:type="pct"/>
          </w:tcPr>
          <w:p w14:paraId="1C4B4BC2" w14:textId="77777777" w:rsidR="00612AA0" w:rsidRPr="00612AA0" w:rsidRDefault="00612AA0" w:rsidP="00612AA0">
            <w:pPr>
              <w:pStyle w:val="TableBody"/>
              <w:spacing w:line="240" w:lineRule="auto"/>
              <w:rPr>
                <w:b/>
                <w:bCs/>
                <w:color w:val="auto"/>
                <w:lang w:val="en-US"/>
              </w:rPr>
            </w:pPr>
            <w:r w:rsidRPr="00612AA0">
              <w:rPr>
                <w:b/>
                <w:bCs/>
                <w:color w:val="auto"/>
                <w:lang w:val="en-US"/>
              </w:rPr>
              <w:t>Modular + Nuclear</w:t>
            </w:r>
          </w:p>
        </w:tc>
        <w:tc>
          <w:tcPr>
            <w:tcW w:w="884" w:type="pct"/>
          </w:tcPr>
          <w:p w14:paraId="0FA60242" w14:textId="77777777" w:rsidR="00612AA0" w:rsidRPr="00612AA0" w:rsidRDefault="00612AA0" w:rsidP="00612AA0">
            <w:pPr>
              <w:pStyle w:val="TableBody"/>
              <w:spacing w:line="240" w:lineRule="auto"/>
              <w:rPr>
                <w:b/>
                <w:bCs/>
                <w:color w:val="auto"/>
                <w:lang w:val="en-US"/>
              </w:rPr>
            </w:pPr>
            <w:r w:rsidRPr="00612AA0">
              <w:rPr>
                <w:b/>
                <w:bCs/>
                <w:color w:val="auto"/>
                <w:lang w:val="en-US"/>
              </w:rPr>
              <w:t>TBD</w:t>
            </w:r>
          </w:p>
        </w:tc>
        <w:tc>
          <w:tcPr>
            <w:tcW w:w="885" w:type="pct"/>
          </w:tcPr>
          <w:p w14:paraId="6EB15AF7" w14:textId="77777777" w:rsidR="00612AA0" w:rsidRPr="00612AA0" w:rsidRDefault="00612AA0" w:rsidP="00612AA0">
            <w:pPr>
              <w:pStyle w:val="TableBody"/>
              <w:spacing w:line="240" w:lineRule="auto"/>
              <w:rPr>
                <w:b/>
                <w:bCs/>
                <w:color w:val="auto"/>
                <w:lang w:val="en-US"/>
              </w:rPr>
            </w:pPr>
            <w:r w:rsidRPr="00612AA0">
              <w:rPr>
                <w:b/>
                <w:bCs/>
                <w:color w:val="auto"/>
                <w:lang w:val="en-US"/>
              </w:rPr>
              <w:t>Nuclear (future)</w:t>
            </w:r>
          </w:p>
        </w:tc>
        <w:tc>
          <w:tcPr>
            <w:tcW w:w="735" w:type="pct"/>
          </w:tcPr>
          <w:p w14:paraId="24FBB064" w14:textId="77777777" w:rsidR="00612AA0" w:rsidRPr="00612AA0" w:rsidRDefault="00612AA0" w:rsidP="00612AA0">
            <w:pPr>
              <w:pStyle w:val="TableBody"/>
              <w:spacing w:line="240" w:lineRule="auto"/>
              <w:rPr>
                <w:b/>
                <w:bCs/>
                <w:color w:val="auto"/>
                <w:lang w:val="en-US"/>
              </w:rPr>
            </w:pPr>
            <w:r w:rsidRPr="00612AA0">
              <w:rPr>
                <w:b/>
                <w:bCs/>
                <w:color w:val="auto"/>
                <w:lang w:val="en-US"/>
              </w:rPr>
              <w:t>Grid</w:t>
            </w:r>
          </w:p>
        </w:tc>
        <w:tc>
          <w:tcPr>
            <w:tcW w:w="685" w:type="pct"/>
          </w:tcPr>
          <w:p w14:paraId="66AAAD24" w14:textId="77777777" w:rsidR="00612AA0" w:rsidRPr="00612AA0" w:rsidRDefault="00612AA0" w:rsidP="00612AA0">
            <w:pPr>
              <w:pStyle w:val="TableBody"/>
              <w:spacing w:line="240" w:lineRule="auto"/>
              <w:rPr>
                <w:b/>
                <w:bCs/>
                <w:color w:val="auto"/>
                <w:lang w:val="en-US"/>
              </w:rPr>
            </w:pPr>
            <w:r w:rsidRPr="00612AA0">
              <w:rPr>
                <w:b/>
                <w:bCs/>
                <w:color w:val="auto"/>
                <w:lang w:val="en-US"/>
              </w:rPr>
              <w:t>TBD</w:t>
            </w:r>
          </w:p>
        </w:tc>
      </w:tr>
      <w:tr w:rsidR="00612AA0" w14:paraId="6767BCDC" w14:textId="77777777" w:rsidTr="003C05F8">
        <w:tc>
          <w:tcPr>
            <w:tcW w:w="827" w:type="pct"/>
          </w:tcPr>
          <w:p w14:paraId="576EBC27" w14:textId="77777777" w:rsidR="00612AA0" w:rsidRPr="00612AA0" w:rsidRDefault="00612AA0" w:rsidP="00612AA0">
            <w:pPr>
              <w:pStyle w:val="TableBody"/>
              <w:spacing w:line="240" w:lineRule="auto"/>
              <w:rPr>
                <w:b/>
                <w:bCs/>
                <w:color w:val="auto"/>
                <w:lang w:val="en-US"/>
              </w:rPr>
            </w:pPr>
            <w:r w:rsidRPr="00612AA0">
              <w:rPr>
                <w:b/>
                <w:bCs/>
                <w:color w:val="auto"/>
                <w:lang w:val="en-US"/>
              </w:rPr>
              <w:t>Equinix</w:t>
            </w:r>
          </w:p>
        </w:tc>
        <w:tc>
          <w:tcPr>
            <w:tcW w:w="984" w:type="pct"/>
          </w:tcPr>
          <w:p w14:paraId="4E350EB7" w14:textId="77777777" w:rsidR="00612AA0" w:rsidRPr="00612AA0" w:rsidRDefault="00612AA0" w:rsidP="00612AA0">
            <w:pPr>
              <w:pStyle w:val="TableBody"/>
              <w:spacing w:line="240" w:lineRule="auto"/>
              <w:rPr>
                <w:b/>
                <w:bCs/>
                <w:color w:val="auto"/>
                <w:lang w:val="en-US"/>
              </w:rPr>
            </w:pPr>
            <w:r w:rsidRPr="00612AA0">
              <w:rPr>
                <w:b/>
                <w:bCs/>
                <w:color w:val="auto"/>
                <w:lang w:val="en-US"/>
              </w:rPr>
              <w:t>Distributed PPAs</w:t>
            </w:r>
          </w:p>
        </w:tc>
        <w:tc>
          <w:tcPr>
            <w:tcW w:w="884" w:type="pct"/>
          </w:tcPr>
          <w:p w14:paraId="6482678F" w14:textId="77777777" w:rsidR="00612AA0" w:rsidRPr="00612AA0" w:rsidRDefault="00612AA0" w:rsidP="00612AA0">
            <w:pPr>
              <w:pStyle w:val="TableBody"/>
              <w:spacing w:line="240" w:lineRule="auto"/>
              <w:rPr>
                <w:b/>
                <w:bCs/>
                <w:color w:val="auto"/>
                <w:lang w:val="en-US"/>
              </w:rPr>
            </w:pPr>
            <w:r w:rsidRPr="00612AA0">
              <w:rPr>
                <w:b/>
                <w:bCs/>
                <w:color w:val="auto"/>
                <w:lang w:val="en-US"/>
              </w:rPr>
              <w:t>96% (global)</w:t>
            </w:r>
          </w:p>
        </w:tc>
        <w:tc>
          <w:tcPr>
            <w:tcW w:w="885" w:type="pct"/>
          </w:tcPr>
          <w:p w14:paraId="79CBB40F" w14:textId="77777777" w:rsidR="00612AA0" w:rsidRPr="00612AA0" w:rsidRDefault="00612AA0" w:rsidP="00612AA0">
            <w:pPr>
              <w:pStyle w:val="TableBody"/>
              <w:spacing w:line="240" w:lineRule="auto"/>
              <w:rPr>
                <w:b/>
                <w:bCs/>
                <w:color w:val="auto"/>
                <w:lang w:val="en-US"/>
              </w:rPr>
            </w:pPr>
            <w:r w:rsidRPr="00612AA0">
              <w:rPr>
                <w:b/>
                <w:bCs/>
                <w:color w:val="auto"/>
                <w:lang w:val="en-US"/>
              </w:rPr>
              <w:t>Minimal</w:t>
            </w:r>
          </w:p>
        </w:tc>
        <w:tc>
          <w:tcPr>
            <w:tcW w:w="735" w:type="pct"/>
          </w:tcPr>
          <w:p w14:paraId="16C79EDC" w14:textId="77777777" w:rsidR="00612AA0" w:rsidRPr="00612AA0" w:rsidRDefault="00612AA0" w:rsidP="00612AA0">
            <w:pPr>
              <w:pStyle w:val="TableBody"/>
              <w:spacing w:line="240" w:lineRule="auto"/>
              <w:rPr>
                <w:b/>
                <w:bCs/>
                <w:color w:val="auto"/>
                <w:lang w:val="en-US"/>
              </w:rPr>
            </w:pPr>
            <w:r w:rsidRPr="00612AA0">
              <w:rPr>
                <w:b/>
                <w:bCs/>
                <w:color w:val="auto"/>
                <w:lang w:val="en-US"/>
              </w:rPr>
              <w:t>Grid</w:t>
            </w:r>
          </w:p>
        </w:tc>
        <w:tc>
          <w:tcPr>
            <w:tcW w:w="685" w:type="pct"/>
          </w:tcPr>
          <w:p w14:paraId="032617B2" w14:textId="77777777" w:rsidR="00612AA0" w:rsidRPr="00612AA0" w:rsidRDefault="00612AA0" w:rsidP="00612AA0">
            <w:pPr>
              <w:pStyle w:val="TableBody"/>
              <w:spacing w:line="240" w:lineRule="auto"/>
              <w:rPr>
                <w:b/>
                <w:bCs/>
                <w:color w:val="auto"/>
                <w:lang w:val="en-US"/>
              </w:rPr>
            </w:pPr>
            <w:r w:rsidRPr="00612AA0">
              <w:rPr>
                <w:b/>
                <w:bCs/>
                <w:color w:val="auto"/>
                <w:lang w:val="en-US"/>
              </w:rPr>
              <w:t>$35-60/MWh</w:t>
            </w:r>
          </w:p>
        </w:tc>
      </w:tr>
      <w:tr w:rsidR="00612AA0" w14:paraId="3F3D68DE" w14:textId="77777777" w:rsidTr="003C05F8">
        <w:tc>
          <w:tcPr>
            <w:tcW w:w="827" w:type="pct"/>
          </w:tcPr>
          <w:p w14:paraId="11C542C8" w14:textId="77777777" w:rsidR="00612AA0" w:rsidRPr="00612AA0" w:rsidRDefault="00612AA0" w:rsidP="00612AA0">
            <w:pPr>
              <w:pStyle w:val="TableBody"/>
              <w:spacing w:line="240" w:lineRule="auto"/>
              <w:rPr>
                <w:b/>
                <w:bCs/>
                <w:color w:val="auto"/>
                <w:lang w:val="en-US"/>
              </w:rPr>
            </w:pPr>
            <w:r w:rsidRPr="00612AA0">
              <w:rPr>
                <w:b/>
                <w:bCs/>
                <w:color w:val="auto"/>
                <w:lang w:val="en-US"/>
              </w:rPr>
              <w:t>Apple</w:t>
            </w:r>
          </w:p>
        </w:tc>
        <w:tc>
          <w:tcPr>
            <w:tcW w:w="984" w:type="pct"/>
          </w:tcPr>
          <w:p w14:paraId="579FAAA0" w14:textId="77777777" w:rsidR="00612AA0" w:rsidRPr="00612AA0" w:rsidRDefault="00612AA0" w:rsidP="00612AA0">
            <w:pPr>
              <w:pStyle w:val="TableBody"/>
              <w:spacing w:line="240" w:lineRule="auto"/>
              <w:rPr>
                <w:b/>
                <w:bCs/>
                <w:color w:val="auto"/>
                <w:lang w:val="en-US"/>
              </w:rPr>
            </w:pPr>
            <w:r w:rsidRPr="00612AA0">
              <w:rPr>
                <w:b/>
                <w:bCs/>
                <w:color w:val="auto"/>
                <w:lang w:val="en-US"/>
              </w:rPr>
              <w:t>Owned + PPAs</w:t>
            </w:r>
          </w:p>
        </w:tc>
        <w:tc>
          <w:tcPr>
            <w:tcW w:w="884" w:type="pct"/>
          </w:tcPr>
          <w:p w14:paraId="2361B044" w14:textId="77777777" w:rsidR="00612AA0" w:rsidRPr="00612AA0" w:rsidRDefault="00612AA0" w:rsidP="00612AA0">
            <w:pPr>
              <w:pStyle w:val="TableBody"/>
              <w:spacing w:line="240" w:lineRule="auto"/>
              <w:rPr>
                <w:b/>
                <w:bCs/>
                <w:color w:val="auto"/>
                <w:lang w:val="en-US"/>
              </w:rPr>
            </w:pPr>
            <w:r w:rsidRPr="00612AA0">
              <w:rPr>
                <w:b/>
                <w:bCs/>
                <w:color w:val="auto"/>
                <w:lang w:val="en-US"/>
              </w:rPr>
              <w:t>100% (annual)</w:t>
            </w:r>
          </w:p>
        </w:tc>
        <w:tc>
          <w:tcPr>
            <w:tcW w:w="885" w:type="pct"/>
          </w:tcPr>
          <w:p w14:paraId="75B3E902" w14:textId="77777777" w:rsidR="00612AA0" w:rsidRPr="00612AA0" w:rsidRDefault="00612AA0" w:rsidP="00612AA0">
            <w:pPr>
              <w:pStyle w:val="TableBody"/>
              <w:spacing w:line="240" w:lineRule="auto"/>
              <w:rPr>
                <w:b/>
                <w:bCs/>
                <w:color w:val="auto"/>
                <w:lang w:val="en-US"/>
              </w:rPr>
            </w:pPr>
            <w:r w:rsidRPr="00612AA0">
              <w:rPr>
                <w:b/>
                <w:bCs/>
                <w:color w:val="auto"/>
                <w:lang w:val="en-US"/>
              </w:rPr>
              <w:t>On-site solar</w:t>
            </w:r>
          </w:p>
        </w:tc>
        <w:tc>
          <w:tcPr>
            <w:tcW w:w="735" w:type="pct"/>
          </w:tcPr>
          <w:p w14:paraId="11FED66F" w14:textId="77777777" w:rsidR="00612AA0" w:rsidRPr="00612AA0" w:rsidRDefault="00612AA0" w:rsidP="00612AA0">
            <w:pPr>
              <w:pStyle w:val="TableBody"/>
              <w:spacing w:line="240" w:lineRule="auto"/>
              <w:rPr>
                <w:b/>
                <w:bCs/>
                <w:color w:val="auto"/>
                <w:lang w:val="en-US"/>
              </w:rPr>
            </w:pPr>
            <w:r w:rsidRPr="00612AA0">
              <w:rPr>
                <w:b/>
                <w:bCs/>
                <w:color w:val="auto"/>
                <w:lang w:val="en-US"/>
              </w:rPr>
              <w:t>Rare</w:t>
            </w:r>
          </w:p>
        </w:tc>
        <w:tc>
          <w:tcPr>
            <w:tcW w:w="685" w:type="pct"/>
          </w:tcPr>
          <w:p w14:paraId="78751898" w14:textId="77777777" w:rsidR="00612AA0" w:rsidRPr="00612AA0" w:rsidRDefault="00612AA0" w:rsidP="00612AA0">
            <w:pPr>
              <w:pStyle w:val="TableBody"/>
              <w:spacing w:line="240" w:lineRule="auto"/>
              <w:rPr>
                <w:b/>
                <w:bCs/>
                <w:color w:val="auto"/>
                <w:lang w:val="en-US"/>
              </w:rPr>
            </w:pPr>
            <w:r w:rsidRPr="00612AA0">
              <w:rPr>
                <w:b/>
                <w:bCs/>
                <w:color w:val="auto"/>
                <w:lang w:val="en-US"/>
              </w:rPr>
              <w:t>$60-90/MWh</w:t>
            </w:r>
          </w:p>
        </w:tc>
      </w:tr>
    </w:tbl>
    <w:p w14:paraId="567FFF88" w14:textId="77777777" w:rsidR="003C05F8" w:rsidRDefault="003C05F8" w:rsidP="003C05F8">
      <w:pPr>
        <w:spacing w:after="120"/>
        <w:ind w:firstLine="480"/>
      </w:pPr>
      <w:r>
        <w:t>Common success factors identified across all five case studies include: (1) long-term renewable procurement through PPAs or owned generation, providing price stability and supply certainty; (2) geographic diversification of data center capacity across regions with complementary renewable resources; (3) active engagement in workload flexibility and load shifting to maximize renewable utilization; (4) proactive regulatory engagement to shape supportive policy environments; and (5) investment in proprietary technology and control systems that enable sophisticated energy management. These factors collectively validate the multi-component approach proposed in this paper's framework.</w:t>
      </w:r>
    </w:p>
    <w:p w14:paraId="169A63F1" w14:textId="2C90619B" w:rsidR="00EC0439" w:rsidRDefault="00EC0439" w:rsidP="00EC0439">
      <w:pPr>
        <w:pStyle w:val="Heading10"/>
        <w:rPr>
          <w:color w:val="auto"/>
        </w:rPr>
      </w:pPr>
      <w:r>
        <w:rPr>
          <w:color w:val="auto"/>
          <w:lang w:eastAsia="zh-CN"/>
        </w:rPr>
        <w:t xml:space="preserve">9. </w:t>
      </w:r>
      <w:r>
        <w:rPr>
          <w:color w:val="auto"/>
        </w:rPr>
        <w:t>Technical Challenges and Solutions</w:t>
      </w:r>
    </w:p>
    <w:p w14:paraId="5E784FAE" w14:textId="77777777" w:rsidR="00770EE9" w:rsidRDefault="00770EE9" w:rsidP="00770EE9">
      <w:pPr>
        <w:spacing w:after="120"/>
        <w:ind w:firstLine="480"/>
      </w:pPr>
      <w:r>
        <w:t>This chapter provides a detailed examination of the principal technical barriers to high-renewable-penetration data center operation and presents state-of-the-art mitigation strategies. Each challenge is analyzed with respect to its physical basis, impact on system design and operation, and available or emerging solutions.</w:t>
      </w:r>
    </w:p>
    <w:p w14:paraId="040DC28A" w14:textId="77777777" w:rsidR="003F24D0" w:rsidRPr="003F24D0" w:rsidRDefault="003F24D0" w:rsidP="00820A59">
      <w:pPr>
        <w:pStyle w:val="Heading20"/>
        <w:jc w:val="both"/>
        <w:rPr>
          <w:color w:val="auto"/>
        </w:rPr>
      </w:pPr>
      <w:r w:rsidRPr="003F24D0">
        <w:rPr>
          <w:color w:val="auto"/>
        </w:rPr>
        <w:t>9.1 Intermittency and Predictability</w:t>
      </w:r>
    </w:p>
    <w:p w14:paraId="1EECDA56" w14:textId="340A88DA" w:rsidR="003F24D0" w:rsidRPr="003F24D0" w:rsidRDefault="003F24D0" w:rsidP="00CF09BC">
      <w:pPr>
        <w:spacing w:after="120"/>
        <w:ind w:firstLine="480"/>
      </w:pPr>
      <w:r w:rsidRPr="003F24D0">
        <w:t>Solar and wind power are intermittent, and this intermittency can be seen on various timescales ranging from transients on the timescale of seconds or minutes, to a seasonal fluctuation in the resource. The high errors in day-ahead forecasts (10-15</w:t>
      </w:r>
      <w:r w:rsidR="008B333D">
        <w:t xml:space="preserve">% </w:t>
      </w:r>
      <w:r w:rsidRPr="003F24D0">
        <w:t>MAPE) and intra-hour forecasts (5-10</w:t>
      </w:r>
      <w:r w:rsidR="008B333D">
        <w:t xml:space="preserve">% </w:t>
      </w:r>
      <w:r w:rsidRPr="003F24D0">
        <w:t>MAPE) introduce uncertainty in dispatch planning that must be addressed through the use of storage, demand response, and grid interconnection</w:t>
      </w:r>
      <w:r w:rsidR="003E44F5">
        <w:fldChar w:fldCharType="begin"/>
      </w:r>
      <w:r w:rsidR="003E44F5">
        <w:instrText xml:space="preserve"> ADDIN ZOTERO_ITEM CSL_CITATION {"citationID":"B5ImwyE7","properties":{"unsorted":false,"formattedCitation":"[134]","plainCitation":"[134]","noteIndex":0},"citationItems":[{"id":2112,"uris":["http://zotero.org/users/9870935/items/YCQ57T5E"],"itemData":{"id":2112,"type":"article-journal","container-title":"Progress in Energy and Combustion Science","DOI":"10.1016/j.pecs.2013.06.002","ISSN":"03601285","issue":"6","journalAbbreviation":"Progress in Energy and Combustion Science","language":"en","page":"535-576","source":"DOI.org (Crossref)","title":"Solar forecasting methods for renewable energy integration","volume":"39","author":[{"family":"Inman","given":"Rich H."},{"family":"Pedro","given":"Hugo T.C."},{"family":"Coimbra","given":"Carlos F.M."}],"issued":{"date-parts":[["2013",12]]}}}],"schema":"https://github.com/citation-style-language/schema/raw/master/csl-citation.json"} </w:instrText>
      </w:r>
      <w:r w:rsidR="003E44F5">
        <w:fldChar w:fldCharType="separate"/>
      </w:r>
      <w:r w:rsidR="003E44F5" w:rsidRPr="003E44F5">
        <w:t>[134]</w:t>
      </w:r>
      <w:r w:rsidR="003E44F5">
        <w:fldChar w:fldCharType="end"/>
      </w:r>
      <w:r w:rsidRPr="003F24D0">
        <w:t>. The storage duration needed to meet typical shortfalls in renewables varies with the resource profile, with solar-only systems needing 4 to 8 hours of storage to meet evening peak requirements, and wind dominated systems in regions with 24 to 72 hours of storage lulls needing 24 to 72 hours of storage</w:t>
      </w:r>
      <w:r w:rsidR="00CF09BC">
        <w:fldChar w:fldCharType="begin"/>
      </w:r>
      <w:r w:rsidR="00CF09BC">
        <w:instrText xml:space="preserve"> ADDIN ZOTERO_ITEM CSL_CITATION {"citationID":"AurF55j7","properties":{"unsorted":false,"formattedCitation":"[76]","plainCitation":"[76]","noteIndex":0},"citationItems":[{"id":2031,"uris":["http://zotero.org/users/9870935/items/AC53WR7L"],"itemData":{"id":2031,"type":"article-journal","abstract":"The demand for computing power has increased at a rate never seen before due to the quick development of artificial intelligence (AI) technologies and applications. Consequently, AI data centers, referring to computing facilities specifically designed for large-scale artificial intelligence workloads, have become one of the fastest-growing electricity consumers globally. Therefore, it is essential to understand the load characteristics of AI data centers and their impact on the grid. This paper provides a comprehensive review of the evolving energy landscape of AI data centers. Specifically, this paper (i) presents the energy consumption structure in AI data centers and analyzes the key workload features and patterns in four stages, emphasizing how high power density, temporal variability, and cooling requirements shape total energy use, (ii) examines the impacts of AI data centers for power systems, including impacts on grid stability, reliability and power quality, electricity markets and pricing, economic dispatch and reserve scheduling, and infrastructure planning and coordination, (iii) presents key technological, operational and sustainability challenges for AI data centers, including renewable energy integration, waste heat utilization, carbon-neutral operation, and water–energy nexus constraints, (iv) evaluates emerging solutions and opportunities, spanning grid-side measures, data-center-side strategies, and user-side demand-flexibility mechanisms, (v) identifies future research priorities and policy directions to enable the sustainable co-evolution of AI infrastructure and electric power systems. The review aims to support utilities, system operators, and researchers in maintaining reliable, resilient, and sustainable grid operation in the context of the rapid development of AI data centers.","container-title":"Energies","DOI":"10.3390/en19030722","ISSN":"1996-1073","issue":"3","journalAbbreviation":"Energies","language":"en","page":"722","source":"DOI.org (Crossref)","title":"Power for AI Data Centers: Energy Demand, Grid Impacts, Challenges and Perspectives","title-short":"Power for AI Data Centers","volume":"19","author":[{"family":"Sheng","given":"Yu"},{"family":"Zhang","given":"Chenxuan"},{"family":"Zhu","given":"Zixuan"},{"family":"Xu","given":"Hongyi"},{"family":"Wen","given":"Junqi"},{"family":"Wang","given":"Ruoheng"},{"family":"Yang","given":"Jianjun"},{"family":"Wang","given":"Qin"},{"family":"Bu","given":"Siqi"}],"issued":{"date-parts":[["2026",1,29]]}}}],"schema":"https://github.com/citation-style-language/schema/raw/master/csl-citation.json"} </w:instrText>
      </w:r>
      <w:r w:rsidR="00CF09BC">
        <w:fldChar w:fldCharType="separate"/>
      </w:r>
      <w:r w:rsidR="00CF09BC" w:rsidRPr="00CF09BC">
        <w:t>[76]</w:t>
      </w:r>
      <w:r w:rsidR="00CF09BC">
        <w:fldChar w:fldCharType="end"/>
      </w:r>
      <w:r w:rsidRPr="003F24D0">
        <w:t>.</w:t>
      </w:r>
    </w:p>
    <w:p w14:paraId="7F80E38A" w14:textId="53942816" w:rsidR="003F24D0" w:rsidRPr="003F24D0" w:rsidRDefault="003F24D0" w:rsidP="00820A59">
      <w:pPr>
        <w:spacing w:after="120"/>
        <w:ind w:firstLine="480"/>
      </w:pPr>
      <w:r w:rsidRPr="003F24D0">
        <w:t>The use of geographic diversity in dispersed facilities offers a strong tool for minimizing overall variability. Spatial smoothing from facilities with distances greater than 500 km can lower the coefficient of variation of combined renewable energy generation by 40 to 60</w:t>
      </w:r>
      <w:r w:rsidR="0019592A">
        <w:t xml:space="preserve">% </w:t>
      </w:r>
      <w:r w:rsidRPr="003F24D0">
        <w:t>when compared to a single-site deployment</w:t>
      </w:r>
      <w:r w:rsidR="0019592A">
        <w:fldChar w:fldCharType="begin"/>
      </w:r>
      <w:r w:rsidR="0019592A">
        <w:instrText xml:space="preserve"> ADDIN ZOTERO_ITEM CSL_CITATION {"citationID":"ntStXCHv","properties":{"unsorted":false,"formattedCitation":"[98]","plainCitation":"[98]","noteIndex":0},"citationItems":[{"id":2063,"uris":["http://zotero.org/users/9870935/items/47PEXHYC"],"itemData":{"id":2063,"type":"article-journal","container-title":"Communications Earth &amp; Environment","DOI":"10.1038/s43247-024-01850-5","ISSN":"2662-4435","issue":"1","journalAbbreviation":"Commun Earth Environ","language":"en","page":"661","source":"DOI.org (Crossref)","title":"Renewable energy quality trilemma and coincident wind and solar droughts","volume":"5","author":[{"family":"Li","given":"Mingquan"},{"family":"Ma","given":"Qingyuan"},{"family":"Shan","given":"Rui"},{"family":"Abdulla","given":"Ahmed"},{"family":"Virguez","given":"Edgar"},{"family":"Gao","given":"Shuo"},{"family":"Patiño-Echeverri","given":"Dalia"}],"issued":{"date-parts":[["2024",11,6]]}}}],"schema":"https://github.com/citation-style-language/schema/raw/master/csl-citation.json"} </w:instrText>
      </w:r>
      <w:r w:rsidR="0019592A">
        <w:fldChar w:fldCharType="separate"/>
      </w:r>
      <w:r w:rsidR="0019592A" w:rsidRPr="0019592A">
        <w:t>[98]</w:t>
      </w:r>
      <w:r w:rsidR="0019592A">
        <w:fldChar w:fldCharType="end"/>
      </w:r>
      <w:r w:rsidRPr="003F24D0">
        <w:t xml:space="preserve">. For multi-facility operators, this natural smoothing effect will lessen the need for per-facility </w:t>
      </w:r>
      <w:r w:rsidR="00C52C71" w:rsidRPr="003F24D0">
        <w:t>storage and</w:t>
      </w:r>
      <w:r w:rsidRPr="003F24D0">
        <w:t xml:space="preserve"> allow for more efficient use of common grid interconnection capacity. The use of advanced forecasting techniques such </w:t>
      </w:r>
      <w:r w:rsidRPr="003F24D0">
        <w:lastRenderedPageBreak/>
        <w:t>as ensemble numerical weather prediction and cloud tracking using satellites has further enhanced the predictability of weather events, with machine learning post-processing reducing the MAPE by up to 15-25</w:t>
      </w:r>
      <w:r w:rsidR="00C52C71">
        <w:t>%</w:t>
      </w:r>
      <w:r w:rsidR="00820A59">
        <w:fldChar w:fldCharType="begin"/>
      </w:r>
      <w:r w:rsidR="00820A59">
        <w:instrText xml:space="preserve"> ADDIN ZOTERO_ITEM CSL_CITATION {"citationID":"0CGGN4om","properties":{"unsorted":false,"formattedCitation":"[157]","plainCitation":"[157]","noteIndex":0},"citationItems":[{"id":217,"uris":["http://zotero.org/users/9870935/items/MST8XCTD"],"itemData":{"id":217,"type":"article-journal","container-title":"IEEE Access","DOI":"10.1109/ACCESS.2023.3314742","ISSN":"2169-3536","journalAbbreviation":"IEEE Access","license":"https://creativecommons.org/licenses/by-nc-nd/4.0/","page":"100438-100457","source":"DOI.org (Crossref)","title":"Harmonics Forecasting of Wind and Solar Hybrid Model Based on Deep Machine Learning","volume":"11","author":[{"family":"Hadi","given":"Fawaz M. Al"},{"family":"Aly","given":"Hamed H."},{"family":"Little","given":"Timothy"}],"issued":{"date-parts":[["2023"]]}}}],"schema":"https://github.com/citation-style-language/schema/raw/master/csl-citation.json"} </w:instrText>
      </w:r>
      <w:r w:rsidR="00820A59">
        <w:fldChar w:fldCharType="separate"/>
      </w:r>
      <w:r w:rsidR="00820A59" w:rsidRPr="00820A59">
        <w:t>[157]</w:t>
      </w:r>
      <w:r w:rsidR="00820A59">
        <w:fldChar w:fldCharType="end"/>
      </w:r>
      <w:r w:rsidRPr="003F24D0">
        <w:t>.</w:t>
      </w:r>
    </w:p>
    <w:p w14:paraId="0EA61E38" w14:textId="77777777" w:rsidR="003F24D0" w:rsidRPr="00820A59" w:rsidRDefault="003F24D0" w:rsidP="00820A59">
      <w:pPr>
        <w:pStyle w:val="Heading20"/>
        <w:jc w:val="both"/>
        <w:rPr>
          <w:color w:val="auto"/>
        </w:rPr>
      </w:pPr>
      <w:r w:rsidRPr="00820A59">
        <w:rPr>
          <w:color w:val="auto"/>
        </w:rPr>
        <w:t>9.2 Grid Stability and Frequency Control</w:t>
      </w:r>
    </w:p>
    <w:p w14:paraId="15E21234" w14:textId="351C3683" w:rsidR="003F24D0" w:rsidRPr="003F24D0" w:rsidRDefault="003F24D0" w:rsidP="001A7127">
      <w:pPr>
        <w:spacing w:after="120"/>
        <w:ind w:firstLine="480"/>
      </w:pPr>
      <w:r w:rsidRPr="003F24D0">
        <w:t>Synchronous generators are being replaced by inverter-based resources, which diminishes the natural inertia that helps regulate grid frequency when disturbances happen, making it more difficult to keep the frequency within acceptable limits. With high levels of renewable generation (above 50</w:t>
      </w:r>
      <w:r w:rsidR="001A7127">
        <w:t>%</w:t>
      </w:r>
      <w:r w:rsidRPr="003F24D0">
        <w:t xml:space="preserve">) the rate of change of frequency (RoCoF) after a generator trip or load change may be beyond traditional governor-based frequency response, which can lead to load shedding or cascading events. The response time of grid-forming inverters is milliseconds, as opposed to seconds, making them more responsive to the effects of inertia than synchronous machines, and can be achieved </w:t>
      </w:r>
      <w:r w:rsidR="00CB0BDB" w:rsidRPr="003F24D0">
        <w:t>using</w:t>
      </w:r>
      <w:r w:rsidRPr="003F24D0">
        <w:t xml:space="preserve"> control algorithms which replicate the inertial reaction of a synchronous machine</w:t>
      </w:r>
      <w:r w:rsidR="00CB0BDB">
        <w:fldChar w:fldCharType="begin"/>
      </w:r>
      <w:r w:rsidR="00CB0BDB">
        <w:instrText xml:space="preserve"> ADDIN ZOTERO_ITEM CSL_CITATION {"citationID":"Anw73x1P","properties":{"unsorted":false,"formattedCitation":"[18]","plainCitation":"[18]","noteIndex":0},"citationItems":[{"id":1927,"uris":["http://zotero.org/users/9870935/items/PZK7R79L"],"itemData":{"id":1927,"type":"article-journal","abstract":"The penetration of distributed energy resources in electrical grids has been steadily increasing in an effort to reduce greenhouse gas emissions. Inverters, as interfaces between distributed energy resources and grids, have become critical assets in modern power systems. In recent years, the development and application of grid-forming inverters have gained significant traction due to their capability of supporting power grid operations. A comprehensive review of grid-forming inverters is presented for power system applications. A comparison between grid-forming inverters and grid-following inverters is conducted in terms of their functionalities to highlight the potential of grid-forming inverter technologies in support of power system stability and resiliency. In addition, advanced control strategies integrated into grid-forming inverters under various operation conditions are presented through reviewing the innovations introduced in recent literature and in industrial applications. This paper is intended to provide an updated reference regarding grid-forming inverters for power system applications to researchers and practitioners in the field of power electronics.","container-title":"Chinese Journal of Electrical Engineering","DOI":"10.23919/CJEE.2022.000001","ISSN":"2096-1529","issue":"1","journalAbbreviation":"Chin. J. Electr. Eng.","language":"en","page":"1-15","source":"DOI.org (Crossref)","title":"Review of Grid-forming Inverters in Support of Power System Operation","volume":"8","author":[{"family":"Song","given":"Guanhong"},{"family":"Cao","given":"Bo"},{"family":"Chang","given":"Liuchen"}],"issued":{"date-parts":[["2022",3]]}}}],"schema":"https://github.com/citation-style-language/schema/raw/master/csl-citation.json"} </w:instrText>
      </w:r>
      <w:r w:rsidR="00CB0BDB">
        <w:fldChar w:fldCharType="separate"/>
      </w:r>
      <w:r w:rsidR="00CB0BDB" w:rsidRPr="001A7127">
        <w:t>[18]</w:t>
      </w:r>
      <w:r w:rsidR="00CB0BDB">
        <w:fldChar w:fldCharType="end"/>
      </w:r>
      <w:r w:rsidRPr="003F24D0">
        <w:t>.</w:t>
      </w:r>
    </w:p>
    <w:p w14:paraId="1CE10FC9" w14:textId="0C7C844F" w:rsidR="003F24D0" w:rsidRPr="003F24D0" w:rsidRDefault="003F24D0" w:rsidP="004211F1">
      <w:pPr>
        <w:spacing w:after="120"/>
        <w:ind w:firstLine="480"/>
      </w:pPr>
      <w:r w:rsidRPr="003F24D0">
        <w:t xml:space="preserve">Weak grid conditions, where short circuit ratio at the point of interconnection is low, also pose stability issues. In such cases, the voltage at the point of interconnection is significantly affected by the output of the renewable plant, and grid-following inverters with PLL control can display instability or oscillatory operation. These solutions involve deployment of grid-forming inverters, synchronous condensers (rotating masses without generation capacity) that provide inertia and reactive power support, STATCOM devices for dynamic voltage regulation, and fast frequency response of battery systems that can inject or absorb power in sub-second time </w:t>
      </w:r>
      <w:r w:rsidR="00080FE2">
        <w:fldChar w:fldCharType="begin"/>
      </w:r>
      <w:r w:rsidR="00080FE2">
        <w:instrText xml:space="preserve"> ADDIN ZOTERO_ITEM CSL_CITATION {"citationID":"MGfld3cH","properties":{"unsorted":false,"formattedCitation":"[158]","plainCitation":"[158]","noteIndex":0},"citationItems":[{"id":1100,"uris":["http://zotero.org/users/9870935/items/E7VUD4ZH"],"itemData":{"id":1100,"type":"article-journal","abstract":"Abstract\n            \n              The worldwide electricity network is undergoing a crucial transformation, shifting from traditional synchronous generators to inverter‐based renewable energy sources (IRESs). This shift is expected to reduce the grid's available fault level (AFL), potentially impacting grid functionality, particularly during the integration of IRESs into weak grids. This paper examines the challenges associated with weak grids, focusing on the steady‐state and dynamic stability of IRES when integrated into these systems. In the steady‐state analysis, the effects of AFL, injected power volume, and grid characteristics on the steady‐state voltage at the point of interconnection were explored. For dynamic stability, eigenvalue and\n              H\n              2\n              norm analyses are used for evaluation. Sensitivity analysis is conducted to assess the impact of these factors on the stability of IRESs connected to weak grids. A detailed case study using the IEEE 39 bus test power system is included to demonstrate our findings, where the steady‐state and dynamic stability of IRES connected to the test system are assessed using the proposed methods. The accuracy of these analyses is confirmed by extensive simulation studies on the OPAL‐RT real‐time digital simulator platform.","container-title":"IET Energy Systems Integration","DOI":"10.1049/esi2.12151","ISSN":"2516-8401, 2516-8401","issue":"4","journalAbbreviation":"IET Energy Syst Integration","language":"en","page":"525-544","source":"DOI.org (Crossref)","title":"Stability assessment of inverter‐based renewable energy sources integrated to weak grids","volume":"6","author":[{"family":"Saleem","given":"M. I."},{"family":"Saha","given":"S."},{"family":"Izhar","given":"U."},{"family":"Ang","given":"L."}],"issued":{"date-parts":[["2024",12]]}}}],"schema":"https://github.com/citation-style-language/schema/raw/master/csl-citation.json"} </w:instrText>
      </w:r>
      <w:r w:rsidR="00080FE2">
        <w:fldChar w:fldCharType="separate"/>
      </w:r>
      <w:r w:rsidR="00080FE2" w:rsidRPr="004211F1">
        <w:t>[158]</w:t>
      </w:r>
      <w:r w:rsidR="00080FE2">
        <w:fldChar w:fldCharType="end"/>
      </w:r>
      <w:r w:rsidRPr="003F24D0">
        <w:t>.</w:t>
      </w:r>
    </w:p>
    <w:p w14:paraId="01276305" w14:textId="3F9DF331" w:rsidR="003F24D0" w:rsidRPr="00CD0542" w:rsidRDefault="00CD0542" w:rsidP="00CD0542">
      <w:pPr>
        <w:pStyle w:val="Heading20"/>
        <w:jc w:val="both"/>
        <w:rPr>
          <w:color w:val="auto"/>
        </w:rPr>
      </w:pPr>
      <w:r>
        <w:rPr>
          <w:color w:val="auto"/>
        </w:rPr>
        <w:t xml:space="preserve">9.3 </w:t>
      </w:r>
      <w:r w:rsidR="003F24D0" w:rsidRPr="00CD0542">
        <w:rPr>
          <w:color w:val="auto"/>
        </w:rPr>
        <w:t>Power quality and Harmonic Distortion</w:t>
      </w:r>
    </w:p>
    <w:p w14:paraId="5F0E77DA" w14:textId="598A12F2" w:rsidR="003F24D0" w:rsidRPr="003F24D0" w:rsidRDefault="003F24D0" w:rsidP="00C901E2">
      <w:pPr>
        <w:spacing w:after="120"/>
        <w:ind w:firstLine="480"/>
      </w:pPr>
      <w:r w:rsidRPr="003F24D0">
        <w:t>Data center loads contribute harmonics in several ways: SMPSs consume non-sinusoidal current that includes harmonics of the third, fifth and seventh order; VFDs that are used for cooling systems introduce harmonics related to their switching frequency; and renewable inverters with pulse-width modulation (PWM) switching create harmonics linked to their switching patterns. The cumulative impact of many individual loads can cause THD to be greater than the IEEE 519 standard of 5</w:t>
      </w:r>
      <w:r w:rsidR="00C901E2">
        <w:t xml:space="preserve">% </w:t>
      </w:r>
      <w:r w:rsidRPr="003F24D0">
        <w:t>at the POC, especially when the load is light and the harmonic currents are significant portions of the total current</w:t>
      </w:r>
      <w:r w:rsidR="00C901E2">
        <w:fldChar w:fldCharType="begin"/>
      </w:r>
      <w:r w:rsidR="00C901E2">
        <w:instrText xml:space="preserve"> ADDIN ZOTERO_ITEM CSL_CITATION {"citationID":"UtPmplxF","properties":{"unsorted":false,"formattedCitation":"[54]","plainCitation":"[54]","noteIndex":0},"citationItems":[{"id":1993,"uris":["http://zotero.org/users/9870935/items/2D54TKGT"],"itemData":{"id":1993,"type":"paper-conference","container-title":"2024 21st International Conference on Harmonics and Quality of Power (ICHQP)","DOI":"10.1109/ICHQP61174.2024.10768696","event-title":"2024 21st International Conference on Harmonics and Quality of Power (ICHQP)","ISBN":"979-8-3503-8256-3","license":"https://doi.org/10.15223/policy-029","page":"415-420","publisher":"IEEE","publisher-place":"Chengdu, China","source":"DOI.org (Crossref)","title":"Review of revisions of IEEE 519 Standard on Power System Harmonics (1981 to 2022)","URL":"https://ieeexplore.ieee.org/document/10768696/","author":[{"family":"Shelar","given":"Sachin"},{"family":"Bankar","given":"Deepak"},{"family":"Bakre","given":"Shashikant"}],"accessed":{"date-parts":[["2026",5,16]]},"issued":{"date-parts":[["2024",10,15]]}}}],"schema":"https://github.com/citation-style-language/schema/raw/master/csl-citation.json"} </w:instrText>
      </w:r>
      <w:r w:rsidR="00C901E2">
        <w:fldChar w:fldCharType="separate"/>
      </w:r>
      <w:r w:rsidR="00C901E2" w:rsidRPr="00C901E2">
        <w:t>[54]</w:t>
      </w:r>
      <w:r w:rsidR="00C901E2">
        <w:fldChar w:fldCharType="end"/>
      </w:r>
      <w:r w:rsidRPr="003F24D0">
        <w:t>.</w:t>
      </w:r>
    </w:p>
    <w:p w14:paraId="4918D983" w14:textId="5A754CE0" w:rsidR="003F24D0" w:rsidRPr="003F24D0" w:rsidRDefault="003F24D0" w:rsidP="00217ECC">
      <w:pPr>
        <w:spacing w:after="120"/>
        <w:ind w:firstLine="480"/>
      </w:pPr>
      <w:r w:rsidRPr="003F24D0">
        <w:t>Active power filters (APFs) continuously monitor harmonic currents and feed the compensating currents into the system, resulting in a reduction of THD down to less than 3</w:t>
      </w:r>
      <w:r w:rsidR="000F592A">
        <w:t>%</w:t>
      </w:r>
      <w:r w:rsidRPr="003F24D0">
        <w:t xml:space="preserve">; Multi-pulse rectifiers (12-pulse, 18-pulse or 24-pulse) are a natural solution for cancellation of low-order harmonics through phase-shifting transformer configurations; Passive LC filters tuned to the harmonic frequencies are other solutions which are available. In the case of renewable powered data centers, a combination of inverter harmonics and load harmonics requires system-level analysis </w:t>
      </w:r>
      <w:r w:rsidR="000F592A" w:rsidRPr="003F24D0">
        <w:t>using</w:t>
      </w:r>
      <w:r w:rsidRPr="003F24D0">
        <w:t xml:space="preserve"> harmonic impedance scanning and frequency domain simulation to determine the resonance conditions that may amplify harmonics of interest</w:t>
      </w:r>
      <w:r w:rsidR="00217ECC">
        <w:fldChar w:fldCharType="begin"/>
      </w:r>
      <w:r w:rsidR="00217ECC">
        <w:instrText xml:space="preserve"> ADDIN ZOTERO_ITEM CSL_CITATION {"citationID":"NFe4OOQX","properties":{"unsorted":false,"formattedCitation":"[127]","plainCitation":"[127]","noteIndex":0},"citationItems":[{"id":2101,"uris":["http://zotero.org/users/9870935/items/VB4B8XL6"],"itemData":{"id":2101,"type":"book","DOI":"10.1002/9781118887059","edition":"1","ISBN":"978-1-118-86162-2","language":"en","publisher":"Wiley","source":"DOI.org (Crossref)","title":"Power System Harmonics and Passive Filter Designs","URL":"https://onlinelibrary.wiley.com/doi/book/10.1002/9781118887059","author":[{"family":"Das","given":"J. C."}],"accessed":{"date-parts":[["2026",5,18]]},"issued":{"date-parts":[["2015",3,16]]}}}],"schema":"https://github.com/citation-style-language/schema/raw/master/csl-citation.json"} </w:instrText>
      </w:r>
      <w:r w:rsidR="00217ECC">
        <w:fldChar w:fldCharType="separate"/>
      </w:r>
      <w:r w:rsidR="00217ECC" w:rsidRPr="00217ECC">
        <w:t>[127]</w:t>
      </w:r>
      <w:r w:rsidR="00217ECC">
        <w:fldChar w:fldCharType="end"/>
      </w:r>
      <w:r w:rsidRPr="003F24D0">
        <w:t>.</w:t>
      </w:r>
    </w:p>
    <w:p w14:paraId="595D4A6F" w14:textId="77777777" w:rsidR="003F24D0" w:rsidRPr="00FC528D" w:rsidRDefault="003F24D0" w:rsidP="00FC528D">
      <w:pPr>
        <w:pStyle w:val="Heading20"/>
        <w:jc w:val="both"/>
        <w:rPr>
          <w:color w:val="auto"/>
        </w:rPr>
      </w:pPr>
      <w:r w:rsidRPr="00FC528D">
        <w:rPr>
          <w:color w:val="auto"/>
        </w:rPr>
        <w:t>9.4 Grid Interconnection Complexity</w:t>
      </w:r>
    </w:p>
    <w:p w14:paraId="6AFD67FA" w14:textId="6887A32A" w:rsidR="003F24D0" w:rsidRPr="003F24D0" w:rsidRDefault="003F24D0" w:rsidP="009B3EC2">
      <w:pPr>
        <w:spacing w:after="120"/>
        <w:ind w:firstLine="480"/>
      </w:pPr>
      <w:r w:rsidRPr="003F24D0">
        <w:lastRenderedPageBreak/>
        <w:t>Grid interconnection is still one of the biggest hurdles to the deployment of renewable energy at the scale of data centers. Interconnection queues have increased significantly in crowded grid areas; for example, the interconnection queue at CAISO has grown to over 2,000 projects representing more than 1,000 GW of proposed capacity, and the interconnection queue at PJM has grown to more than 3,000 projects. The general interconnection timeline is 2 to 4 years and involves feasibility study (3 to 6 months), system impact study (6 to 12 months), facilities study (6 to 12 months), and construction (12 to 24 months). Project costs may vary from $50,000 for simple distribution level interconnections to $500,000 or more for projects involving distribution or transmission level grid upgrades</w:t>
      </w:r>
      <w:r w:rsidR="009B3EC2">
        <w:fldChar w:fldCharType="begin"/>
      </w:r>
      <w:r w:rsidR="009B3EC2">
        <w:instrText xml:space="preserve"> ADDIN ZOTERO_ITEM CSL_CITATION {"citationID":"RlODVJTM","properties":{"unsorted":false,"formattedCitation":"[24]","plainCitation":"[24]","noteIndex":0},"citationItems":[{"id":1948,"uris":["http://zotero.org/users/9870935/items/H8VJGQHI"],"itemData":{"id":1948,"type":"post-weblog","title":"Improvements to Generator Interconnection Procedures and Agreements","URL":"https://www.federalregister.gov/documents/2023/09/06/2023-16628/improvements-to-generator-interconnection-procedures-and-agreements","accessed":{"date-parts":[["2023",9,6]]}}}],"schema":"https://github.com/citation-style-language/schema/raw/master/csl-citation.json"} </w:instrText>
      </w:r>
      <w:r w:rsidR="009B3EC2">
        <w:fldChar w:fldCharType="separate"/>
      </w:r>
      <w:r w:rsidR="009B3EC2" w:rsidRPr="009B3EC2">
        <w:t>[24]</w:t>
      </w:r>
      <w:r w:rsidR="009B3EC2">
        <w:fldChar w:fldCharType="end"/>
      </w:r>
      <w:r w:rsidRPr="003F24D0">
        <w:t>.</w:t>
      </w:r>
    </w:p>
    <w:p w14:paraId="168AD1FE" w14:textId="21DCD9AB" w:rsidR="003F24D0" w:rsidRPr="003F24D0" w:rsidRDefault="003F24D0" w:rsidP="002A05B5">
      <w:pPr>
        <w:spacing w:after="120"/>
        <w:ind w:firstLine="480"/>
      </w:pPr>
      <w:r w:rsidRPr="003F24D0">
        <w:t>FERC Order 2023, issued in July 2023, is designed to resolve interconnection delays in several ways, including: setting a uniform timeframe for the completion of studies (180 days for cluster studies); identifying pre-certified equipment categories that would be exempt from detailed individual studies; and making changes to how the costs of upgrades are shared, moving shared upgrade costs to the requesting parties</w:t>
      </w:r>
      <w:r w:rsidR="00AB6923">
        <w:fldChar w:fldCharType="begin"/>
      </w:r>
      <w:r w:rsidR="00831A6A">
        <w:instrText xml:space="preserve"> ADDIN ZOTERO_ITEM CSL_CITATION {"citationID":"kbAiY4Ky","properties":{"unsorted":false,"formattedCitation":"[159]","plainCitation":"[159]","noteIndex":0},"citationItems":[{"id":2146,"uris":["http://zotero.org/users/9870935/items/FR4FPZ9U"],"itemData":{"id":2146,"type":"article-journal","language":"en","source":"Zotero","title":"Beyond FERC Order 2023: Considerations on Deep Interconnection Reform","URL":"https://www.researchgate.net/publication/382074664_Beyond_FERC_Order_2023_Considerations_on_Deep_Interconnection_Reform","author":[{"family":"Institute","given":"Nicholas"}]}}],"schema":"https://github.com/citation-style-language/schema/raw/master/csl-citation.json"} </w:instrText>
      </w:r>
      <w:r w:rsidR="00AB6923">
        <w:fldChar w:fldCharType="separate"/>
      </w:r>
      <w:r w:rsidR="00AB6923" w:rsidRPr="00AB6923">
        <w:t>[159]</w:t>
      </w:r>
      <w:r w:rsidR="00AB6923">
        <w:fldChar w:fldCharType="end"/>
      </w:r>
      <w:r w:rsidRPr="003F24D0">
        <w:t>. IEEE 1547-2018 provides technical requirements for interconnection of distributed energy resources (DERs), such as anti-islanding protection, voltage and frequency ride-through, and power quality limits, while IEEE 2800-2022 specifies the performance requirements for larger inverter-based distributed energy resources (IBDERs) at transmission voltage levels</w:t>
      </w:r>
      <w:r w:rsidR="002A05B5">
        <w:fldChar w:fldCharType="begin"/>
      </w:r>
      <w:r w:rsidR="002A05B5">
        <w:instrText xml:space="preserve"> ADDIN ZOTERO_ITEM CSL_CITATION {"citationID":"aTXS1liU","properties":{"unsorted":false,"formattedCitation":"[53]","plainCitation":"[53]","noteIndex":0},"citationItems":[{"id":1990,"uris":["http://zotero.org/users/9870935/items/XCEZUJHB"],"itemData":{"id":1990,"type":"standard","DOI":"10.1109/IEEESTD.2022.9762253","ISBN":"978-1-5044-8462-6","license":"https://doi.org/10.15223/policy-029","publisher":"IEEE","source":"DOI.org (Crossref)","title":"IEEE Standard for Interconnection and Interoperability of Inverter-Based Resources (IBRs) Interconnecting with Associated Transmission Electric Power Systems","URL":"https://ieeexplore.ieee.org/document/9762253/","accessed":{"date-parts":[["2026",5,16]]}}}],"schema":"https://github.com/citation-style-language/schema/raw/master/csl-citation.json"} </w:instrText>
      </w:r>
      <w:r w:rsidR="002A05B5">
        <w:fldChar w:fldCharType="separate"/>
      </w:r>
      <w:r w:rsidR="002A05B5" w:rsidRPr="002A05B5">
        <w:t>[53]</w:t>
      </w:r>
      <w:r w:rsidR="002A05B5">
        <w:fldChar w:fldCharType="end"/>
      </w:r>
      <w:r w:rsidRPr="003F24D0">
        <w:t>.</w:t>
      </w:r>
    </w:p>
    <w:p w14:paraId="44F4C726" w14:textId="586735EB" w:rsidR="00EF1B88" w:rsidRPr="00FC528D" w:rsidRDefault="00EF1B88" w:rsidP="00EF1B88">
      <w:pPr>
        <w:pStyle w:val="Heading20"/>
        <w:jc w:val="both"/>
        <w:rPr>
          <w:color w:val="auto"/>
        </w:rPr>
      </w:pPr>
      <w:r w:rsidRPr="00FC528D">
        <w:rPr>
          <w:color w:val="auto"/>
        </w:rPr>
        <w:t>9.</w:t>
      </w:r>
      <w:r>
        <w:rPr>
          <w:color w:val="auto"/>
        </w:rPr>
        <w:t>5</w:t>
      </w:r>
      <w:r w:rsidRPr="00FC528D">
        <w:rPr>
          <w:color w:val="auto"/>
        </w:rPr>
        <w:t xml:space="preserve"> </w:t>
      </w:r>
      <w:r>
        <w:rPr>
          <w:color w:val="auto"/>
        </w:rPr>
        <w:t>Demand-side Management and AI Workload Flexibility</w:t>
      </w:r>
    </w:p>
    <w:p w14:paraId="235ECCDB" w14:textId="1B5292A9" w:rsidR="003F24D0" w:rsidRPr="003F24D0" w:rsidRDefault="003F24D0" w:rsidP="00EB7271">
      <w:pPr>
        <w:spacing w:after="120"/>
        <w:ind w:firstLine="480"/>
      </w:pPr>
      <w:r w:rsidRPr="003F24D0">
        <w:t>AI workload flexibility is a distinct and growing demand-side resource, and it can have the potential to substantially decrease the cost and complexity of integrating renewable energy. Training workloads (often hours to weeks to complete, not latency-sensitive) can be deferred to times of low latency demand and high renewable generation</w:t>
      </w:r>
      <w:r w:rsidR="00EB7271">
        <w:fldChar w:fldCharType="begin"/>
      </w:r>
      <w:r w:rsidR="00EB7271">
        <w:instrText xml:space="preserve"> ADDIN ZOTERO_ITEM CSL_CITATION {"citationID":"SNAvsnwi","properties":{"unsorted":false,"formattedCitation":"[145]","plainCitation":"[145]","noteIndex":0},"citationItems":[{"id":2126,"uris":["http://zotero.org/users/9870935/items/5SGD5DQK"],"itemData":{"id":2126,"type":"paper-conference","container-title":"ICC 2025 - IEEE International Conference on Communications","DOI":"10.1109/ICC52391.2025.11160865","event-title":"ICC 2025 - IEEE International Conference on Communications","ISBN":"979-8-3315-0521-9","license":"https://doi.org/10.15223/policy-029","page":"1500-1505","publisher":"IEEE","publisher-place":"Montreal, QC, Canada","source":"DOI.org (Crossref)","title":"Enabling Power-Awareness for Kubernetes Scheduling Through Multi-Criteria Optimization","URL":"https://ieeexplore.ieee.org/document/11160865/","author":[{"family":"Gouaouri","given":"Mohammed Dhiya Eddine"},{"family":"Bagaa","given":"Miloud"},{"family":"Ouahouah","given":"Sihem"},{"family":"Ouameur","given":"Messaoud Ahmed"},{"family":"Ksentini","given":"Adlen"}],"accessed":{"date-parts":[["2026",5,23]]},"issued":{"date-parts":[["2025",6,8]]}}}],"schema":"https://github.com/citation-style-language/schema/raw/master/csl-citation.json"} </w:instrText>
      </w:r>
      <w:r w:rsidR="00EB7271">
        <w:fldChar w:fldCharType="separate"/>
      </w:r>
      <w:r w:rsidR="00EB7271" w:rsidRPr="00EB7271">
        <w:t>[145]</w:t>
      </w:r>
      <w:r w:rsidR="00EB7271">
        <w:fldChar w:fldCharType="end"/>
      </w:r>
      <w:r w:rsidRPr="003F24D0">
        <w:t>. Deferral windows of hours to days make batch processing workloads such as data preprocessing, model validation, and analytics even more flexible. Time-shift can be used for inference workloads that do not need to have a high latency requirement, like batch image inference or non-interactive recommendations, within SLA.</w:t>
      </w:r>
    </w:p>
    <w:p w14:paraId="452D7B57" w14:textId="403E9CF8" w:rsidR="00EC0439" w:rsidRPr="003F24D0" w:rsidRDefault="003F24D0" w:rsidP="00F9340C">
      <w:pPr>
        <w:spacing w:after="120"/>
        <w:ind w:firstLine="480"/>
      </w:pPr>
      <w:r w:rsidRPr="003F24D0">
        <w:t>Energy cost reduction of 10</w:t>
      </w:r>
      <w:r w:rsidR="00044C5D">
        <w:t>-</w:t>
      </w:r>
      <w:r w:rsidRPr="003F24D0">
        <w:t>20</w:t>
      </w:r>
      <w:r w:rsidR="00044C5D">
        <w:t>%</w:t>
      </w:r>
      <w:r w:rsidRPr="003F24D0">
        <w:t xml:space="preserve"> through time-of-use rate optimization and carbon reduction of 5</w:t>
      </w:r>
      <w:r w:rsidR="00044C5D">
        <w:t>-</w:t>
      </w:r>
      <w:r w:rsidRPr="003F24D0">
        <w:t xml:space="preserve"> 15</w:t>
      </w:r>
      <w:r w:rsidR="00044C5D">
        <w:t xml:space="preserve">% </w:t>
      </w:r>
      <w:r w:rsidRPr="003F24D0">
        <w:t>through increased use of on-site renewable generation are indicated by quantified benefits from industry deployments and simulation studies</w:t>
      </w:r>
      <w:r w:rsidR="00F9340C">
        <w:fldChar w:fldCharType="begin"/>
      </w:r>
      <w:r w:rsidR="00F9340C">
        <w:instrText xml:space="preserve"> ADDIN ZOTERO_ITEM CSL_CITATION {"citationID":"0JMNKF3g","properties":{"unsorted":false,"formattedCitation":"[160]","plainCitation":"[160]","noteIndex":0},"citationItems":[{"id":79,"uris":["http://zotero.org/users/9870935/items/FT42XEM5"],"itemData":{"id":79,"type":"article-journal","container-title":"IEEE Access","DOI":"10.1109/ACCESS.2025.3559725","ISSN":"2169-3536","journalAbbreviation":"IEEE Access","license":"https://creativecommons.org/licenses/by/4.0/legalcode","page":"63486-63503","source":"DOI.org (Crossref)","title":"Optimized Renewable Energy Integration: Advanced Modeling, Control, and Design of a Standalone Microgrid Using Hybrid FA-PSO","title-short":"Optimized Renewable Energy Integration","volume":"13","author":[{"family":"Talebi","given":"Shiva"},{"family":"Aly","given":"Hamed H."}],"issued":{"date-parts":[["2025"]]}}}],"schema":"https://github.com/citation-style-language/schema/raw/master/csl-citation.json"} </w:instrText>
      </w:r>
      <w:r w:rsidR="00F9340C">
        <w:fldChar w:fldCharType="separate"/>
      </w:r>
      <w:r w:rsidR="00F9340C" w:rsidRPr="00F9340C">
        <w:t>[160]</w:t>
      </w:r>
      <w:r w:rsidR="00F9340C">
        <w:fldChar w:fldCharType="end"/>
      </w:r>
      <w:r w:rsidRPr="003F24D0">
        <w:t xml:space="preserve">. It requires integration between the workload scheduler (usually Kubernetes-based) and the energy management system, and the renewable availability API delivers </w:t>
      </w:r>
      <w:r w:rsidR="00C45362" w:rsidRPr="003F24D0">
        <w:t>24-to-48-hour</w:t>
      </w:r>
      <w:r w:rsidRPr="003F24D0">
        <w:t xml:space="preserve"> forecasts of renewable generation as a portion of total load </w:t>
      </w:r>
      <w:r w:rsidR="00C45362">
        <w:fldChar w:fldCharType="begin"/>
      </w:r>
      <w:r w:rsidR="007711F0">
        <w:instrText xml:space="preserve"> ADDIN ZOTERO_ITEM CSL_CITATION {"citationID":"LieaEasU","properties":{"unsorted":false,"formattedCitation":"[145]","plainCitation":"[145]","noteIndex":0},"citationItems":[{"id":2126,"uris":["http://zotero.org/users/9870935/items/5SGD5DQK"],"itemData":{"id":2126,"type":"paper-conference","container-title":"ICC 2025 - IEEE International Conference on Communications","DOI":"10.1109/ICC52391.2025.11160865","event-title":"ICC 2025 - IEEE International Conference on Communications","ISBN":"979-8-3315-0521-9","license":"https://doi.org/10.15223/policy-029","page":"1500-1505","publisher":"IEEE","publisher-place":"Montreal, QC, Canada","source":"DOI.org (Crossref)","title":"Enabling Power-Awareness for Kubernetes Scheduling Through Multi-Criteria Optimization","URL":"https://ieeexplore.ieee.org/document/11160865/","author":[{"family":"Gouaouri","given":"Mohammed Dhiya Eddine"},{"family":"Bagaa","given":"Miloud"},{"family":"Ouahouah","given":"Sihem"},{"family":"Ouameur","given":"Messaoud Ahmed"},{"family":"Ksentini","given":"Adlen"}],"accessed":{"date-parts":[["2026",5,23]]},"issued":{"date-parts":[["2025",6,8]]}}}],"schema":"https://github.com/citation-style-language/schema/raw/master/csl-citation.json"} </w:instrText>
      </w:r>
      <w:r w:rsidR="00C45362">
        <w:fldChar w:fldCharType="separate"/>
      </w:r>
      <w:r w:rsidR="00C45362" w:rsidRPr="00EB7271">
        <w:t>[145]</w:t>
      </w:r>
      <w:r w:rsidR="00C45362">
        <w:fldChar w:fldCharType="end"/>
      </w:r>
      <w:r w:rsidRPr="003F24D0">
        <w:t>. Some of the major considerations are that the deferral may lead to an increase in latency as experienced by users, the risk of violating SLAs if deferral is performed too aggressively, and the operational complexity of coordinating workload scheduling across multiple facilities and time zones.</w:t>
      </w:r>
    </w:p>
    <w:p w14:paraId="72E7A6BC" w14:textId="77777777" w:rsidR="00BD4B33" w:rsidRPr="00BD4B33" w:rsidRDefault="00BD4B33" w:rsidP="00BD4B33">
      <w:pPr>
        <w:pStyle w:val="Heading20"/>
        <w:jc w:val="both"/>
        <w:rPr>
          <w:color w:val="auto"/>
        </w:rPr>
      </w:pPr>
      <w:r w:rsidRPr="00BD4B33">
        <w:rPr>
          <w:color w:val="auto"/>
        </w:rPr>
        <w:t>9.6 Energy Storage Control and Battery Management</w:t>
      </w:r>
    </w:p>
    <w:p w14:paraId="3BF4630C" w14:textId="55EAA401" w:rsidR="00BD4B33" w:rsidRPr="00BD4B33" w:rsidRDefault="00BD4B33" w:rsidP="00655A07">
      <w:pPr>
        <w:spacing w:after="120"/>
        <w:ind w:firstLine="480"/>
      </w:pPr>
      <w:r w:rsidRPr="00BD4B33">
        <w:t xml:space="preserve">There are several criteria for optimal battery dispatch: most renewables usage, least energy cost, longest battery life, and sufficient reserve for emergency backup. The state of </w:t>
      </w:r>
      <w:r w:rsidRPr="00BD4B33">
        <w:lastRenderedPageBreak/>
        <w:t>charge (SOC) setpoint optimization defines the charging and discharging timing according to current state and future forecasting, where the most advanced approach is model-predictive control (MPC)</w:t>
      </w:r>
      <w:r w:rsidR="007711F0">
        <w:fldChar w:fldCharType="begin"/>
      </w:r>
      <w:r w:rsidR="007711F0">
        <w:instrText xml:space="preserve"> ADDIN ZOTERO_ITEM CSL_CITATION {"citationID":"qyaUl6tX","properties":{"unsorted":false,"formattedCitation":"[115]","plainCitation":"[115]","noteIndex":0},"citationItems":[{"id":2086,"uris":["http://zotero.org/users/9870935/items/PSX5T5NE"],"itemData":{"id":2086,"type":"article-journal","abstract":"Renewable energy sources (wind turbine and photovoltaic system) are connected to the smart grid to promote the grid power, but the output of these sources is changed due to the sunlight and wind speed variations. Power storage system has the ability to reduce variations in a power system. Battery energy storage system (BESS) and superconducting magnetic energy storage system (SMES) are good solutions for this problem. The storage unit is connected to a power system at the point of common coupling and is able to absorb/store both active and reactive powers from this system and inject them into the power system in the peak demand periods. A control strategy based on proportional–integrative–derivative (PID) and model predictive controller (MPC) are used to control (SMES/BESS) to enhance the transient performance of a smart grid. The proposed algorithm has been tested on standard IEEE 5‐bus system connected to wind turbine distributed generator, non‐linear loads, and storage device (BESS/SMES) to verify the superiority of the presented method. The simulation results show that the performance of SMES with PID is more efficient than BESS with PID, but they have nearly the same output when MPC control strategy is used.","container-title":"IET Renewable Power Generation","DOI":"10.1049/iet-rpg.2016.0892","ISSN":"1752-1416, 1752-1424","issue":"10","journalAbbreviation":"IET Renewable Power Gen","language":"en","page":"1316-1324","source":"DOI.org (Crossref)","title":"Enhancing smart grid transient performance using storage device‐based MPC controller","volume":"11","author":[{"family":"Sultan","given":"Yara A."},{"family":"Kaddah","given":"Sahar S."},{"family":"Elhosseini","given":"Mostafa A."}],"issued":{"date-parts":[["2017",8]]}}}],"schema":"https://github.com/citation-style-language/schema/raw/master/csl-citation.json"} </w:instrText>
      </w:r>
      <w:r w:rsidR="007711F0">
        <w:fldChar w:fldCharType="separate"/>
      </w:r>
      <w:r w:rsidR="007711F0" w:rsidRPr="007711F0">
        <w:t>[115]</w:t>
      </w:r>
      <w:r w:rsidR="007711F0">
        <w:fldChar w:fldCharType="end"/>
      </w:r>
      <w:r w:rsidRPr="00BD4B33">
        <w:t>. The economic factor of battery ageing: deep cycling (depth of discharge above 80</w:t>
      </w:r>
      <w:r w:rsidR="00F03B21">
        <w:t>%</w:t>
      </w:r>
      <w:r w:rsidRPr="00BD4B33">
        <w:t>) decreases battery life, while shallow cycling increases battery life, but at the cost of reduced energy capacity for renewable time-shift. Studies have shown that maximum depth of discharge of 50</w:t>
      </w:r>
      <w:r w:rsidR="00F03B21">
        <w:t xml:space="preserve">% </w:t>
      </w:r>
      <w:r w:rsidRPr="00BD4B33">
        <w:t>can nearly double cycle life, indicating that appropriately oversizing battery systems may provide better lifetime economics, albeit at higher initial capital cost</w:t>
      </w:r>
      <w:r w:rsidR="00655A07">
        <w:fldChar w:fldCharType="begin"/>
      </w:r>
      <w:r w:rsidR="00655A07">
        <w:instrText xml:space="preserve"> ADDIN ZOTERO_ITEM CSL_CITATION {"citationID":"QHLWj7wZ","properties":{"unsorted":false,"formattedCitation":"[104]","plainCitation":"[104]","noteIndex":0},"citationItems":[{"id":2070,"uris":["http://zotero.org/users/9870935/items/YRGN99DK"],"itemData":{"id":2070,"type":"article-journal","container-title":"Journal of Energy Storage","DOI":"10.1016/j.est.2024.112941","ISSN":"2352152X","journalAbbreviation":"Journal of Energy Storage","language":"en","page":"112941","source":"DOI.org (Crossref)","title":"A case study of optimising energy storage dispatch: Convex optimisation approach with degradation considerations","title-short":"A case study of optimising energy storage dispatch","volume":"97","author":[{"family":"Vaičys","given":"Jonas"},{"family":"Gudžius","given":"Saulius"},{"family":"Jonaitis","given":"Audrius"},{"family":"Račkienė","given":"Roma"},{"family":"Blinov","given":"Andrei"},{"family":"Peftitsis","given":"Dimosthenis"}],"issued":{"date-parts":[["2024",9]]}}}],"schema":"https://github.com/citation-style-language/schema/raw/master/csl-citation.json"} </w:instrText>
      </w:r>
      <w:r w:rsidR="00655A07">
        <w:fldChar w:fldCharType="separate"/>
      </w:r>
      <w:r w:rsidR="00655A07" w:rsidRPr="00655A07">
        <w:t>[104]</w:t>
      </w:r>
      <w:r w:rsidR="00655A07">
        <w:fldChar w:fldCharType="end"/>
      </w:r>
      <w:r w:rsidRPr="00BD4B33">
        <w:t>.</w:t>
      </w:r>
    </w:p>
    <w:p w14:paraId="29889ACD" w14:textId="4FFED306" w:rsidR="00BD4B33" w:rsidRPr="00BD4B33" w:rsidRDefault="00BD4B33" w:rsidP="00F30DD8">
      <w:pPr>
        <w:spacing w:after="120"/>
        <w:ind w:firstLine="480"/>
      </w:pPr>
      <w:r w:rsidRPr="00BD4B33">
        <w:t>Dual-use battery strategies can enhance financial return on battery investment by enabling both renewable integration and grid services (frequency regulation, capacity markets, ancillary services). The estimated revenue from a 100 MW data center with 10 MW of available battery capacity for frequency regulation is approximately $3 million per year at PJM market rates of about $75 per MW per hour for 4,000 hours per year</w:t>
      </w:r>
      <w:r w:rsidR="00831A6A">
        <w:fldChar w:fldCharType="begin"/>
      </w:r>
      <w:r w:rsidR="00831A6A">
        <w:instrText xml:space="preserve"> ADDIN ZOTERO_ITEM CSL_CITATION {"citationID":"4jwvGc6g","properties":{"unsorted":false,"formattedCitation":"[161]","plainCitation":"[161]","noteIndex":0},"citationItems":[{"id":2147,"uris":["http://zotero.org/users/9870935/items/CEYBWQ95"],"itemData":{"id":2147,"type":"article-journal","container-title":"Energy","DOI":"10.1016/j.energy.2020.117285","ISSN":"03605442","journalAbbreviation":"Energy","language":"en","page":"117285","source":"DOI.org (Crossref)","title":"Optimization of sizing and frequency control in battery/supercapacitor hybrid energy storage system for fuel cell ship","volume":"197","author":[{"family":"Chen","given":"Hui"},{"family":"Zhang","given":"Zehui"},{"family":"Guan","given":"Cong"},{"family":"Gao","given":"Haibo"}],"issued":{"date-parts":[["2020",4]]}}}],"schema":"https://github.com/citation-style-language/schema/raw/master/csl-citation.json"} </w:instrText>
      </w:r>
      <w:r w:rsidR="00831A6A">
        <w:fldChar w:fldCharType="separate"/>
      </w:r>
      <w:r w:rsidR="00831A6A" w:rsidRPr="00831A6A">
        <w:t>[161]</w:t>
      </w:r>
      <w:r w:rsidR="00831A6A">
        <w:fldChar w:fldCharType="end"/>
      </w:r>
      <w:r w:rsidRPr="00BD4B33">
        <w:t>. Remaining useful life (RUL) prediction and scheduling of maintenance tasks can be achieved by state-of-health (SOH) monitoring with machine-learning approaches trained on cycling data, which helps to minimize the likelihood of unexpected capacity degradation</w:t>
      </w:r>
      <w:r w:rsidR="00F30DD8">
        <w:fldChar w:fldCharType="begin"/>
      </w:r>
      <w:r w:rsidR="00F30DD8">
        <w:instrText xml:space="preserve"> ADDIN ZOTERO_ITEM CSL_CITATION {"citationID":"qxkXnTwN","properties":{"unsorted":false,"formattedCitation":"[162]","plainCitation":"[162]","noteIndex":0},"citationItems":[{"id":2149,"uris":["http://zotero.org/users/9870935/items/9CUAPP72"],"itemData":{"id":2149,"type":"article-journal","abstract":"Abstract\n            State of health is a critical state which evaluates the degradation level of batteries. However, it cannot be measured directly but requires estimation. While accurate state of health estimation has progressed markedly, the time- and resource-consuming degradation experiments to generate target battery labels hinder the development of state of health estimation methods. In this article, we design a deep-learning framework to enable the estimation of battery state of health in the absence of target battery labels. This framework integrates a swarm of deep neural networks equipped with domain adaptation to produce accurate estimation. We employ 65 commercial batteries from 5 different manufacturers to generate 71,588 samples for cross-validation. The validation results indicate that the proposed framework can ensure absolute errors of less than 3% for 89.4% of samples (less than 5% for 98.9% of samples), with a maximum absolute error of less than 8.87% in the absence of target labels. This work emphasizes the power of deep learning in precluding degradation experiments and highlights the promise of rapid development of battery management algorithms for new-generation batteries using only previous experimental data.","container-title":"Nature Communications","DOI":"10.1038/s41467-023-38458-w","ISSN":"2041-1723","issue":"1","journalAbbreviation":"Nat Commun","language":"en","page":"2760","source":"DOI.org (Crossref)","title":"Deep learning to estimate lithium-ion battery state of health without additional degradation experiments","volume":"14","author":[{"family":"Lu","given":"Jiahuan"},{"family":"Xiong","given":"Rui"},{"family":"Tian","given":"Jinpeng"},{"family":"Wang","given":"Chenxu"},{"family":"Sun","given":"Fengchun"}],"issued":{"date-parts":[["2023",5,13]]}}}],"schema":"https://github.com/citation-style-language/schema/raw/master/csl-citation.json"} </w:instrText>
      </w:r>
      <w:r w:rsidR="00F30DD8">
        <w:fldChar w:fldCharType="separate"/>
      </w:r>
      <w:r w:rsidR="00F30DD8" w:rsidRPr="00F30DD8">
        <w:t>[162]</w:t>
      </w:r>
      <w:r w:rsidR="00F30DD8">
        <w:fldChar w:fldCharType="end"/>
      </w:r>
      <w:r w:rsidRPr="00BD4B33">
        <w:t>.</w:t>
      </w:r>
    </w:p>
    <w:p w14:paraId="78A78356" w14:textId="77777777" w:rsidR="00BD4B33" w:rsidRPr="00FD5E90" w:rsidRDefault="00BD4B33" w:rsidP="00FD5E90">
      <w:pPr>
        <w:pStyle w:val="Heading20"/>
        <w:jc w:val="both"/>
        <w:rPr>
          <w:color w:val="auto"/>
        </w:rPr>
      </w:pPr>
      <w:r w:rsidRPr="00FD5E90">
        <w:rPr>
          <w:color w:val="auto"/>
        </w:rPr>
        <w:t>9.7 Hydrogen and Fuel Cell Challenges</w:t>
      </w:r>
    </w:p>
    <w:p w14:paraId="4D66646A" w14:textId="2D87AEF0" w:rsidR="00BD4B33" w:rsidRPr="00BD4B33" w:rsidRDefault="00BD4B33" w:rsidP="005A2E15">
      <w:pPr>
        <w:spacing w:after="120"/>
        <w:ind w:firstLine="480"/>
      </w:pPr>
      <w:r w:rsidRPr="00BD4B33">
        <w:t>Hydrogen fuel cells have the theoretical potential to deliver long-duration back-up power (48+ hours proven), and produce zero direct emissions, but are still costly, inefficient and lacking in infrastructure. Microsoft's 3 MW demo project at their data center proved the technical viability, but also pointed to the cost problem: Fuel cell electricity is currently costing $150 to $250/</w:t>
      </w:r>
      <w:r w:rsidR="005A2E15">
        <w:t>M</w:t>
      </w:r>
      <w:r w:rsidRPr="00BD4B33">
        <w:t>Wh, compared to grid electricity or battery storage which cost $50 to $80/MWh at the same time</w:t>
      </w:r>
      <w:r w:rsidR="007803A3">
        <w:fldChar w:fldCharType="begin"/>
      </w:r>
      <w:r w:rsidR="007803A3">
        <w:instrText xml:space="preserve"> ADDIN ZOTERO_ITEM CSL_CITATION {"citationID":"ONo7xelO","properties":{"unsorted":false,"formattedCitation":"[155]","plainCitation":"[155]","noteIndex":0},"citationItems":[{"id":2140,"uris":["http://zotero.org/users/9870935/items/ZUBI2HTD"],"itemData":{"id":2140,"type":"article-journal","container-title":"Energy Conversion and Management","DOI":"10.1016/j.enconman.2025.119762","ISSN":"01968904","journalAbbreviation":"Energy Conversion and Management","language":"en","page":"119762","source":"DOI.org (Crossref)","title":"Modeling and analysis of solid oxide fuel cell-based multigeneration system with supercritical and transcritical carbon dioxide power cycles, humidification-dehumidification system and hydrogen generation","volume":"332","author":[{"family":"Soyturk","given":"Gamze"},{"family":"Kizilkan","given":"Onder"}],"issued":{"date-parts":[["2025",5]]}}}],"schema":"https://github.com/citation-style-language/schema/raw/master/csl-citation.json"} </w:instrText>
      </w:r>
      <w:r w:rsidR="007803A3">
        <w:fldChar w:fldCharType="separate"/>
      </w:r>
      <w:r w:rsidR="007803A3" w:rsidRPr="007803A3">
        <w:t>[155]</w:t>
      </w:r>
      <w:r w:rsidR="007803A3">
        <w:fldChar w:fldCharType="end"/>
      </w:r>
      <w:r w:rsidRPr="00BD4B33">
        <w:t>. The CAPEX of the electrolyzer, which ranges from $1,000-$2,000/kW, is another constraint for on-site GH production, and is decreasing as the size of the plants increases</w:t>
      </w:r>
      <w:r w:rsidR="005A2E15">
        <w:fldChar w:fldCharType="begin"/>
      </w:r>
      <w:r w:rsidR="005A2E15">
        <w:instrText xml:space="preserve"> ADDIN ZOTERO_ITEM CSL_CITATION {"citationID":"EK3ZfdLP","properties":{"unsorted":false,"formattedCitation":"[107]","plainCitation":"[107]","noteIndex":0},"citationItems":[{"id":2076,"uris":["http://zotero.org/users/9870935/items/WSZ9BQJG"],"itemData":{"id":2076,"type":"article-journal","abstract":"Abstract\n            The Chinese government has set long-term carbon neutrality and variable renewable energy development goals for the power sector. The clean energy transition requires a co-evolution of innovation, investment, and deployment strategies for emerging energy storage technologies. Hydrogen could play a pivotal role as a long-duration energy storage in future low-carbon electricity systems, balancing inflexible or intermittent supply with demand. Cost projections are important for understanding this role, but data are scarce and uncertain. Here, we provide a techno-economic evaluation and uncertainty analysis of hydrogen as a long-duration energy storage, using a learning rate approach to estimate the long-term cost. We find that the levelized cost of hydrogen energy storage based on a modeled 25 MW system with proton exchange membranes technology is 3.981 yuan/kWh in 2025. Capital expenditure and equipment replacement costs are the top two contributors, accounting for 32.7% and 33.6%, respectively. Technological advancements and deployment scaling of electrolyzers and fuel cells are projected to drive the levelized cost of hydrogen energy storage down to 1.848 yuan/kWh by 2050 under an 18% learning rate trajectory. Although projections indicate that hydrogen energy storage remains less cost-competitive compared to mature technologies through 2050, like electrochemical storage and pumped hydro storage, its unique value proposition for long-duration storage and grid resilience sustains development potential in high variable renewable energy penetration scenarios.","container-title":"Clean Energy","DOI":"10.1093/ce/zkaf075","ISSN":"2515-4230, 2515-396X","issue":"2","language":"en","license":"https://creativecommons.org/licenses/by-nc/4.0/","page":"146-155","source":"DOI.org (Crossref)","title":"Estimating future costs of hydrogen as long-duration energy storage based on a learning rate approach","volume":"10","author":[{"family":"Yang","given":"Fuyuan"},{"family":"Wang","given":"Zhidong"},{"family":"Tian","given":"Xueqin"}],"issued":{"date-parts":[["2026",3,25]]}}}],"schema":"https://github.com/citation-style-language/schema/raw/master/csl-citation.json"} </w:instrText>
      </w:r>
      <w:r w:rsidR="005A2E15">
        <w:fldChar w:fldCharType="separate"/>
      </w:r>
      <w:r w:rsidR="005A2E15" w:rsidRPr="005A2E15">
        <w:t>[107]</w:t>
      </w:r>
      <w:r w:rsidR="005A2E15">
        <w:fldChar w:fldCharType="end"/>
      </w:r>
      <w:r w:rsidRPr="00BD4B33">
        <w:t>.</w:t>
      </w:r>
    </w:p>
    <w:p w14:paraId="6C271F2E" w14:textId="612775A2" w:rsidR="00BD4B33" w:rsidRPr="00BD4B33" w:rsidRDefault="00BD4B33" w:rsidP="00651340">
      <w:pPr>
        <w:spacing w:after="120"/>
        <w:ind w:firstLine="480"/>
      </w:pPr>
      <w:r w:rsidRPr="00BD4B33">
        <w:t>Greater fuel cell efficiency occurs at full load (55 to 60</w:t>
      </w:r>
      <w:r w:rsidR="00CA4C67">
        <w:t>%</w:t>
      </w:r>
      <w:r w:rsidRPr="00BD4B33">
        <w:t>) versus partial load (40 to 50</w:t>
      </w:r>
      <w:r w:rsidR="00CA4C67">
        <w:t>%</w:t>
      </w:r>
      <w:r w:rsidRPr="00BD4B33">
        <w:t>), resulting in an operational compromise between backup duration and efficiency</w:t>
      </w:r>
      <w:r w:rsidR="00CA4C67">
        <w:fldChar w:fldCharType="begin"/>
      </w:r>
      <w:r w:rsidR="00CA4C67">
        <w:instrText xml:space="preserve"> ADDIN ZOTERO_ITEM CSL_CITATION {"citationID":"TVLyO4rw","properties":{"unsorted":false,"formattedCitation":"[154]","plainCitation":"[154]","noteIndex":0},"citationItems":[{"id":2141,"uris":["http://zotero.org/users/9870935/items/G3GVLHVX"],"itemData":{"id":2141,"type":"article-journal","container-title":"Renewable and Sustainable Energy Reviews","DOI":"10.1016/j.rser.2026.116861","ISSN":"13640321","journalAbbreviation":"Renewable and Sustainable Energy Reviews","language":"en","page":"116861","source":"DOI.org (Crossref)","title":"Reviewing the socio-technical dynamics of AI, data centers and digitalization on energy and the environment","volume":"234","author":[{"family":"Kim","given":"Jinsoo"},{"family":"Kim","given":"Jihyo"},{"family":"Sovacool","given":"Benjamin K."},{"family":"Griffiths","given":"Steve"},{"family":"Bazilian","given":"Morgan"},{"family":"Creutzig","given":"Felix"},{"family":"Furszyfer Del Rio","given":"Dylan D."},{"family":"Agrawala","given":"Matthew"},{"family":"Choi","given":"Minki"},{"family":"Debnath","given":"Ramit"}],"issued":{"date-parts":[["2026",7]]}}}],"schema":"https://github.com/citation-style-language/schema/raw/master/csl-citation.json"} </w:instrText>
      </w:r>
      <w:r w:rsidR="00CA4C67">
        <w:fldChar w:fldCharType="separate"/>
      </w:r>
      <w:r w:rsidR="00CA4C67" w:rsidRPr="00CA4C67">
        <w:t>[154]</w:t>
      </w:r>
      <w:r w:rsidR="00CA4C67">
        <w:fldChar w:fldCharType="end"/>
      </w:r>
      <w:r w:rsidRPr="00BD4B33">
        <w:t>. Safety requirements for hydrogen storage, including pressure vessel certification, leak detection, and ventilation systems, add to the complexity and cost of fuel cell installations. The IEA expects the cost of green hydrogen to drop to $2 per kg by 2030 and $1 per kg by 2040 under the best of conditions, putting fuel cells in economic competition with data center backup by the mid-2030s</w:t>
      </w:r>
      <w:r w:rsidR="00651340">
        <w:fldChar w:fldCharType="begin"/>
      </w:r>
      <w:r w:rsidR="00651340">
        <w:instrText xml:space="preserve"> ADDIN ZOTERO_ITEM CSL_CITATION {"citationID":"9bTL2YbA","properties":{"unsorted":false,"formattedCitation":"[49]","plainCitation":"[49]","noteIndex":0},"citationItems":[{"id":1987,"uris":["http://zotero.org/users/9870935/items/2TYM8STM"],"itemData":{"id":1987,"type":"article-journal","abstract":"The Global Hydrogen Review is an annual publication by the International Energy Agency that tracks hydrogen production and demand worldwide, shedding light on the latest developments on policy, infrastructure, trade, investments and innovation.","language":"en","source":"Zotero","title":"Global Hydrogen Review 2025","URL":"https://iea.blob.core.windows.net/assets/12d92ecc-e960-40f3-aff5-b2de6690ab6b/GlobalHydrogenReview2025.pdf","author":[{"family":"Remme","given":"Uwe"}],"issued":{"date-parts":[["2025"]]}}}],"schema":"https://github.com/citation-style-language/schema/raw/master/csl-citation.json"} </w:instrText>
      </w:r>
      <w:r w:rsidR="00651340">
        <w:fldChar w:fldCharType="separate"/>
      </w:r>
      <w:r w:rsidR="00651340" w:rsidRPr="00651340">
        <w:t>[49]</w:t>
      </w:r>
      <w:r w:rsidR="00651340">
        <w:fldChar w:fldCharType="end"/>
      </w:r>
      <w:r w:rsidRPr="00BD4B33">
        <w:t>.</w:t>
      </w:r>
    </w:p>
    <w:p w14:paraId="33E41E66" w14:textId="77777777" w:rsidR="00BD4B33" w:rsidRPr="00901B3D" w:rsidRDefault="00BD4B33" w:rsidP="00901B3D">
      <w:pPr>
        <w:pStyle w:val="Heading20"/>
        <w:jc w:val="both"/>
        <w:rPr>
          <w:color w:val="auto"/>
        </w:rPr>
      </w:pPr>
      <w:r w:rsidRPr="00901B3D">
        <w:rPr>
          <w:color w:val="auto"/>
        </w:rPr>
        <w:t>9.8 Cooling System Integration</w:t>
      </w:r>
    </w:p>
    <w:p w14:paraId="516EFE1A" w14:textId="3D76F788" w:rsidR="00BD4B33" w:rsidRPr="00BD4B33" w:rsidRDefault="00BD4B33" w:rsidP="00E02F2D">
      <w:pPr>
        <w:spacing w:after="120"/>
        <w:ind w:firstLine="480"/>
      </w:pPr>
      <w:r w:rsidRPr="00BD4B33">
        <w:t>The coupling of cooling systems to renewable energy supply demands synchronized handling of thermal and electric energy flows. Thermal energy storage (TES) can help to defer cooling loads into hours when renewable energy is available in abundance or electricity is cheap, such as at night or during the summer. When power generation is not as high as needed, chillers freeze water into ice; when the renewable power output is less than needed, the ice is melted to provide cooling without chiller operation</w:t>
      </w:r>
      <w:r w:rsidR="00E02F2D">
        <w:fldChar w:fldCharType="begin"/>
      </w:r>
      <w:r w:rsidR="00E02F2D">
        <w:instrText xml:space="preserve"> ADDIN ZOTERO_ITEM CSL_CITATION {"citationID":"9NU2Bjoq","properties":{"unsorted":false,"formattedCitation":"[86]","plainCitation":"[86]","noteIndex":0},"citationItems":[{"id":2046,"uris":["http://zotero.org/users/9870935/items/P4BXZMCV"],"itemData":{"id":2046,"type":"article","abstract":"Data center cooling systems consume significant auxiliary energy, yet optimization studies rarely quantify the gap between theoretically optimal and operationally deployable control strategies. This paper develops a digital twin of the liquid cooling infrastructure at the Frontier exascale supercomputer, in which a hot-temperature water system comprises three parallel subloops, each serving dedicated coolant distribution unit clusters through plate heat exchangers and variable-speed pumps. The surrogate model is built based on Modelica and validated through one full calendar year of 10-minute operational data following ASHRAE Guideline 14. The model achieves a subloop coefficient of variation of the root mean square error below 2.7% and a normalized mean bias error within 2.5%. Using this validated surrogate model, a layered optimization framework evaluates three progressively constrained strategies: an analytical flow-only optimization achieves 20.4% total energy saving, unconstrained joint optimization of flow rate and supply temperature demonstrates 30.1% total energy saving, and ramp-constrained optimization of flow rate and supply temperature, enforcing actuator rate limits, can reach total energy saving of 27.8%. The analysis reveals that the baseline system operates at 2.9 times the minimum thermally safe flow rate, and the co-optimizing supply temperature with flow rate nearly doubles the savings achievable by flow reduction alone.","DOI":"10.48550/ARXIV.2603.01198","license":"Creative Commons Attribution 4.0 International","note":"version: 3","publisher":"arXiv","source":"DOI.org (Datacite)","title":"Digital Twin-Based Cooling System Optimization for Data Center","URL":"https://arxiv.org/abs/2603.01198","author":[{"family":"Jadhav","given":"Shrenik"},{"family":"Liu","given":"Zheng"}],"accessed":{"date-parts":[["2026",5,17]]},"issued":{"date-parts":[["2026"]]}}}],"schema":"https://github.com/citation-style-language/schema/raw/master/csl-citation.json"} </w:instrText>
      </w:r>
      <w:r w:rsidR="00E02F2D">
        <w:fldChar w:fldCharType="separate"/>
      </w:r>
      <w:r w:rsidR="00E02F2D" w:rsidRPr="00E02F2D">
        <w:t>[86]</w:t>
      </w:r>
      <w:r w:rsidR="00E02F2D">
        <w:fldChar w:fldCharType="end"/>
      </w:r>
      <w:r w:rsidRPr="00BD4B33">
        <w:t xml:space="preserve">. This thermal-electrical coupling provides opportunities for optimization but also introduces complexity into the </w:t>
      </w:r>
      <w:r w:rsidRPr="00BD4B33">
        <w:lastRenderedPageBreak/>
        <w:t>control system, as it must control the electrical dispatch state as well as the thermal storage state simultaneously.</w:t>
      </w:r>
    </w:p>
    <w:p w14:paraId="2A171D7D" w14:textId="0FA19360" w:rsidR="00BD4B33" w:rsidRPr="00BD4B33" w:rsidRDefault="00BD4B33" w:rsidP="00E75DEE">
      <w:pPr>
        <w:spacing w:after="120"/>
        <w:ind w:firstLine="480"/>
      </w:pPr>
      <w:r w:rsidRPr="00BD4B33">
        <w:t>Another way of lowering cooling energy usage is when there are favorable conditions in the ambient environment, which is called free cooling. Free cooling can achieve 3,000 to 6,000 hours of cooling per year in temperate and cold climates, resulting in energy savings of 40 to 70 percent for chillers during this time</w:t>
      </w:r>
      <w:r w:rsidR="00E75DEE">
        <w:fldChar w:fldCharType="begin"/>
      </w:r>
      <w:r w:rsidR="00E75DEE">
        <w:instrText xml:space="preserve"> ADDIN ZOTERO_ITEM CSL_CITATION {"citationID":"H9o0ZQVg","properties":{"unsorted":false,"formattedCitation":"[79]","plainCitation":"[79]","noteIndex":0},"citationItems":[{"id":2036,"uris":["http://zotero.org/users/9870935/items/2KMJ9H69"],"itemData":{"id":2036,"type":"paper-conference","container-title":"2011 IEEE Third International Conference on Cloud Computing Technology and Science","DOI":"10.1109/CloudCom.2011.100","event-title":"2011 IEEE 3rd International Conference on Cloud Computing Technology and Science (CloudCom)","ISBN":"978-1-4673-0090-2","page":"646-651","publisher":"IEEE","publisher-place":"Athens, Greece","source":"DOI.org (Crossref)","title":"Energy Efficient Free Cooling System for Data Centers","URL":"http://ieeexplore.ieee.org/document/6133209/","author":[{"family":"D.","given":"Christy Sujatha"},{"family":"Abimannan","given":"Satheesh"}],"accessed":{"date-parts":[["2026",5,16]]},"issued":{"date-parts":[["2011",11]]}}}],"schema":"https://github.com/citation-style-language/schema/raw/master/csl-citation.json"} </w:instrText>
      </w:r>
      <w:r w:rsidR="00E75DEE">
        <w:fldChar w:fldCharType="separate"/>
      </w:r>
      <w:r w:rsidR="00E75DEE" w:rsidRPr="00E75DEE">
        <w:t>[79]</w:t>
      </w:r>
      <w:r w:rsidR="00E75DEE">
        <w:fldChar w:fldCharType="end"/>
      </w:r>
      <w:r w:rsidRPr="00BD4B33">
        <w:t>. When renewable energy is limited and cooling demands energy-intensive, a slight increase in data center inlet temperature from the traditional 20-22 degrees Celsius to 32-35 degrees Celsius can be used in dynamic setpoint management to save 15 to 25</w:t>
      </w:r>
      <w:r w:rsidR="00E75DEE">
        <w:t xml:space="preserve">% </w:t>
      </w:r>
      <w:r w:rsidRPr="00BD4B33">
        <w:t>in cooling energy usage while slightly accelerating component aging</w:t>
      </w:r>
      <w:r w:rsidR="008F410C" w:rsidRPr="003F24D0">
        <w:t xml:space="preserve"> </w:t>
      </w:r>
      <w:r w:rsidR="008F410C">
        <w:fldChar w:fldCharType="begin"/>
      </w:r>
      <w:r w:rsidR="002C5687">
        <w:instrText xml:space="preserve"> ADDIN ZOTERO_ITEM CSL_CITATION {"citationID":"CuNn0HfJ","properties":{"unsorted":false,"formattedCitation":"[145]","plainCitation":"[145]","noteIndex":0},"citationItems":[{"id":2126,"uris":["http://zotero.org/users/9870935/items/5SGD5DQK"],"itemData":{"id":2126,"type":"paper-conference","container-title":"ICC 2025 - IEEE International Conference on Communications","DOI":"10.1109/ICC52391.2025.11160865","event-title":"ICC 2025 - IEEE International Conference on Communications","ISBN":"979-8-3315-0521-9","license":"https://doi.org/10.15223/policy-029","page":"1500-1505","publisher":"IEEE","publisher-place":"Montreal, QC, Canada","source":"DOI.org (Crossref)","title":"Enabling Power-Awareness for Kubernetes Scheduling Through Multi-Criteria Optimization","URL":"https://ieeexplore.ieee.org/document/11160865/","author":[{"family":"Gouaouri","given":"Mohammed Dhiya Eddine"},{"family":"Bagaa","given":"Miloud"},{"family":"Ouahouah","given":"Sihem"},{"family":"Ouameur","given":"Messaoud Ahmed"},{"family":"Ksentini","given":"Adlen"}],"accessed":{"date-parts":[["2026",5,23]]},"issued":{"date-parts":[["2025",6,8]]}}}],"schema":"https://github.com/citation-style-language/schema/raw/master/csl-citation.json"} </w:instrText>
      </w:r>
      <w:r w:rsidR="008F410C">
        <w:fldChar w:fldCharType="separate"/>
      </w:r>
      <w:r w:rsidR="008F410C" w:rsidRPr="00EB7271">
        <w:t>[145]</w:t>
      </w:r>
      <w:r w:rsidR="008F410C">
        <w:fldChar w:fldCharType="end"/>
      </w:r>
      <w:r w:rsidRPr="00BD4B33">
        <w:t>.</w:t>
      </w:r>
    </w:p>
    <w:p w14:paraId="53D3096B" w14:textId="77777777" w:rsidR="00BD4B33" w:rsidRPr="0035074E" w:rsidRDefault="00BD4B33" w:rsidP="0035074E">
      <w:pPr>
        <w:pStyle w:val="Heading20"/>
        <w:jc w:val="both"/>
        <w:rPr>
          <w:color w:val="auto"/>
        </w:rPr>
      </w:pPr>
      <w:r w:rsidRPr="0035074E">
        <w:rPr>
          <w:color w:val="auto"/>
        </w:rPr>
        <w:t>9.9 Cybersecurity and Operational Technology</w:t>
      </w:r>
    </w:p>
    <w:p w14:paraId="621D32DF" w14:textId="0CDD00D5" w:rsidR="00BD4B33" w:rsidRPr="00BD4B33" w:rsidRDefault="00BD4B33" w:rsidP="002C5687">
      <w:pPr>
        <w:spacing w:after="120"/>
        <w:ind w:firstLine="480"/>
      </w:pPr>
      <w:r w:rsidRPr="00BD4B33">
        <w:t>The augmentation of the attack surface area due to integration of renewable energy systems, such as energy management platforms, smart inverters, battery management systems, and renewable monitoring systems, creates cybersecurity challenges that should be taken into account during system design. The possible threats to the system can be false data injection (providing corrupted sensor readings to the EMS), malicious control commands (causing equipment to operate outside safe parameters), and denial of service attacks (disrupting communication between components)</w:t>
      </w:r>
      <w:r w:rsidR="002C5687">
        <w:fldChar w:fldCharType="begin"/>
      </w:r>
      <w:r w:rsidR="002C5687">
        <w:instrText xml:space="preserve"> ADDIN ZOTERO_ITEM CSL_CITATION {"citationID":"oozQ5wwK","properties":{"unsorted":false,"formattedCitation":"[163]","plainCitation":"[163]","noteIndex":0},"citationItems":[{"id":2151,"uris":["http://zotero.org/users/9870935/items/G8D3K3TM"],"itemData":{"id":2151,"type":"article-journal","abstract":"The oil and gas industry, a cornerstone of critical infrastructure, faces an escalating threat landscape due to supply chain malware targeting Operational Technology (OT). These attacks exploit vulnerabilities introduced by third-party vendors and the convergence of legacy OT systems with modern IT networks, posing significant risks to industrial processes, national energy resilience, and environmental safety. This article examines the unique risks in OT systems, highlighting cascading operational, financial, and environmental consequences. Grounded in NERC CIP-013 standards, it proposes mitigation strategies such as supply chain mapping, sandbox testing, Zero Trust Architecture (ZTA), robust vendor audits, and cybersecurityintegrated project management practices. By analyzing high- impact scenarios and lessons learned, it provides actionable insights to empower stakeholders in safeguarding critical infrastructure.","language":"en","source":"Zotero","title":"Mitigating Supply Chain Malware Risks in Operational Technology: Challenges and Solutions for the Oil and Gas Industry","author":[{"family":"Chatterjee","given":"Suchismita"}]}}],"schema":"https://github.com/citation-style-language/schema/raw/master/csl-citation.json"} </w:instrText>
      </w:r>
      <w:r w:rsidR="002C5687">
        <w:fldChar w:fldCharType="separate"/>
      </w:r>
      <w:r w:rsidR="002C5687" w:rsidRPr="002C5687">
        <w:t>[163]</w:t>
      </w:r>
      <w:r w:rsidR="002C5687">
        <w:fldChar w:fldCharType="end"/>
      </w:r>
      <w:r w:rsidRPr="00BD4B33">
        <w:t>. As the IT and OT networks in the modern-day data center converge, there are opportunities for cyber threats to spread from enterprise systems to critical power infrastructure.</w:t>
      </w:r>
    </w:p>
    <w:p w14:paraId="7456F388" w14:textId="1E3F20FD" w:rsidR="00FC26B6" w:rsidRPr="00BD4B33" w:rsidRDefault="00BD4B33" w:rsidP="00566296">
      <w:pPr>
        <w:spacing w:after="120"/>
        <w:ind w:firstLine="480"/>
      </w:pPr>
      <w:r w:rsidRPr="00BD4B33">
        <w:t>The following principles are followed to support best practices for OT cybersecurity: Air-gapping or VPN-protected control networks, Multi-factor authentication of all operator access, Role-based access control that minimizes the permissions of each user, Encrypted communications with TLS 1.3 or its higher versions, and Redundant communication paths to ensure control capability for disruptions to the network</w:t>
      </w:r>
      <w:r w:rsidR="009C5A33">
        <w:fldChar w:fldCharType="begin"/>
      </w:r>
      <w:r w:rsidR="009C5A33">
        <w:instrText xml:space="preserve"> ADDIN ZOTERO_ITEM CSL_CITATION {"citationID":"Z3L6Q0Rb","properties":{"unsorted":false,"formattedCitation":"[164]","plainCitation":"[164]","noteIndex":0},"citationItems":[{"id":2153,"uris":["http://zotero.org/users/9870935/items/BM962LGX"],"itemData":{"id":2153,"type":"article-journal","abstract":"Power system is not exempt from the cyber security threats that threaten almost all digitalised society sectors and activities. Consequences of cyber-attacks to power control infrastructures can be extremely significant for operators’ core business, but also for most of the essential services of developed society, even potentially affecting safety of people. Fortunately countermeasures exist as there are international standard that specify which countermeasures have to be applied to raise the security level and to allow interoperability between operators’, vendors’, and customers’ devices. Cyber security countermeasures have an impact on performance that must be evaluated early enough to assess the adequacy of a solution, or to select the most appropriate configuration among multiple alternatives. This article describes a platform developed to measure the impact of cyber security measures indicated by the TLS profiles specified by IEC 62351 standard series. The experimental platform is described and the performances of different cypher suites supported by the standard are reported for communications using a IEC 61850 protocol stack.","language":"en","source":"Zotero","title":"IMPACT EVALUATION OF IEC 62351 CYBER SECURITY ON IEC 61850 COMMUNICATIONS PERFORMANCE","author":[{"family":"Todeschini","given":"Mauro G"},{"family":"Dondossola","given":"Giovanna"},{"family":"Terruggia","given":"Roberta"}],"issued":{"date-parts":[["2019"]]}}}],"schema":"https://github.com/citation-style-language/schema/raw/master/csl-citation.json"} </w:instrText>
      </w:r>
      <w:r w:rsidR="009C5A33">
        <w:fldChar w:fldCharType="separate"/>
      </w:r>
      <w:r w:rsidR="009C5A33" w:rsidRPr="009C5A33">
        <w:t>[164]</w:t>
      </w:r>
      <w:r w:rsidR="009C5A33">
        <w:fldChar w:fldCharType="end"/>
      </w:r>
      <w:r w:rsidRPr="00BD4B33">
        <w:t>. Relevant standards include NERC CIP (Critical Infrastructure Protection) for bulk power systems, IEC 62351 for power system communications security, and the NIST Cybersecurity Framework for overall risk management. Vulnerability scans and penetration tests should be performed at least once a year, to determine and fix security weaknesses</w:t>
      </w:r>
      <w:r w:rsidR="00566296">
        <w:fldChar w:fldCharType="begin"/>
      </w:r>
      <w:r w:rsidR="00566296">
        <w:instrText xml:space="preserve"> ADDIN ZOTERO_ITEM CSL_CITATION {"citationID":"WrmxBe2a","properties":{"unsorted":false,"formattedCitation":"[165]","plainCitation":"[165]","noteIndex":0},"citationItems":[{"id":2154,"uris":["http://zotero.org/users/9870935/items/5WIYJKYR"],"itemData":{"id":2154,"type":"article-journal","abstract":"As technology advances and digitalization becomes more prevalent in the industry, the cyber threats to maritime systems and operations have significantly increased. The maritime sector relies heavily on interconnected networks, communication systems, and sophisticated technologies for its operations, making it an attractive target for cybercriminals, nation-states, and other threat actors. Safeguarding the maritime sector against cyber threats is crucial to ensuring the safety, integrity, and efficiency of maritime operations as well as for protecting sensitive information and global trade. The International Maritime Organization (IMO) has played a significant role in addressing cybersecurity issues, leading to the implementation of regulations aimed at risk reduction. This paper delves into the realm of cybersecurity within the maritime industry, offering an in-depth analysis of its various aspects through an extensive literature review based on the latest Version 2.0 of the National Institute of Standards and Technology’s (NIST) Cybersecurity Framework (CSF) functional areas. The primary objective is to establish a connection between research and NIST’s functions and categories, thereby presenting a nascent perspective and identifying existing security research gaps. Through the adoption of this strategic approach, the present paper aims to cultivate a forward-looking and proactive state of maturity in anticipation of future developments within the maritime industry. The outcomes of this research can provide valuable reference points in academic discourse, potentially leading to new hypotheses, and fuel innovation in developing advanced cybersecurity measures within the maritime industry.","container-title":"Journal of Marine Science and Engineering","DOI":"10.3390/jmse12060919","ISSN":"2077-1312","issue":"6","journalAbbreviation":"JMSE","language":"en","page":"919","source":"DOI.org (Crossref)","title":"Comprehensive Analysis of Maritime Cybersecurity Landscape Based on the NIST CSF v2.0","volume":"12","author":[{"family":"Dimakopoulou","given":"Anastasia"},{"family":"Rantos","given":"Konstantinos"}],"issued":{"date-parts":[["2024",5,30]]}}}],"schema":"https://github.com/citation-style-language/schema/raw/master/csl-citation.json"} </w:instrText>
      </w:r>
      <w:r w:rsidR="00566296">
        <w:fldChar w:fldCharType="separate"/>
      </w:r>
      <w:r w:rsidR="00566296" w:rsidRPr="00566296">
        <w:t>[165]</w:t>
      </w:r>
      <w:r w:rsidR="00566296">
        <w:fldChar w:fldCharType="end"/>
      </w:r>
      <w:r w:rsidRPr="00BD4B33">
        <w:t>.</w:t>
      </w:r>
    </w:p>
    <w:p w14:paraId="4E1BB130" w14:textId="77777777" w:rsidR="00F17FC4" w:rsidRDefault="00F17FC4" w:rsidP="00F17FC4">
      <w:pPr>
        <w:pStyle w:val="Heading1"/>
        <w:keepNext/>
      </w:pPr>
      <w:bookmarkStart w:id="6" w:name="_Toc100067"/>
      <w:r>
        <w:t>10. Economic Analysis and Financial Viability</w:t>
      </w:r>
      <w:bookmarkEnd w:id="6"/>
    </w:p>
    <w:p w14:paraId="7207FD51" w14:textId="14E1B952" w:rsidR="00FC26B6" w:rsidRDefault="2F2ED697" w:rsidP="5A4BC1A1">
      <w:pPr>
        <w:spacing w:after="120"/>
        <w:ind w:firstLine="480"/>
        <w:rPr>
          <w:color w:val="000000" w:themeColor="text1"/>
          <w:szCs w:val="24"/>
          <w:lang w:val="en-CA"/>
        </w:rPr>
      </w:pPr>
      <w:r w:rsidRPr="5A4BC1A1">
        <w:rPr>
          <w:color w:val="000000" w:themeColor="text1"/>
          <w:szCs w:val="24"/>
          <w:lang w:val="en-CA"/>
        </w:rPr>
        <w:t>This chapter provides a comprehensive economic analysis of renewable-powered AI data centers, examining capital costs, operational expenses, levelized cost of energy, power purchase agreements, tax incentives, and financial modeling approaches. The analysis demonstrates that hybrid renewable systems are approaching or have achieved cost parity with conventional grid-powered operations in many markets.</w:t>
      </w:r>
    </w:p>
    <w:p w14:paraId="78C97F23" w14:textId="585F6D1E" w:rsidR="00EB1FF0" w:rsidRPr="00EB1FF0" w:rsidRDefault="00EB1FF0" w:rsidP="00EB1FF0">
      <w:pPr>
        <w:pStyle w:val="Heading20"/>
        <w:jc w:val="both"/>
        <w:rPr>
          <w:color w:val="auto"/>
        </w:rPr>
      </w:pPr>
      <w:bookmarkStart w:id="7" w:name="_Toc100068"/>
      <w:r w:rsidRPr="00EB1FF0">
        <w:rPr>
          <w:color w:val="auto"/>
        </w:rPr>
        <w:t>10.1 Capital</w:t>
      </w:r>
      <w:r w:rsidR="002E0101">
        <w:rPr>
          <w:color w:val="auto"/>
        </w:rPr>
        <w:t xml:space="preserve"> and Operational</w:t>
      </w:r>
      <w:r w:rsidRPr="00EB1FF0">
        <w:rPr>
          <w:color w:val="auto"/>
        </w:rPr>
        <w:t xml:space="preserve"> Cost Analysis</w:t>
      </w:r>
      <w:bookmarkEnd w:id="7"/>
    </w:p>
    <w:p w14:paraId="00A3142D" w14:textId="4A6391DD" w:rsidR="00FA4627" w:rsidRDefault="00C92131" w:rsidP="00530654">
      <w:pPr>
        <w:spacing w:after="120"/>
        <w:ind w:firstLine="480"/>
        <w:rPr>
          <w:szCs w:val="24"/>
        </w:rPr>
      </w:pPr>
      <w:r w:rsidRPr="00C92131">
        <w:rPr>
          <w:szCs w:val="24"/>
        </w:rPr>
        <w:lastRenderedPageBreak/>
        <w:t>Capital costs of solar PV in a utility-scale installation now range between $0.70 and $1.20 per Watt, while rooftop or carport installations are between 20 and 30</w:t>
      </w:r>
      <w:r>
        <w:rPr>
          <w:szCs w:val="24"/>
        </w:rPr>
        <w:t xml:space="preserve">% </w:t>
      </w:r>
      <w:r w:rsidRPr="00C92131">
        <w:rPr>
          <w:szCs w:val="24"/>
        </w:rPr>
        <w:t>more expensive. The installed cost for onshore wind has fallen to about $1,150-$1,800 per kW for utility-scale projects. Lithium iron phosphate (LFP) chemistries have taken the lead in the utility scale battery energy storage system (BESS) market, resulting in costs as low as about $100 to $150/kWh.</w:t>
      </w:r>
      <w:r w:rsidR="00FA4627">
        <w:rPr>
          <w:szCs w:val="24"/>
        </w:rPr>
        <w:t xml:space="preserve"> </w:t>
      </w:r>
      <w:r w:rsidRPr="00C92131">
        <w:rPr>
          <w:szCs w:val="24"/>
        </w:rPr>
        <w:t xml:space="preserve">The total system CAPEX for a 100% renewable solution with 8 hours of storage is now estimated in the range of 200M$ to 320M$ for a representative 100 MW data center. The costs </w:t>
      </w:r>
      <w:r w:rsidR="002E0101" w:rsidRPr="00C92131">
        <w:rPr>
          <w:szCs w:val="24"/>
        </w:rPr>
        <w:t>increase to</w:t>
      </w:r>
      <w:r w:rsidRPr="00C92131">
        <w:rPr>
          <w:szCs w:val="24"/>
        </w:rPr>
        <w:t xml:space="preserve"> $120-$200 million for a 50</w:t>
      </w:r>
      <w:r w:rsidR="00FA4627">
        <w:rPr>
          <w:szCs w:val="24"/>
        </w:rPr>
        <w:t xml:space="preserve">% </w:t>
      </w:r>
      <w:r w:rsidRPr="00C92131">
        <w:rPr>
          <w:szCs w:val="24"/>
        </w:rPr>
        <w:t xml:space="preserve">renewable, 4-hour storage system. </w:t>
      </w:r>
      <w:r w:rsidR="002E0101">
        <w:rPr>
          <w:szCs w:val="24"/>
        </w:rPr>
        <w:t xml:space="preserve">OPEX </w:t>
      </w:r>
      <w:r w:rsidR="002E0101" w:rsidRPr="00C92131">
        <w:rPr>
          <w:szCs w:val="24"/>
        </w:rPr>
        <w:t>remains</w:t>
      </w:r>
      <w:r w:rsidRPr="00C92131">
        <w:rPr>
          <w:szCs w:val="24"/>
        </w:rPr>
        <w:t xml:space="preserve"> between previous estimates with an operational cost of between 0.5 to 3.5</w:t>
      </w:r>
      <w:r w:rsidR="00FA4627">
        <w:rPr>
          <w:szCs w:val="24"/>
        </w:rPr>
        <w:t>%</w:t>
      </w:r>
      <w:r w:rsidRPr="00C92131">
        <w:rPr>
          <w:szCs w:val="24"/>
        </w:rPr>
        <w:t xml:space="preserve"> of CAPEX – with some benefits depending on areas within the U.S. where the infrastructure investment requirement and resulting capacity price increase owing to demand is </w:t>
      </w:r>
      <w:r w:rsidR="00FA4627" w:rsidRPr="00C92131">
        <w:rPr>
          <w:szCs w:val="24"/>
        </w:rPr>
        <w:t>increasing</w:t>
      </w:r>
      <w:r w:rsidR="00530654">
        <w:rPr>
          <w:szCs w:val="24"/>
        </w:rPr>
        <w:fldChar w:fldCharType="begin"/>
      </w:r>
      <w:r w:rsidR="001A6DB0">
        <w:rPr>
          <w:szCs w:val="24"/>
        </w:rPr>
        <w:instrText xml:space="preserve"> ADDIN ZOTERO_ITEM CSL_CITATION {"citationID":"nQqi61J3","properties":{"unsorted":false,"formattedCitation":"[166], [167], [168], [169], [170]","plainCitation":"[166], [167], [168], [169], [170]","dontUpdate":true,"noteIndex":0},"citationItems":[{"id":2160,"uris":["http://zotero.org/users/9870935/items/VY7NNPNR"],"itemData":{"id":2160,"type":"article-journal","abstract":"Data centers and large electricity loads are power hungry, raising concerns about higher electricity costs, increased emissions, and reliability risks. We show that co-locating solar+storage systems with underutilized natural gas plants offers a practical, near-term pathway for reliable, low-cost industrial power. Using eight years of hourly weather data, we co-optimize load and hybrid solar+storage+gas configurations at 68 existing plants near data center developments, meeting over 95% of demand with solar+storage. Across these sites, levelized costs range from $60-138/MWh, competitive with data centers’ recent contract prices for 24/7 clean power. Conflict analysis indicates minimal overlap between solar+storage backup needs and grid stress across most regions of the United States today, allowing gas units to provide dual roles: facilitating large load integration while supporting grid reliability. By optimizing existing infrastructure, this approach offers a scalable pathway to serve large loads, though realizing these benefits will require careful coordination amongst stakeholders.","language":"en","source":"Zotero","title":"Utilizing Noncoincident Needs to Site Data Centers with Solar+Storage at Existing Gas Plants","author":[{"family":"Chojkiewicz","given":"Emilia"},{"family":"Manocha","given":"Aneesha"},{"family":"Paliwal","given":"Umed"},{"family":"Callaway","given":"Duncan"},{"family":"Phadke","given":"Amol"}]}},{"id":2161,"uris":["http://zotero.org/users/9870935/items/3UAVUEI5"],"itemData":{"id":2161,"type":"article-journal","abstract":"In 2025, global energy transition investments increased by 8% per annum to USD 2,309 billion or 2% of global gross domestic product. Despite a decrease of investments in solar photovoltaics of 11.5%, the newly installed capacity increased by over 15% to reach almost 700 GWp. Globally, the installed solar photovoltaic capacity exceeded 2.95 TWp at the end of 2025. The number of countries installing 1 GWp/year or more has increased by 8 to 44. In 2025, investments in small-scale photovoltaics exceeded investments for large-scale photovoltaic plants by 28%. Levelised costs of electricity for non-tracking solar photovoltaic systems as well as the levelised cost of battery storage decreased again and reached new lows. Countries in emerging economies with grid stability problems and rapidly rising electricity demand for cooling, mainly to combat heat waves, have shown exceptionally high growth rates in new PV installations. Additional demand for renewable electricity and solar photovoltaics is created by a general trend towards electrification of heating, transport, and industry. Market expectations for 2026 are mixed from a shrinking market to a moderate one-digit growth. Needless to mention, neither market expectations are in line with the market growth needed to achieve an annual market of 2.25 TW\n              p\n              by 2030 nor are they on track to realise a 100% renewable energy scenario by 2050.","container-title":"EPJ Photovoltaics","DOI":"10.1051/epjpv/2026011","ISSN":"2105-0716","journalAbbreviation":"EPJ Photovolt.","license":"https://creativecommons.org/licenses/by/4.0","page":"18","source":"DOI.org (Crossref)","title":"Snapshot of photovoltaics—February 2026","volume":"17","author":[{"family":"Jäger-Waldau","given":"Arnulf"}],"issued":{"date-parts":[["2026"]]}}},{"id":2167,"uris":["http://zotero.org/users/9870935/items/VK9P7UB3"],"itemData":{"id":2167,"type":"article-journal","abstract":"Artificial-intelligence-driven data centers are reversing two decades of flat U.S. electricity demand and have generated questions about how this growth will impact electricity prices. We quantify this effect using an hourly, unit-level least-cost dispatch model covering wholesale electricity markets in the continental United States. We find that existing data centers have already increased wholesale prices by 2 to 6% on average nationwide, with substantially larger effects in regions hosting major data center corridors. Extending the model through 2028, we show that if proposed construction proceeds under highutilization scenarios, wholesale prices could rise dramatically (50%), while more moderate build-out yields smaller (20%) but still meaningful effects. Impacts vary due to utilization and build-out assumptions. Finally, we use the model to address several policy discussions including optimal data center siting decisions and renewable build-out uncertainty.","container-title":"Federal Reserve Bank of Dallas, Working Papers","DOI":"10.24149/wp2606","issue":"2606","journalAbbreviation":"wp","language":"en","source":"DOI.org (Crossref)","title":"Processing Power: The Effect of Data Centers on Wholesale Electricity Markets","title-short":"Processing Power","URL":"https://www.dallasfed.org/research/papers/2026/wp2606","volume":"2026","author":[{"family":"Kay","given":"Owen"},{"family":"Reaser","given":"Robert"},{"family":"Taylor","given":"Reid"}],"accessed":{"date-parts":[["2026",6,6]]},"issued":{"date-parts":[["2026",3]]}}},{"id":2169,"uris":["http://zotero.org/users/9870935/items/2ENY6B2S"],"itemData":{"id":2169,"type":"report","abstract":"After two decades of flat demand, electricity use is projected to surge in the United States due primarily to the growth of data centers for artificial intelligence (AI).  The number of data centers anticipated to be built and how much electricity they will need are both highly uncertain. What sources of electricity are used to power them has important implications for energy affordability, grid reliability, climate change, and public health. The Union of Concerned Scientists (UCS) used a power sector capacity expansion model developed by the National Renewable Energy Laboratory to analyze different approaches to meeting data center demand growth under varying policies and assumptions. We found that the United States can meet electricity demand from data centers primarily with clean energy, and at the same time, phase down fossil fuel use. But achieving this outcome will require policy intervention. The cost of meeting data center demand between 2026 and 2050 is approximately $900 billion, representing 18 percent of total US wholesale electricity costs. Clean energy policies reduce air pollution and heat-trapping emissions from using fossil fuels, resulting in billions of dollars in health benefits and trillions of dollars of avoided climate damages that outweigh the cost of transitioning to clean energy. In addition to adopting strong clean energy policies, policymakers and regulators should require utilities and data center developers to be more transparent and accountable and to improve long-term planning for meeting data center demand while protecting other customers from cost increases and negative health impacts.","DOI":"10.47923/2026.16051","language":"en","publisher":"Union of Concerned Scientists","source":"DOI.org (Crossref)","title":"Data Center Power Play: How Clean Energy Can Meet Rising Electricity Demand While Delivering Climate and Health Benefits","title-short":"Data Center Power Play","URL":"https://www.ucs.org/node/16051","author":[{"family":"Clemmer","given":"Steve"},{"family":"Chavez","given":"Maria"},{"family":"Dotson","given":"Samuel"},{"family":"Gignac","given":"James"},{"family":"Sattler","given":"Sandra"},{"family":"Shaver","given":"Lee"}],"accessed":{"date-parts":[["2026",6,6]]},"issued":{"date-parts":[["2026",1,21]]}}},{"id":1829,"uris":["http://zotero.org/users/9870935/items/T2KVG3NT"],"itemData":{"id":1829,"type":"article-journal","abstract":"Today's AI still faces two major challenges. One is that in most industries, data exists in the form of isolated islands. The other is the strengthening of data privacy and security. We propose a possible solution to these challenges: secure federated learning. Beyond the federated learning framework first proposed by Google in 2016, we introduce a comprehensive secure federated learning framework, which includes horizontal federated learning, vertical federated learning and federated transfer learning. We provide definitions, architectures and applications for the federated learning framework, and provide a comprehensive survey of existing works on this subject. In addition, we propose building data networks among organizations based on federated mechanisms as an effective solution to allow knowledge to be shared without compromising user privacy.","DOI":"10.48550/ARXIV.1902.04885","license":"arXiv.org perpetual, non-exclusive license","note":"version: 1","publisher":"arXiv","source":"DOI.org (Datacite)","title":"Federated Machine Learning: Concept and Applications","title-short":"Federated Machine Learning","URL":"https://arxiv.org/abs/1902.04885","author":[{"family":"Yang","given":"Qiang"},{"family":"Liu","given":"Yang"},{"family":"Chen","given":"Tianjian"},{"family":"Tong","given":"Yongxin"}],"accessed":{"date-parts":[["2026",1,12]]},"issued":{"date-parts":[["2019"]]}}}],"schema":"https://github.com/citation-style-language/schema/raw/master/csl-citation.json"} </w:instrText>
      </w:r>
      <w:r w:rsidR="00530654">
        <w:rPr>
          <w:szCs w:val="24"/>
        </w:rPr>
        <w:fldChar w:fldCharType="separate"/>
      </w:r>
      <w:r w:rsidR="00530654" w:rsidRPr="00530654">
        <w:t>[166], [167], [168], [170]</w:t>
      </w:r>
      <w:r w:rsidR="00530654">
        <w:rPr>
          <w:szCs w:val="24"/>
        </w:rPr>
        <w:fldChar w:fldCharType="end"/>
      </w:r>
      <w:r w:rsidR="00FA4627" w:rsidRPr="00C92131">
        <w:rPr>
          <w:szCs w:val="24"/>
        </w:rPr>
        <w:t xml:space="preserve">. </w:t>
      </w:r>
    </w:p>
    <w:p w14:paraId="1273910C" w14:textId="77777777" w:rsidR="002E0101" w:rsidRPr="002E0101" w:rsidRDefault="002E0101" w:rsidP="002E0101">
      <w:pPr>
        <w:numPr>
          <w:ilvl w:val="0"/>
          <w:numId w:val="4"/>
        </w:numPr>
        <w:spacing w:after="120"/>
        <w:rPr>
          <w:szCs w:val="24"/>
          <w:lang w:val="en-CA"/>
        </w:rPr>
      </w:pPr>
      <w:r w:rsidRPr="002E0101">
        <w:rPr>
          <w:b/>
          <w:bCs/>
          <w:szCs w:val="24"/>
          <w:lang w:val="en-CA"/>
        </w:rPr>
        <w:t>Solar PV:</w:t>
      </w:r>
      <w:r w:rsidRPr="002E0101">
        <w:rPr>
          <w:szCs w:val="24"/>
          <w:lang w:val="en-CA"/>
        </w:rPr>
        <w:t xml:space="preserve"> 0.5–1.0% per year.</w:t>
      </w:r>
    </w:p>
    <w:p w14:paraId="76902198" w14:textId="77777777" w:rsidR="002E0101" w:rsidRPr="002E0101" w:rsidRDefault="002E0101" w:rsidP="002E0101">
      <w:pPr>
        <w:numPr>
          <w:ilvl w:val="0"/>
          <w:numId w:val="4"/>
        </w:numPr>
        <w:spacing w:after="120"/>
        <w:rPr>
          <w:szCs w:val="24"/>
          <w:lang w:val="en-CA"/>
        </w:rPr>
      </w:pPr>
      <w:r w:rsidRPr="002E0101">
        <w:rPr>
          <w:b/>
          <w:bCs/>
          <w:szCs w:val="24"/>
          <w:lang w:val="en-CA"/>
        </w:rPr>
        <w:t>Wind Turbines:</w:t>
      </w:r>
      <w:r w:rsidRPr="002E0101">
        <w:rPr>
          <w:szCs w:val="24"/>
          <w:lang w:val="en-CA"/>
        </w:rPr>
        <w:t xml:space="preserve"> 2.5–3.5% per year.</w:t>
      </w:r>
    </w:p>
    <w:p w14:paraId="1265B2D1" w14:textId="77777777" w:rsidR="002E0101" w:rsidRPr="002E0101" w:rsidRDefault="002E0101" w:rsidP="002E0101">
      <w:pPr>
        <w:numPr>
          <w:ilvl w:val="0"/>
          <w:numId w:val="4"/>
        </w:numPr>
        <w:spacing w:after="120"/>
        <w:rPr>
          <w:szCs w:val="24"/>
          <w:lang w:val="en-CA"/>
        </w:rPr>
      </w:pPr>
      <w:r w:rsidRPr="002E0101">
        <w:rPr>
          <w:b/>
          <w:bCs/>
          <w:szCs w:val="24"/>
          <w:lang w:val="en-CA"/>
        </w:rPr>
        <w:t>Battery Systems:</w:t>
      </w:r>
      <w:r w:rsidRPr="002E0101">
        <w:rPr>
          <w:szCs w:val="24"/>
          <w:lang w:val="en-CA"/>
        </w:rPr>
        <w:t xml:space="preserve"> 1.0–2.0% per year.</w:t>
      </w:r>
    </w:p>
    <w:p w14:paraId="2DA3A90E" w14:textId="3A4BC7BB" w:rsidR="002E0101" w:rsidRPr="002E0101" w:rsidRDefault="002E0101" w:rsidP="002E0101">
      <w:pPr>
        <w:numPr>
          <w:ilvl w:val="0"/>
          <w:numId w:val="4"/>
        </w:numPr>
        <w:spacing w:after="120"/>
        <w:rPr>
          <w:szCs w:val="24"/>
          <w:lang w:val="en-CA"/>
        </w:rPr>
      </w:pPr>
      <w:r w:rsidRPr="002E0101">
        <w:rPr>
          <w:b/>
          <w:bCs/>
          <w:szCs w:val="24"/>
          <w:lang w:val="en-CA"/>
        </w:rPr>
        <w:t>Contingency:</w:t>
      </w:r>
      <w:r w:rsidRPr="002E0101">
        <w:rPr>
          <w:szCs w:val="24"/>
          <w:lang w:val="en-CA"/>
        </w:rPr>
        <w:t xml:space="preserve"> A budget of 5 to 10 percent of annual CAPEX is still recommended for unexpected repairs.</w:t>
      </w:r>
    </w:p>
    <w:p w14:paraId="6E29C96A" w14:textId="0BF353A5" w:rsidR="005F31AA" w:rsidRDefault="005F31AA" w:rsidP="005F31AA">
      <w:pPr>
        <w:pStyle w:val="Heading20"/>
        <w:jc w:val="both"/>
        <w:rPr>
          <w:color w:val="auto"/>
        </w:rPr>
      </w:pPr>
      <w:r w:rsidRPr="00EB1FF0">
        <w:rPr>
          <w:color w:val="auto"/>
        </w:rPr>
        <w:t>10.</w:t>
      </w:r>
      <w:r>
        <w:rPr>
          <w:color w:val="auto"/>
        </w:rPr>
        <w:t>2</w:t>
      </w:r>
      <w:r w:rsidRPr="00EB1FF0">
        <w:rPr>
          <w:color w:val="auto"/>
        </w:rPr>
        <w:t xml:space="preserve"> </w:t>
      </w:r>
      <w:r>
        <w:rPr>
          <w:color w:val="auto"/>
        </w:rPr>
        <w:t>Levelized Cost of Energy (LCOE) Compariosn</w:t>
      </w:r>
    </w:p>
    <w:p w14:paraId="18763187" w14:textId="6F33CA94" w:rsidR="00466451" w:rsidRPr="006843AB" w:rsidRDefault="00F93C13" w:rsidP="006843AB">
      <w:pPr>
        <w:spacing w:after="120"/>
        <w:ind w:firstLine="480"/>
        <w:rPr>
          <w:szCs w:val="24"/>
        </w:rPr>
      </w:pPr>
      <w:r w:rsidRPr="006843AB">
        <w:rPr>
          <w:szCs w:val="24"/>
        </w:rPr>
        <w:t>The following table reflects current market conditions for 2026</w:t>
      </w:r>
      <w:r w:rsidR="00172115" w:rsidRPr="00530654">
        <w:t>[169]</w:t>
      </w:r>
      <w:r w:rsidRPr="006843AB">
        <w:rPr>
          <w:szCs w:val="24"/>
        </w:rPr>
        <w:t>.</w:t>
      </w:r>
    </w:p>
    <w:tbl>
      <w:tblPr>
        <w:tblStyle w:val="MDPI41threelinetable"/>
        <w:tblW w:w="0" w:type="auto"/>
        <w:tblLook w:val="04A0" w:firstRow="1" w:lastRow="0" w:firstColumn="1" w:lastColumn="0" w:noHBand="0" w:noVBand="1"/>
      </w:tblPr>
      <w:tblGrid>
        <w:gridCol w:w="2406"/>
        <w:gridCol w:w="1288"/>
        <w:gridCol w:w="1570"/>
        <w:gridCol w:w="1344"/>
        <w:gridCol w:w="2236"/>
      </w:tblGrid>
      <w:tr w:rsidR="00F93C13" w:rsidRPr="00F93C13" w14:paraId="26530142" w14:textId="77777777" w:rsidTr="00F93C13">
        <w:trPr>
          <w:cnfStyle w:val="100000000000" w:firstRow="1" w:lastRow="0" w:firstColumn="0" w:lastColumn="0" w:oddVBand="0" w:evenVBand="0" w:oddHBand="0" w:evenHBand="0" w:firstRowFirstColumn="0" w:firstRowLastColumn="0" w:lastRowFirstColumn="0" w:lastRowLastColumn="0"/>
        </w:trPr>
        <w:tc>
          <w:tcPr>
            <w:tcW w:w="0" w:type="auto"/>
            <w:hideMark/>
          </w:tcPr>
          <w:p w14:paraId="41B850C9" w14:textId="77777777" w:rsidR="00F93C13" w:rsidRPr="00F93C13" w:rsidRDefault="00F93C13" w:rsidP="00F93C13">
            <w:pPr>
              <w:pStyle w:val="TableBody"/>
              <w:rPr>
                <w:bCs/>
                <w:color w:val="auto"/>
              </w:rPr>
            </w:pPr>
            <w:r w:rsidRPr="00F93C13">
              <w:rPr>
                <w:bCs/>
                <w:color w:val="auto"/>
              </w:rPr>
              <w:t>Scenario</w:t>
            </w:r>
          </w:p>
        </w:tc>
        <w:tc>
          <w:tcPr>
            <w:tcW w:w="0" w:type="auto"/>
            <w:hideMark/>
          </w:tcPr>
          <w:p w14:paraId="56FFF587" w14:textId="77777777" w:rsidR="00F93C13" w:rsidRPr="00F93C13" w:rsidRDefault="00F93C13" w:rsidP="00F93C13">
            <w:pPr>
              <w:pStyle w:val="TableBody"/>
              <w:rPr>
                <w:bCs/>
                <w:color w:val="auto"/>
              </w:rPr>
            </w:pPr>
            <w:r w:rsidRPr="00F93C13">
              <w:rPr>
                <w:bCs/>
                <w:color w:val="auto"/>
              </w:rPr>
              <w:t>LCOE Low</w:t>
            </w:r>
          </w:p>
        </w:tc>
        <w:tc>
          <w:tcPr>
            <w:tcW w:w="0" w:type="auto"/>
            <w:hideMark/>
          </w:tcPr>
          <w:p w14:paraId="347B12F6" w14:textId="77777777" w:rsidR="00F93C13" w:rsidRPr="00F93C13" w:rsidRDefault="00F93C13" w:rsidP="00F93C13">
            <w:pPr>
              <w:pStyle w:val="TableBody"/>
              <w:rPr>
                <w:bCs/>
                <w:color w:val="auto"/>
              </w:rPr>
            </w:pPr>
            <w:r w:rsidRPr="00F93C13">
              <w:rPr>
                <w:bCs/>
                <w:color w:val="auto"/>
              </w:rPr>
              <w:t>LCOE Central</w:t>
            </w:r>
          </w:p>
        </w:tc>
        <w:tc>
          <w:tcPr>
            <w:tcW w:w="0" w:type="auto"/>
            <w:hideMark/>
          </w:tcPr>
          <w:p w14:paraId="709335D1" w14:textId="77777777" w:rsidR="00F93C13" w:rsidRPr="00F93C13" w:rsidRDefault="00F93C13" w:rsidP="00F93C13">
            <w:pPr>
              <w:pStyle w:val="TableBody"/>
              <w:rPr>
                <w:bCs/>
                <w:color w:val="auto"/>
              </w:rPr>
            </w:pPr>
            <w:r w:rsidRPr="00F93C13">
              <w:rPr>
                <w:bCs/>
                <w:color w:val="auto"/>
              </w:rPr>
              <w:t>LCOE High</w:t>
            </w:r>
          </w:p>
        </w:tc>
        <w:tc>
          <w:tcPr>
            <w:tcW w:w="0" w:type="auto"/>
            <w:hideMark/>
          </w:tcPr>
          <w:p w14:paraId="5A847395" w14:textId="77777777" w:rsidR="00F93C13" w:rsidRPr="00F93C13" w:rsidRDefault="00F93C13" w:rsidP="00F93C13">
            <w:pPr>
              <w:pStyle w:val="TableBody"/>
              <w:rPr>
                <w:bCs/>
                <w:color w:val="auto"/>
              </w:rPr>
            </w:pPr>
            <w:r w:rsidRPr="00F93C13">
              <w:rPr>
                <w:bCs/>
                <w:color w:val="auto"/>
              </w:rPr>
              <w:t>Key Sensitivity</w:t>
            </w:r>
          </w:p>
        </w:tc>
      </w:tr>
      <w:tr w:rsidR="00F93C13" w:rsidRPr="00F93C13" w14:paraId="0F198DCC" w14:textId="77777777" w:rsidTr="00F93C13">
        <w:tc>
          <w:tcPr>
            <w:tcW w:w="0" w:type="auto"/>
            <w:hideMark/>
          </w:tcPr>
          <w:p w14:paraId="59640A8E" w14:textId="77777777" w:rsidR="00F93C13" w:rsidRPr="005B1FF5" w:rsidRDefault="00F93C13" w:rsidP="00F93C13">
            <w:pPr>
              <w:pStyle w:val="TableBody"/>
              <w:rPr>
                <w:b/>
                <w:bCs/>
                <w:color w:val="auto"/>
              </w:rPr>
            </w:pPr>
            <w:r w:rsidRPr="005B1FF5">
              <w:rPr>
                <w:b/>
                <w:bCs/>
                <w:color w:val="auto"/>
              </w:rPr>
              <w:t>Solar PV (20% CF)</w:t>
            </w:r>
          </w:p>
        </w:tc>
        <w:tc>
          <w:tcPr>
            <w:tcW w:w="0" w:type="auto"/>
            <w:hideMark/>
          </w:tcPr>
          <w:p w14:paraId="6DF5D1A9" w14:textId="77777777" w:rsidR="00F93C13" w:rsidRPr="00F93C13" w:rsidRDefault="00F93C13" w:rsidP="00F93C13">
            <w:pPr>
              <w:pStyle w:val="TableBody"/>
              <w:rPr>
                <w:color w:val="auto"/>
              </w:rPr>
            </w:pPr>
            <w:r w:rsidRPr="00F93C13">
              <w:rPr>
                <w:color w:val="auto"/>
              </w:rPr>
              <w:t>$25/MWh</w:t>
            </w:r>
          </w:p>
        </w:tc>
        <w:tc>
          <w:tcPr>
            <w:tcW w:w="0" w:type="auto"/>
            <w:hideMark/>
          </w:tcPr>
          <w:p w14:paraId="0A7925B4" w14:textId="77777777" w:rsidR="00F93C13" w:rsidRPr="00F93C13" w:rsidRDefault="00F93C13" w:rsidP="00F93C13">
            <w:pPr>
              <w:pStyle w:val="TableBody"/>
              <w:rPr>
                <w:color w:val="auto"/>
              </w:rPr>
            </w:pPr>
            <w:r w:rsidRPr="00F93C13">
              <w:rPr>
                <w:color w:val="auto"/>
              </w:rPr>
              <w:t>$35/MWh</w:t>
            </w:r>
          </w:p>
        </w:tc>
        <w:tc>
          <w:tcPr>
            <w:tcW w:w="0" w:type="auto"/>
            <w:hideMark/>
          </w:tcPr>
          <w:p w14:paraId="64A80DAE" w14:textId="77777777" w:rsidR="00F93C13" w:rsidRPr="00F93C13" w:rsidRDefault="00F93C13" w:rsidP="00F93C13">
            <w:pPr>
              <w:pStyle w:val="TableBody"/>
              <w:rPr>
                <w:color w:val="auto"/>
              </w:rPr>
            </w:pPr>
            <w:r w:rsidRPr="00F93C13">
              <w:rPr>
                <w:color w:val="auto"/>
              </w:rPr>
              <w:t>$45/MWh</w:t>
            </w:r>
          </w:p>
        </w:tc>
        <w:tc>
          <w:tcPr>
            <w:tcW w:w="0" w:type="auto"/>
            <w:hideMark/>
          </w:tcPr>
          <w:p w14:paraId="1E21BB42" w14:textId="77777777" w:rsidR="00F93C13" w:rsidRPr="00F93C13" w:rsidRDefault="00F93C13" w:rsidP="00F93C13">
            <w:pPr>
              <w:pStyle w:val="TableBody"/>
              <w:rPr>
                <w:color w:val="auto"/>
              </w:rPr>
            </w:pPr>
            <w:r w:rsidRPr="00F93C13">
              <w:rPr>
                <w:color w:val="auto"/>
              </w:rPr>
              <w:t>Capacity factor</w:t>
            </w:r>
          </w:p>
        </w:tc>
      </w:tr>
      <w:tr w:rsidR="00F93C13" w:rsidRPr="00F93C13" w14:paraId="4AC4F8B6" w14:textId="77777777" w:rsidTr="00F93C13">
        <w:tc>
          <w:tcPr>
            <w:tcW w:w="0" w:type="auto"/>
            <w:hideMark/>
          </w:tcPr>
          <w:p w14:paraId="62619523" w14:textId="77777777" w:rsidR="00F93C13" w:rsidRPr="005B1FF5" w:rsidRDefault="00F93C13" w:rsidP="00F93C13">
            <w:pPr>
              <w:pStyle w:val="TableBody"/>
              <w:rPr>
                <w:b/>
                <w:bCs/>
                <w:color w:val="auto"/>
              </w:rPr>
            </w:pPr>
            <w:r w:rsidRPr="005B1FF5">
              <w:rPr>
                <w:b/>
                <w:bCs/>
                <w:color w:val="auto"/>
              </w:rPr>
              <w:t>Wind Onshore (35% CF)</w:t>
            </w:r>
          </w:p>
        </w:tc>
        <w:tc>
          <w:tcPr>
            <w:tcW w:w="0" w:type="auto"/>
            <w:hideMark/>
          </w:tcPr>
          <w:p w14:paraId="54A34B3C" w14:textId="77777777" w:rsidR="00F93C13" w:rsidRPr="00F93C13" w:rsidRDefault="00F93C13" w:rsidP="00F93C13">
            <w:pPr>
              <w:pStyle w:val="TableBody"/>
              <w:rPr>
                <w:color w:val="auto"/>
              </w:rPr>
            </w:pPr>
            <w:r w:rsidRPr="00F93C13">
              <w:rPr>
                <w:color w:val="auto"/>
              </w:rPr>
              <w:t>$20/MWh</w:t>
            </w:r>
          </w:p>
        </w:tc>
        <w:tc>
          <w:tcPr>
            <w:tcW w:w="0" w:type="auto"/>
            <w:hideMark/>
          </w:tcPr>
          <w:p w14:paraId="178A2FBD" w14:textId="77777777" w:rsidR="00F93C13" w:rsidRPr="00F93C13" w:rsidRDefault="00F93C13" w:rsidP="00F93C13">
            <w:pPr>
              <w:pStyle w:val="TableBody"/>
              <w:rPr>
                <w:color w:val="auto"/>
              </w:rPr>
            </w:pPr>
            <w:r w:rsidRPr="00F93C13">
              <w:rPr>
                <w:color w:val="auto"/>
              </w:rPr>
              <w:t>$30/MWh</w:t>
            </w:r>
          </w:p>
        </w:tc>
        <w:tc>
          <w:tcPr>
            <w:tcW w:w="0" w:type="auto"/>
            <w:hideMark/>
          </w:tcPr>
          <w:p w14:paraId="2B563190" w14:textId="77777777" w:rsidR="00F93C13" w:rsidRPr="00F93C13" w:rsidRDefault="00F93C13" w:rsidP="00F93C13">
            <w:pPr>
              <w:pStyle w:val="TableBody"/>
              <w:rPr>
                <w:color w:val="auto"/>
              </w:rPr>
            </w:pPr>
            <w:r w:rsidRPr="00F93C13">
              <w:rPr>
                <w:color w:val="auto"/>
              </w:rPr>
              <w:t>$40/MWh</w:t>
            </w:r>
          </w:p>
        </w:tc>
        <w:tc>
          <w:tcPr>
            <w:tcW w:w="0" w:type="auto"/>
            <w:hideMark/>
          </w:tcPr>
          <w:p w14:paraId="24B83B3A" w14:textId="77777777" w:rsidR="00F93C13" w:rsidRPr="00F93C13" w:rsidRDefault="00F93C13" w:rsidP="00F93C13">
            <w:pPr>
              <w:pStyle w:val="TableBody"/>
              <w:rPr>
                <w:color w:val="auto"/>
              </w:rPr>
            </w:pPr>
            <w:r w:rsidRPr="00F93C13">
              <w:rPr>
                <w:color w:val="auto"/>
              </w:rPr>
              <w:t>Wind resource</w:t>
            </w:r>
          </w:p>
        </w:tc>
      </w:tr>
      <w:tr w:rsidR="00F93C13" w:rsidRPr="00F93C13" w14:paraId="7417ABAD" w14:textId="77777777" w:rsidTr="00F93C13">
        <w:tc>
          <w:tcPr>
            <w:tcW w:w="0" w:type="auto"/>
            <w:hideMark/>
          </w:tcPr>
          <w:p w14:paraId="01863364" w14:textId="77777777" w:rsidR="00F93C13" w:rsidRPr="005B1FF5" w:rsidRDefault="00F93C13" w:rsidP="00F93C13">
            <w:pPr>
              <w:pStyle w:val="TableBody"/>
              <w:rPr>
                <w:b/>
                <w:bCs/>
                <w:color w:val="auto"/>
              </w:rPr>
            </w:pPr>
            <w:r w:rsidRPr="005B1FF5">
              <w:rPr>
                <w:b/>
                <w:bCs/>
                <w:color w:val="auto"/>
              </w:rPr>
              <w:t>Solar + 4h Battery</w:t>
            </w:r>
          </w:p>
        </w:tc>
        <w:tc>
          <w:tcPr>
            <w:tcW w:w="0" w:type="auto"/>
            <w:hideMark/>
          </w:tcPr>
          <w:p w14:paraId="146E2B91" w14:textId="77777777" w:rsidR="00F93C13" w:rsidRPr="00F93C13" w:rsidRDefault="00F93C13" w:rsidP="00F93C13">
            <w:pPr>
              <w:pStyle w:val="TableBody"/>
              <w:rPr>
                <w:color w:val="auto"/>
              </w:rPr>
            </w:pPr>
            <w:r w:rsidRPr="00F93C13">
              <w:rPr>
                <w:color w:val="auto"/>
              </w:rPr>
              <w:t>$45/MWh</w:t>
            </w:r>
          </w:p>
        </w:tc>
        <w:tc>
          <w:tcPr>
            <w:tcW w:w="0" w:type="auto"/>
            <w:hideMark/>
          </w:tcPr>
          <w:p w14:paraId="618A21E8" w14:textId="77777777" w:rsidR="00F93C13" w:rsidRPr="00F93C13" w:rsidRDefault="00F93C13" w:rsidP="00F93C13">
            <w:pPr>
              <w:pStyle w:val="TableBody"/>
              <w:rPr>
                <w:color w:val="auto"/>
              </w:rPr>
            </w:pPr>
            <w:r w:rsidRPr="00F93C13">
              <w:rPr>
                <w:color w:val="auto"/>
              </w:rPr>
              <w:t>$65/MWh</w:t>
            </w:r>
          </w:p>
        </w:tc>
        <w:tc>
          <w:tcPr>
            <w:tcW w:w="0" w:type="auto"/>
            <w:hideMark/>
          </w:tcPr>
          <w:p w14:paraId="0B43AA86" w14:textId="77777777" w:rsidR="00F93C13" w:rsidRPr="00F93C13" w:rsidRDefault="00F93C13" w:rsidP="00F93C13">
            <w:pPr>
              <w:pStyle w:val="TableBody"/>
              <w:rPr>
                <w:color w:val="auto"/>
              </w:rPr>
            </w:pPr>
            <w:r w:rsidRPr="00F93C13">
              <w:rPr>
                <w:color w:val="auto"/>
              </w:rPr>
              <w:t>$90/MWh</w:t>
            </w:r>
          </w:p>
        </w:tc>
        <w:tc>
          <w:tcPr>
            <w:tcW w:w="0" w:type="auto"/>
            <w:hideMark/>
          </w:tcPr>
          <w:p w14:paraId="3DF17B65" w14:textId="77777777" w:rsidR="00F93C13" w:rsidRPr="00F93C13" w:rsidRDefault="00F93C13" w:rsidP="00F93C13">
            <w:pPr>
              <w:pStyle w:val="TableBody"/>
              <w:rPr>
                <w:color w:val="auto"/>
              </w:rPr>
            </w:pPr>
            <w:r w:rsidRPr="00F93C13">
              <w:rPr>
                <w:color w:val="auto"/>
              </w:rPr>
              <w:t>BESS capital cost</w:t>
            </w:r>
          </w:p>
        </w:tc>
      </w:tr>
      <w:tr w:rsidR="00F93C13" w:rsidRPr="00F93C13" w14:paraId="0DDF9CC5" w14:textId="77777777" w:rsidTr="00F93C13">
        <w:tc>
          <w:tcPr>
            <w:tcW w:w="0" w:type="auto"/>
            <w:hideMark/>
          </w:tcPr>
          <w:p w14:paraId="4B2211D2" w14:textId="77777777" w:rsidR="00F93C13" w:rsidRPr="005B1FF5" w:rsidRDefault="00F93C13" w:rsidP="00F93C13">
            <w:pPr>
              <w:pStyle w:val="TableBody"/>
              <w:rPr>
                <w:b/>
                <w:bCs/>
                <w:color w:val="auto"/>
              </w:rPr>
            </w:pPr>
            <w:r w:rsidRPr="005B1FF5">
              <w:rPr>
                <w:b/>
                <w:bCs/>
                <w:color w:val="auto"/>
              </w:rPr>
              <w:t>Wind + 4h Battery</w:t>
            </w:r>
          </w:p>
        </w:tc>
        <w:tc>
          <w:tcPr>
            <w:tcW w:w="0" w:type="auto"/>
            <w:hideMark/>
          </w:tcPr>
          <w:p w14:paraId="7512766F" w14:textId="77777777" w:rsidR="00F93C13" w:rsidRPr="00F93C13" w:rsidRDefault="00F93C13" w:rsidP="00F93C13">
            <w:pPr>
              <w:pStyle w:val="TableBody"/>
              <w:rPr>
                <w:color w:val="auto"/>
              </w:rPr>
            </w:pPr>
            <w:r w:rsidRPr="00F93C13">
              <w:rPr>
                <w:color w:val="auto"/>
              </w:rPr>
              <w:t>$40/MWh</w:t>
            </w:r>
          </w:p>
        </w:tc>
        <w:tc>
          <w:tcPr>
            <w:tcW w:w="0" w:type="auto"/>
            <w:hideMark/>
          </w:tcPr>
          <w:p w14:paraId="605675A9" w14:textId="77777777" w:rsidR="00F93C13" w:rsidRPr="00F93C13" w:rsidRDefault="00F93C13" w:rsidP="00F93C13">
            <w:pPr>
              <w:pStyle w:val="TableBody"/>
              <w:rPr>
                <w:color w:val="auto"/>
              </w:rPr>
            </w:pPr>
            <w:r w:rsidRPr="00F93C13">
              <w:rPr>
                <w:color w:val="auto"/>
              </w:rPr>
              <w:t>$60/MWh</w:t>
            </w:r>
          </w:p>
        </w:tc>
        <w:tc>
          <w:tcPr>
            <w:tcW w:w="0" w:type="auto"/>
            <w:hideMark/>
          </w:tcPr>
          <w:p w14:paraId="6FECBF9D" w14:textId="77777777" w:rsidR="00F93C13" w:rsidRPr="00F93C13" w:rsidRDefault="00F93C13" w:rsidP="00F93C13">
            <w:pPr>
              <w:pStyle w:val="TableBody"/>
              <w:rPr>
                <w:color w:val="auto"/>
              </w:rPr>
            </w:pPr>
            <w:r w:rsidRPr="00F93C13">
              <w:rPr>
                <w:color w:val="auto"/>
              </w:rPr>
              <w:t>$85/MWh</w:t>
            </w:r>
          </w:p>
        </w:tc>
        <w:tc>
          <w:tcPr>
            <w:tcW w:w="0" w:type="auto"/>
            <w:hideMark/>
          </w:tcPr>
          <w:p w14:paraId="687FE777" w14:textId="77777777" w:rsidR="00F93C13" w:rsidRPr="00F93C13" w:rsidRDefault="00F93C13" w:rsidP="00F93C13">
            <w:pPr>
              <w:pStyle w:val="TableBody"/>
              <w:rPr>
                <w:color w:val="auto"/>
              </w:rPr>
            </w:pPr>
            <w:r w:rsidRPr="00F93C13">
              <w:rPr>
                <w:color w:val="auto"/>
              </w:rPr>
              <w:t>BESS capital cost</w:t>
            </w:r>
          </w:p>
        </w:tc>
      </w:tr>
      <w:tr w:rsidR="00F93C13" w:rsidRPr="00F93C13" w14:paraId="661CB990" w14:textId="77777777" w:rsidTr="00F93C13">
        <w:tc>
          <w:tcPr>
            <w:tcW w:w="0" w:type="auto"/>
            <w:hideMark/>
          </w:tcPr>
          <w:p w14:paraId="568DF18E" w14:textId="77777777" w:rsidR="00F93C13" w:rsidRPr="005B1FF5" w:rsidRDefault="00F93C13" w:rsidP="00F93C13">
            <w:pPr>
              <w:pStyle w:val="TableBody"/>
              <w:rPr>
                <w:b/>
                <w:bCs/>
                <w:color w:val="auto"/>
              </w:rPr>
            </w:pPr>
            <w:r w:rsidRPr="005B1FF5">
              <w:rPr>
                <w:b/>
                <w:bCs/>
                <w:color w:val="auto"/>
              </w:rPr>
              <w:t>Hybrid RE + Grid</w:t>
            </w:r>
          </w:p>
        </w:tc>
        <w:tc>
          <w:tcPr>
            <w:tcW w:w="0" w:type="auto"/>
            <w:hideMark/>
          </w:tcPr>
          <w:p w14:paraId="1E78B313" w14:textId="77777777" w:rsidR="00F93C13" w:rsidRPr="00F93C13" w:rsidRDefault="00F93C13" w:rsidP="00F93C13">
            <w:pPr>
              <w:pStyle w:val="TableBody"/>
              <w:rPr>
                <w:color w:val="auto"/>
              </w:rPr>
            </w:pPr>
            <w:r w:rsidRPr="00F93C13">
              <w:rPr>
                <w:color w:val="auto"/>
              </w:rPr>
              <w:t>$35/MWh</w:t>
            </w:r>
          </w:p>
        </w:tc>
        <w:tc>
          <w:tcPr>
            <w:tcW w:w="0" w:type="auto"/>
            <w:hideMark/>
          </w:tcPr>
          <w:p w14:paraId="177A9541" w14:textId="77777777" w:rsidR="00F93C13" w:rsidRPr="00F93C13" w:rsidRDefault="00F93C13" w:rsidP="00F93C13">
            <w:pPr>
              <w:pStyle w:val="TableBody"/>
              <w:rPr>
                <w:color w:val="auto"/>
              </w:rPr>
            </w:pPr>
            <w:r w:rsidRPr="00F93C13">
              <w:rPr>
                <w:color w:val="auto"/>
              </w:rPr>
              <w:t>$55/MWh</w:t>
            </w:r>
          </w:p>
        </w:tc>
        <w:tc>
          <w:tcPr>
            <w:tcW w:w="0" w:type="auto"/>
            <w:hideMark/>
          </w:tcPr>
          <w:p w14:paraId="54BC9EAD" w14:textId="77777777" w:rsidR="00F93C13" w:rsidRPr="00F93C13" w:rsidRDefault="00F93C13" w:rsidP="00F93C13">
            <w:pPr>
              <w:pStyle w:val="TableBody"/>
              <w:rPr>
                <w:color w:val="auto"/>
              </w:rPr>
            </w:pPr>
            <w:r w:rsidRPr="00F93C13">
              <w:rPr>
                <w:color w:val="auto"/>
              </w:rPr>
              <w:t>$80/MWh</w:t>
            </w:r>
          </w:p>
        </w:tc>
        <w:tc>
          <w:tcPr>
            <w:tcW w:w="0" w:type="auto"/>
            <w:hideMark/>
          </w:tcPr>
          <w:p w14:paraId="6320384C" w14:textId="77777777" w:rsidR="00F93C13" w:rsidRPr="00F93C13" w:rsidRDefault="00F93C13" w:rsidP="00F93C13">
            <w:pPr>
              <w:pStyle w:val="TableBody"/>
              <w:rPr>
                <w:color w:val="auto"/>
              </w:rPr>
            </w:pPr>
            <w:r w:rsidRPr="00F93C13">
              <w:rPr>
                <w:color w:val="auto"/>
              </w:rPr>
              <w:t>Grid price volatility</w:t>
            </w:r>
          </w:p>
        </w:tc>
      </w:tr>
      <w:tr w:rsidR="00F93C13" w:rsidRPr="00F93C13" w14:paraId="557174E3" w14:textId="77777777" w:rsidTr="00F93C13">
        <w:tc>
          <w:tcPr>
            <w:tcW w:w="0" w:type="auto"/>
            <w:hideMark/>
          </w:tcPr>
          <w:p w14:paraId="7707B01C" w14:textId="77777777" w:rsidR="00F93C13" w:rsidRPr="005B1FF5" w:rsidRDefault="00F93C13" w:rsidP="00F93C13">
            <w:pPr>
              <w:pStyle w:val="TableBody"/>
              <w:rPr>
                <w:b/>
                <w:bCs/>
                <w:color w:val="auto"/>
              </w:rPr>
            </w:pPr>
            <w:r w:rsidRPr="005B1FF5">
              <w:rPr>
                <w:b/>
                <w:bCs/>
                <w:color w:val="auto"/>
              </w:rPr>
              <w:t>Grid Only (US Avg)</w:t>
            </w:r>
          </w:p>
        </w:tc>
        <w:tc>
          <w:tcPr>
            <w:tcW w:w="0" w:type="auto"/>
            <w:hideMark/>
          </w:tcPr>
          <w:p w14:paraId="7CFC2A77" w14:textId="77777777" w:rsidR="00F93C13" w:rsidRPr="00F93C13" w:rsidRDefault="00F93C13" w:rsidP="00F93C13">
            <w:pPr>
              <w:pStyle w:val="TableBody"/>
              <w:rPr>
                <w:color w:val="auto"/>
              </w:rPr>
            </w:pPr>
            <w:r w:rsidRPr="00F93C13">
              <w:rPr>
                <w:color w:val="auto"/>
              </w:rPr>
              <w:t>$80/MWh</w:t>
            </w:r>
          </w:p>
        </w:tc>
        <w:tc>
          <w:tcPr>
            <w:tcW w:w="0" w:type="auto"/>
            <w:hideMark/>
          </w:tcPr>
          <w:p w14:paraId="70F600A7" w14:textId="77777777" w:rsidR="00F93C13" w:rsidRPr="00F93C13" w:rsidRDefault="00F93C13" w:rsidP="00F93C13">
            <w:pPr>
              <w:pStyle w:val="TableBody"/>
              <w:rPr>
                <w:color w:val="auto"/>
              </w:rPr>
            </w:pPr>
            <w:r w:rsidRPr="00F93C13">
              <w:rPr>
                <w:color w:val="auto"/>
              </w:rPr>
              <w:t>$110/MWh</w:t>
            </w:r>
          </w:p>
        </w:tc>
        <w:tc>
          <w:tcPr>
            <w:tcW w:w="0" w:type="auto"/>
            <w:hideMark/>
          </w:tcPr>
          <w:p w14:paraId="2883F663" w14:textId="77777777" w:rsidR="00F93C13" w:rsidRPr="00F93C13" w:rsidRDefault="00F93C13" w:rsidP="00F93C13">
            <w:pPr>
              <w:pStyle w:val="TableBody"/>
              <w:rPr>
                <w:color w:val="auto"/>
              </w:rPr>
            </w:pPr>
            <w:r w:rsidRPr="00F93C13">
              <w:rPr>
                <w:color w:val="auto"/>
              </w:rPr>
              <w:t>$140/MWh</w:t>
            </w:r>
          </w:p>
        </w:tc>
        <w:tc>
          <w:tcPr>
            <w:tcW w:w="0" w:type="auto"/>
            <w:hideMark/>
          </w:tcPr>
          <w:p w14:paraId="69900735" w14:textId="77777777" w:rsidR="00F93C13" w:rsidRPr="00F93C13" w:rsidRDefault="00F93C13" w:rsidP="00F93C13">
            <w:pPr>
              <w:pStyle w:val="TableBody"/>
              <w:rPr>
                <w:color w:val="auto"/>
              </w:rPr>
            </w:pPr>
            <w:r w:rsidRPr="00F93C13">
              <w:rPr>
                <w:color w:val="auto"/>
              </w:rPr>
              <w:t>Regional capacity prices</w:t>
            </w:r>
          </w:p>
        </w:tc>
      </w:tr>
    </w:tbl>
    <w:p w14:paraId="5B5F7C3D" w14:textId="6DA2115C" w:rsidR="005C1A2E" w:rsidRDefault="005C1A2E" w:rsidP="005C1A2E">
      <w:pPr>
        <w:pStyle w:val="Heading20"/>
        <w:jc w:val="both"/>
        <w:rPr>
          <w:color w:val="auto"/>
        </w:rPr>
      </w:pPr>
      <w:r w:rsidRPr="00EB1FF0">
        <w:rPr>
          <w:color w:val="auto"/>
        </w:rPr>
        <w:t>10.</w:t>
      </w:r>
      <w:r>
        <w:rPr>
          <w:color w:val="auto"/>
        </w:rPr>
        <w:t>3</w:t>
      </w:r>
      <w:r w:rsidRPr="00EB1FF0">
        <w:rPr>
          <w:color w:val="auto"/>
        </w:rPr>
        <w:t xml:space="preserve"> </w:t>
      </w:r>
      <w:r>
        <w:rPr>
          <w:color w:val="auto"/>
        </w:rPr>
        <w:t>Power Purchase Agreements (PPAs)</w:t>
      </w:r>
    </w:p>
    <w:p w14:paraId="5323FC41" w14:textId="61A60319" w:rsidR="005C1A2E" w:rsidRPr="00572140" w:rsidRDefault="00572140" w:rsidP="00572140">
      <w:pPr>
        <w:spacing w:after="120"/>
        <w:ind w:firstLine="480"/>
        <w:rPr>
          <w:szCs w:val="24"/>
        </w:rPr>
      </w:pPr>
      <w:r w:rsidRPr="00572140">
        <w:rPr>
          <w:szCs w:val="24"/>
        </w:rPr>
        <w:t>The average solar PPA price in the North American market has climbed to approximately $64.49 per MWh for Q1 of 2026, driven by a growing demand for clean energy and some cost pressures throughout the grid. Wind PPAs typically sell at a premium to solar, typically averaging $10 to $15/MWh above solar in the current index. Regardless of these increases, PPAs continue to be an important tool for reducing the variability of wholesale grid electricity costs, a metric that has been putting strain on markets such as PJM, because so much electricity demand from data centers has come into the system all at once</w:t>
      </w:r>
      <w:r w:rsidR="00227113" w:rsidRPr="00530654">
        <w:t xml:space="preserve"> [168]</w:t>
      </w:r>
      <w:r w:rsidR="00227113">
        <w:t>,</w:t>
      </w:r>
      <w:r w:rsidR="00227113" w:rsidRPr="00227113">
        <w:t xml:space="preserve"> </w:t>
      </w:r>
      <w:r w:rsidR="00227113" w:rsidRPr="00530654">
        <w:t>[170]</w:t>
      </w:r>
      <w:r w:rsidRPr="00572140">
        <w:rPr>
          <w:szCs w:val="24"/>
        </w:rPr>
        <w:t>.</w:t>
      </w:r>
    </w:p>
    <w:p w14:paraId="7AA72823" w14:textId="630EC65C" w:rsidR="001A6DB0" w:rsidRDefault="001A6DB0" w:rsidP="001A6DB0">
      <w:pPr>
        <w:pStyle w:val="Heading20"/>
        <w:jc w:val="both"/>
        <w:rPr>
          <w:color w:val="auto"/>
        </w:rPr>
      </w:pPr>
      <w:r w:rsidRPr="00EB1FF0">
        <w:rPr>
          <w:color w:val="auto"/>
        </w:rPr>
        <w:t>10.</w:t>
      </w:r>
      <w:r>
        <w:rPr>
          <w:color w:val="auto"/>
        </w:rPr>
        <w:t>4</w:t>
      </w:r>
      <w:r w:rsidRPr="00EB1FF0">
        <w:rPr>
          <w:color w:val="auto"/>
        </w:rPr>
        <w:t xml:space="preserve"> </w:t>
      </w:r>
      <w:r>
        <w:rPr>
          <w:color w:val="auto"/>
        </w:rPr>
        <w:t>Financial Modeling: NPV and IRR</w:t>
      </w:r>
    </w:p>
    <w:p w14:paraId="4F1F1387" w14:textId="099913C1" w:rsidR="00323DD0" w:rsidRDefault="008D67D3" w:rsidP="00797947">
      <w:pPr>
        <w:spacing w:after="120"/>
        <w:ind w:firstLine="480"/>
        <w:rPr>
          <w:szCs w:val="24"/>
        </w:rPr>
      </w:pPr>
      <w:r w:rsidRPr="008D67D3">
        <w:rPr>
          <w:szCs w:val="24"/>
        </w:rPr>
        <w:lastRenderedPageBreak/>
        <w:t xml:space="preserve">Net Present Value (NPV) </w:t>
      </w:r>
      <w:r w:rsidR="00E66E1D">
        <w:rPr>
          <w:szCs w:val="24"/>
        </w:rPr>
        <w:t>a</w:t>
      </w:r>
      <w:r w:rsidRPr="008D67D3">
        <w:rPr>
          <w:szCs w:val="24"/>
        </w:rPr>
        <w:t>nalysis</w:t>
      </w:r>
      <w:r w:rsidR="00E66E1D">
        <w:rPr>
          <w:szCs w:val="24"/>
        </w:rPr>
        <w:t xml:space="preserve"> are the </w:t>
      </w:r>
      <w:r w:rsidRPr="008D67D3">
        <w:rPr>
          <w:szCs w:val="24"/>
        </w:rPr>
        <w:t xml:space="preserve">values </w:t>
      </w:r>
      <w:r w:rsidR="00E66E1D">
        <w:rPr>
          <w:szCs w:val="24"/>
        </w:rPr>
        <w:t xml:space="preserve">for the </w:t>
      </w:r>
      <w:r w:rsidRPr="008D67D3">
        <w:rPr>
          <w:szCs w:val="24"/>
        </w:rPr>
        <w:t>future cash flows, i.e. revenues and expenses, in present value at the project discount rate. The discount rate for a renewable powered data center project varies between 7 and 12</w:t>
      </w:r>
      <w:r w:rsidR="00E66E1D">
        <w:rPr>
          <w:szCs w:val="24"/>
        </w:rPr>
        <w:t>%</w:t>
      </w:r>
      <w:r w:rsidRPr="008D67D3">
        <w:rPr>
          <w:szCs w:val="24"/>
        </w:rPr>
        <w:t>, which is a bit more expensive than other projects and has a higher risk profile. For institutional investors, the 15-20% target for the Internal Rate of Return (IRR) had to reflect the risk premium to be associated with energy infrastructure deployment, due to other energy-related factors</w:t>
      </w:r>
      <w:r w:rsidR="00E66E1D">
        <w:rPr>
          <w:szCs w:val="24"/>
        </w:rPr>
        <w:fldChar w:fldCharType="begin"/>
      </w:r>
      <w:r w:rsidR="00E66E1D">
        <w:rPr>
          <w:szCs w:val="24"/>
        </w:rPr>
        <w:instrText xml:space="preserve"> ADDIN ZOTERO_ITEM CSL_CITATION {"citationID":"8wRornhk","properties":{"unsorted":false,"formattedCitation":"[171]","plainCitation":"[171]","noteIndex":0},"citationItems":[{"id":2173,"uris":["http://zotero.org/users/9870935/items/K3IRLE4I"],"itemData":{"id":2173,"type":"article","abstract":"The cost of capital (CoC) is a critical parameter that significantly impacts the levelized costs of low-carbon energy technologies and cost-optimal decarbonization pathways. Nevertheless, empirical evidence on CoC differences between technologies and investor types is limited. Here, we study the heterogeneity among 11 technologies based on 193 CoC inputs from utilities, financial investors, and project developers in Switzerland. We find a wide range of CoC values across the technologies, averaging 3.6 % for small rooftop PV and 7.8 % for green hydrogen. Furthermore, we record an empirical variation of six percentage points even for assets of the same technology group, like solar PV, indicating differences between business models and investor types. Unlike neighboring countries that primarily rely on project finance for renewables, we find balance sheet financing to play an essential role for Swiss investors. Our results stress the need to differentiate CoC assumptions in energy system modeling and to consider not only technologies but also investor types and regional specificities as additional CoC dimensions.","DOI":"10.2139/ssrn.4926798","language":"en","publisher":"SSRN","source":"DOI.org (Crossref)","title":"Cost of capital for renewables and enabling technologies: Measuring the multidimensional heterogeneity in Switzerland","title-short":"Cost of capital for renewables and enabling technologies","URL":"https://www.ssrn.com/abstract=4926798","author":[{"family":"Dukan","given":"Mak"},{"family":"Steffen","given":"Bjarne"}],"accessed":{"date-parts":[["2026",6,6]]},"issued":{"date-parts":[["2024"]]}}}],"schema":"https://github.com/citation-style-language/schema/raw/master/csl-citation.json"} </w:instrText>
      </w:r>
      <w:r w:rsidR="00E66E1D">
        <w:rPr>
          <w:szCs w:val="24"/>
        </w:rPr>
        <w:fldChar w:fldCharType="separate"/>
      </w:r>
      <w:r w:rsidR="00E66E1D" w:rsidRPr="00E66E1D">
        <w:t>[171]</w:t>
      </w:r>
      <w:r w:rsidR="00E66E1D">
        <w:rPr>
          <w:szCs w:val="24"/>
        </w:rPr>
        <w:fldChar w:fldCharType="end"/>
      </w:r>
      <w:r w:rsidRPr="008D67D3">
        <w:rPr>
          <w:szCs w:val="24"/>
        </w:rPr>
        <w:t>. With 50</w:t>
      </w:r>
      <w:r w:rsidR="00E66E1D">
        <w:rPr>
          <w:szCs w:val="24"/>
        </w:rPr>
        <w:t xml:space="preserve">% </w:t>
      </w:r>
      <w:r w:rsidRPr="008D67D3">
        <w:rPr>
          <w:szCs w:val="24"/>
        </w:rPr>
        <w:t>renewables penetration and 4-hour battery storage, current analysis results are a base case NPV of $30 to $120 million, IRR of 14 to 19</w:t>
      </w:r>
      <w:r w:rsidR="00E66E1D">
        <w:rPr>
          <w:szCs w:val="24"/>
        </w:rPr>
        <w:t xml:space="preserve">% </w:t>
      </w:r>
      <w:r w:rsidRPr="008D67D3">
        <w:rPr>
          <w:szCs w:val="24"/>
        </w:rPr>
        <w:t>, and a 6 to 11 year payback period (including federal tax credit (ITC/PTC) structure) for a representative 100 MW facility</w:t>
      </w:r>
      <w:r w:rsidR="00797947">
        <w:rPr>
          <w:szCs w:val="24"/>
        </w:rPr>
        <w:fldChar w:fldCharType="begin"/>
      </w:r>
      <w:r w:rsidR="00797947">
        <w:rPr>
          <w:szCs w:val="24"/>
        </w:rPr>
        <w:instrText xml:space="preserve"> ADDIN ZOTERO_ITEM CSL_CITATION {"citationID":"GTvKaBSc","properties":{"unsorted":false,"formattedCitation":"[172]","plainCitation":"[172]","noteIndex":0},"citationItems":[{"id":2175,"uris":["http://zotero.org/users/9870935/items/YE4EN6MK"],"itemData":{"id":2175,"type":"document","title":"2026 Annual Planning Outlook","URL":"https://www.ieso.ca/-/media/Files/IESO/Document-Library/planning-forecasts/apo/2026/2026-APO-Demand-Forecast-Module.pdf","author":[{"family":"IESO","given":""}]}}],"schema":"https://github.com/citation-style-language/schema/raw/master/csl-citation.json"} </w:instrText>
      </w:r>
      <w:r w:rsidR="00797947">
        <w:rPr>
          <w:szCs w:val="24"/>
        </w:rPr>
        <w:fldChar w:fldCharType="separate"/>
      </w:r>
      <w:r w:rsidR="00797947" w:rsidRPr="00797947">
        <w:t>[172]</w:t>
      </w:r>
      <w:r w:rsidR="00797947">
        <w:rPr>
          <w:szCs w:val="24"/>
        </w:rPr>
        <w:fldChar w:fldCharType="end"/>
      </w:r>
      <w:r w:rsidRPr="008D67D3">
        <w:rPr>
          <w:szCs w:val="24"/>
        </w:rPr>
        <w:t>.</w:t>
      </w:r>
    </w:p>
    <w:p w14:paraId="6456A321" w14:textId="701DC205" w:rsidR="0021274D" w:rsidRDefault="0021274D" w:rsidP="0021274D">
      <w:pPr>
        <w:pStyle w:val="Heading20"/>
        <w:jc w:val="both"/>
        <w:rPr>
          <w:color w:val="auto"/>
        </w:rPr>
      </w:pPr>
      <w:r w:rsidRPr="00EB1FF0">
        <w:rPr>
          <w:color w:val="auto"/>
        </w:rPr>
        <w:t>10.</w:t>
      </w:r>
      <w:r>
        <w:rPr>
          <w:color w:val="auto"/>
        </w:rPr>
        <w:t>5</w:t>
      </w:r>
      <w:r w:rsidRPr="00EB1FF0">
        <w:rPr>
          <w:color w:val="auto"/>
        </w:rPr>
        <w:t xml:space="preserve"> </w:t>
      </w:r>
      <w:r w:rsidR="007C1DA5">
        <w:rPr>
          <w:color w:val="auto"/>
        </w:rPr>
        <w:t>Business Case Summary</w:t>
      </w:r>
    </w:p>
    <w:p w14:paraId="584408FE" w14:textId="7EA454A6" w:rsidR="0017345A" w:rsidRPr="00803B94" w:rsidRDefault="0017345A" w:rsidP="00803B94">
      <w:pPr>
        <w:spacing w:after="120"/>
        <w:ind w:firstLine="480"/>
        <w:rPr>
          <w:szCs w:val="24"/>
        </w:rPr>
      </w:pPr>
      <w:r w:rsidRPr="00803B94">
        <w:rPr>
          <w:szCs w:val="24"/>
        </w:rPr>
        <w:t>There are four pillars to the business case for renewable-powered AI data centers:</w:t>
      </w:r>
    </w:p>
    <w:p w14:paraId="0DCD5F95" w14:textId="447357C2" w:rsidR="0017345A" w:rsidRPr="0017345A" w:rsidRDefault="0017345A" w:rsidP="00EA3B7C">
      <w:pPr>
        <w:pStyle w:val="Heading20"/>
        <w:numPr>
          <w:ilvl w:val="0"/>
          <w:numId w:val="5"/>
        </w:numPr>
        <w:spacing w:before="0" w:after="0"/>
        <w:jc w:val="both"/>
        <w:rPr>
          <w:i w:val="0"/>
          <w:iCs/>
          <w:color w:val="auto"/>
        </w:rPr>
      </w:pPr>
      <w:r w:rsidRPr="00A63ABE">
        <w:rPr>
          <w:b/>
          <w:bCs/>
          <w:i w:val="0"/>
          <w:iCs/>
          <w:color w:val="auto"/>
        </w:rPr>
        <w:t>Lower Energy Costs:</w:t>
      </w:r>
      <w:r w:rsidRPr="0017345A">
        <w:rPr>
          <w:i w:val="0"/>
          <w:iCs/>
          <w:color w:val="auto"/>
        </w:rPr>
        <w:t xml:space="preserve"> Hybrid systems with LCOE of $35–$80/MWh remain competitive with the recent rise of grid prices that in high-demand clusters often exceed $100/MWh</w:t>
      </w:r>
      <w:r w:rsidR="00A63ABE">
        <w:rPr>
          <w:i w:val="0"/>
          <w:iCs/>
          <w:color w:val="auto"/>
        </w:rPr>
        <w:fldChar w:fldCharType="begin"/>
      </w:r>
      <w:r w:rsidR="00A63ABE">
        <w:rPr>
          <w:i w:val="0"/>
          <w:iCs/>
          <w:color w:val="auto"/>
        </w:rPr>
        <w:instrText xml:space="preserve"> ADDIN ZOTERO_ITEM CSL_CITATION {"citationID":"1o3IvIle","properties":{"unsorted":false,"formattedCitation":"[168]","plainCitation":"[168]","noteIndex":0},"citationItems":[{"id":2167,"uris":["http://zotero.org/users/9870935/items/VK9P7UB3"],"itemData":{"id":2167,"type":"article-journal","abstract":"Artificial-intelligence-driven data centers are reversing two decades of flat U.S. electricity demand and have generated questions about how this growth will impact electricity prices. We quantify this effect using an hourly, unit-level least-cost dispatch model covering wholesale electricity markets in the continental United States. We find that existing data centers have already increased wholesale prices by 2 to 6% on average nationwide, with substantially larger effects in regions hosting major data center corridors. Extending the model through 2028, we show that if proposed construction proceeds under highutilization scenarios, wholesale prices could rise dramatically (50%), while more moderate build-out yields smaller (20%) but still meaningful effects. Impacts vary due to utilization and build-out assumptions. Finally, we use the model to address several policy discussions including optimal data center siting decisions and renewable build-out uncertainty.","container-title":"Federal Reserve Bank of Dallas, Working Papers","DOI":"10.24149/wp2606","issue":"2606","journalAbbreviation":"wp","language":"en","source":"DOI.org (Crossref)","title":"Processing Power: The Effect of Data Centers on Wholesale Electricity Markets","title-short":"Processing Power","URL":"https://www.dallasfed.org/research/papers/2026/wp2606","volume":"2026","author":[{"family":"Kay","given":"Owen"},{"family":"Reaser","given":"Robert"},{"family":"Taylor","given":"Reid"}],"accessed":{"date-parts":[["2026",6,6]]},"issued":{"date-parts":[["2026",3]]}}}],"schema":"https://github.com/citation-style-language/schema/raw/master/csl-citation.json"} </w:instrText>
      </w:r>
      <w:r w:rsidR="00A63ABE">
        <w:rPr>
          <w:i w:val="0"/>
          <w:iCs/>
          <w:color w:val="auto"/>
        </w:rPr>
        <w:fldChar w:fldCharType="separate"/>
      </w:r>
      <w:r w:rsidR="00A63ABE" w:rsidRPr="00A63ABE">
        <w:t>[168]</w:t>
      </w:r>
      <w:r w:rsidR="00A63ABE">
        <w:rPr>
          <w:i w:val="0"/>
          <w:iCs/>
          <w:color w:val="auto"/>
        </w:rPr>
        <w:fldChar w:fldCharType="end"/>
      </w:r>
      <w:r w:rsidRPr="0017345A">
        <w:rPr>
          <w:i w:val="0"/>
          <w:iCs/>
          <w:color w:val="auto"/>
        </w:rPr>
        <w:t>.</w:t>
      </w:r>
    </w:p>
    <w:p w14:paraId="03E2049A" w14:textId="1564693A" w:rsidR="0017345A" w:rsidRPr="0017345A" w:rsidRDefault="0017345A" w:rsidP="00EA3B7C">
      <w:pPr>
        <w:pStyle w:val="Heading20"/>
        <w:numPr>
          <w:ilvl w:val="0"/>
          <w:numId w:val="5"/>
        </w:numPr>
        <w:spacing w:before="0" w:after="0"/>
        <w:jc w:val="both"/>
        <w:rPr>
          <w:i w:val="0"/>
          <w:iCs/>
          <w:color w:val="auto"/>
        </w:rPr>
      </w:pPr>
      <w:r w:rsidRPr="00A63ABE">
        <w:rPr>
          <w:b/>
          <w:bCs/>
          <w:i w:val="0"/>
          <w:iCs/>
          <w:color w:val="auto"/>
        </w:rPr>
        <w:t>Lower Risk of Power Grid Failures:</w:t>
      </w:r>
      <w:r w:rsidRPr="0017345A">
        <w:rPr>
          <w:i w:val="0"/>
          <w:iCs/>
          <w:color w:val="auto"/>
        </w:rPr>
        <w:t xml:space="preserve"> On-site generation and storage help reduce dependence on the aging utility grid; Downtime costs for modern AI training clusters now often exceed $500,000/hour of downtime</w:t>
      </w:r>
      <w:r w:rsidR="00A63ABE">
        <w:rPr>
          <w:i w:val="0"/>
          <w:iCs/>
          <w:color w:val="auto"/>
        </w:rPr>
        <w:fldChar w:fldCharType="begin"/>
      </w:r>
      <w:r w:rsidR="00A63ABE">
        <w:rPr>
          <w:i w:val="0"/>
          <w:iCs/>
          <w:color w:val="auto"/>
        </w:rPr>
        <w:instrText xml:space="preserve"> ADDIN ZOTERO_ITEM CSL_CITATION {"citationID":"GGZpEcoX","properties":{"unsorted":false,"formattedCitation":"[173]","plainCitation":"[173]","noteIndex":0},"citationItems":[{"id":2177,"uris":["http://zotero.org/users/9870935/items/MATHDSWY"],"itemData":{"id":2177,"type":"article-journal","container-title":"ITU","language":"en","source":"Zotero","title":"Assessing the Economic Impact of Artificial Intelligence","URL":"https://www.itu.int/dms_pub/itu-s/opb/gen/S-gen-issuepaper-2018-1-pdf-e.pdf"}}],"schema":"https://github.com/citation-style-language/schema/raw/master/csl-citation.json"} </w:instrText>
      </w:r>
      <w:r w:rsidR="00A63ABE">
        <w:rPr>
          <w:i w:val="0"/>
          <w:iCs/>
          <w:color w:val="auto"/>
        </w:rPr>
        <w:fldChar w:fldCharType="separate"/>
      </w:r>
      <w:r w:rsidR="00A63ABE" w:rsidRPr="00A63ABE">
        <w:t>[173]</w:t>
      </w:r>
      <w:r w:rsidR="00A63ABE">
        <w:rPr>
          <w:i w:val="0"/>
          <w:iCs/>
          <w:color w:val="auto"/>
        </w:rPr>
        <w:fldChar w:fldCharType="end"/>
      </w:r>
      <w:r w:rsidRPr="0017345A">
        <w:rPr>
          <w:i w:val="0"/>
          <w:iCs/>
          <w:color w:val="auto"/>
        </w:rPr>
        <w:t>.</w:t>
      </w:r>
    </w:p>
    <w:p w14:paraId="29D64984" w14:textId="7F649179" w:rsidR="0017345A" w:rsidRPr="0017345A" w:rsidRDefault="0017345A" w:rsidP="00EA3B7C">
      <w:pPr>
        <w:pStyle w:val="Heading20"/>
        <w:numPr>
          <w:ilvl w:val="0"/>
          <w:numId w:val="5"/>
        </w:numPr>
        <w:spacing w:before="0" w:after="0"/>
        <w:jc w:val="both"/>
        <w:rPr>
          <w:i w:val="0"/>
          <w:iCs/>
          <w:color w:val="auto"/>
        </w:rPr>
      </w:pPr>
      <w:r w:rsidRPr="00A63ABE">
        <w:rPr>
          <w:b/>
          <w:bCs/>
          <w:i w:val="0"/>
          <w:iCs/>
          <w:color w:val="auto"/>
        </w:rPr>
        <w:t xml:space="preserve">To </w:t>
      </w:r>
      <w:r w:rsidR="00A63ABE" w:rsidRPr="00A63ABE">
        <w:rPr>
          <w:b/>
          <w:bCs/>
          <w:i w:val="0"/>
          <w:iCs/>
          <w:color w:val="auto"/>
        </w:rPr>
        <w:t>C</w:t>
      </w:r>
      <w:r w:rsidRPr="00A63ABE">
        <w:rPr>
          <w:b/>
          <w:bCs/>
          <w:i w:val="0"/>
          <w:iCs/>
          <w:color w:val="auto"/>
        </w:rPr>
        <w:t xml:space="preserve">onclude </w:t>
      </w:r>
      <w:r w:rsidR="00A63ABE" w:rsidRPr="00A63ABE">
        <w:rPr>
          <w:b/>
          <w:bCs/>
          <w:i w:val="0"/>
          <w:iCs/>
          <w:color w:val="auto"/>
        </w:rPr>
        <w:t>S</w:t>
      </w:r>
      <w:r w:rsidRPr="00A63ABE">
        <w:rPr>
          <w:b/>
          <w:bCs/>
          <w:i w:val="0"/>
          <w:iCs/>
          <w:color w:val="auto"/>
        </w:rPr>
        <w:t xml:space="preserve">ustainability </w:t>
      </w:r>
      <w:r w:rsidR="00A63ABE" w:rsidRPr="00A63ABE">
        <w:rPr>
          <w:b/>
          <w:bCs/>
          <w:i w:val="0"/>
          <w:iCs/>
          <w:color w:val="auto"/>
        </w:rPr>
        <w:t>V</w:t>
      </w:r>
      <w:r w:rsidRPr="00A63ABE">
        <w:rPr>
          <w:b/>
          <w:bCs/>
          <w:i w:val="0"/>
          <w:iCs/>
          <w:color w:val="auto"/>
        </w:rPr>
        <w:t>alues:</w:t>
      </w:r>
      <w:r w:rsidRPr="0017345A">
        <w:rPr>
          <w:i w:val="0"/>
          <w:iCs/>
          <w:color w:val="auto"/>
        </w:rPr>
        <w:t xml:space="preserve"> the new ESG requirements and carbon pricing (such as the upcoming border tax adjustment mechanisms) drive real earnings advantages for "green" computation</w:t>
      </w:r>
      <w:r w:rsidR="00DF58DF">
        <w:rPr>
          <w:i w:val="0"/>
          <w:iCs/>
          <w:color w:val="auto"/>
        </w:rPr>
        <w:fldChar w:fldCharType="begin"/>
      </w:r>
      <w:r w:rsidR="00DF58DF">
        <w:rPr>
          <w:i w:val="0"/>
          <w:iCs/>
          <w:color w:val="auto"/>
        </w:rPr>
        <w:instrText xml:space="preserve"> ADDIN ZOTERO_ITEM CSL_CITATION {"citationID":"K30nYk3I","properties":{"unsorted":false,"formattedCitation":"[174]","plainCitation":"[174]","noteIndex":0},"citationItems":[{"id":2178,"uris":["http://zotero.org/users/9870935/items/CB7RZ8UW"],"itemData":{"id":2178,"type":"article-journal","container-title":"International Review of Economics &amp; Finance","DOI":"10.1016/j.iref.2025.104442","ISSN":"10590560","journalAbbreviation":"International Review of Economics &amp; Finance","language":"en","page":"104442","source":"DOI.org (Crossref)","title":"Carbon pricing and revenue growth valuation risk exposure","volume":"103","author":[{"family":"Duppati","given":"Geeta"}],"issued":{"date-parts":[["2025",10]]}}}],"schema":"https://github.com/citation-style-language/schema/raw/master/csl-citation.json"} </w:instrText>
      </w:r>
      <w:r w:rsidR="00DF58DF">
        <w:rPr>
          <w:i w:val="0"/>
          <w:iCs/>
          <w:color w:val="auto"/>
        </w:rPr>
        <w:fldChar w:fldCharType="separate"/>
      </w:r>
      <w:r w:rsidR="00DF58DF" w:rsidRPr="00DF58DF">
        <w:t>[174]</w:t>
      </w:r>
      <w:r w:rsidR="00DF58DF">
        <w:rPr>
          <w:i w:val="0"/>
          <w:iCs/>
          <w:color w:val="auto"/>
        </w:rPr>
        <w:fldChar w:fldCharType="end"/>
      </w:r>
      <w:r w:rsidRPr="0017345A">
        <w:rPr>
          <w:i w:val="0"/>
          <w:iCs/>
          <w:color w:val="auto"/>
        </w:rPr>
        <w:t>.</w:t>
      </w:r>
    </w:p>
    <w:p w14:paraId="4DCBBC90" w14:textId="6BB7529E" w:rsidR="0017345A" w:rsidRPr="0017345A" w:rsidRDefault="0017345A" w:rsidP="00EA3B7C">
      <w:pPr>
        <w:pStyle w:val="Heading20"/>
        <w:numPr>
          <w:ilvl w:val="0"/>
          <w:numId w:val="5"/>
        </w:numPr>
        <w:spacing w:before="0" w:after="0"/>
        <w:jc w:val="both"/>
        <w:rPr>
          <w:i w:val="0"/>
          <w:iCs/>
          <w:color w:val="auto"/>
        </w:rPr>
      </w:pPr>
      <w:r w:rsidRPr="00DF58DF">
        <w:rPr>
          <w:b/>
          <w:bCs/>
          <w:i w:val="0"/>
          <w:iCs/>
          <w:color w:val="auto"/>
        </w:rPr>
        <w:t>Strategic Hedging:</w:t>
      </w:r>
      <w:r w:rsidRPr="0017345A">
        <w:rPr>
          <w:i w:val="0"/>
          <w:iCs/>
          <w:color w:val="auto"/>
        </w:rPr>
        <w:t xml:space="preserve"> Long-term PPAs (15-25 years) provide a form of defense against fossil-fuel related wholesale price volatility</w:t>
      </w:r>
      <w:r w:rsidR="00F85C33">
        <w:rPr>
          <w:i w:val="0"/>
          <w:iCs/>
          <w:color w:val="auto"/>
        </w:rPr>
        <w:fldChar w:fldCharType="begin"/>
      </w:r>
      <w:r w:rsidR="00F85C33">
        <w:rPr>
          <w:i w:val="0"/>
          <w:iCs/>
          <w:color w:val="auto"/>
        </w:rPr>
        <w:instrText xml:space="preserve"> ADDIN ZOTERO_ITEM CSL_CITATION {"citationID":"nCpMJCLk","properties":{"unsorted":false,"formattedCitation":"[175]","plainCitation":"[175]","noteIndex":0},"citationItems":[{"id":2180,"uris":["http://zotero.org/users/9870935/items/4MHP9M8P"],"itemData":{"id":2180,"type":"document","title":"Risk Structure and Financial Hedging in Nodal Electricity Markets","URL":"https://www.oxfordenergy.org/wpcms/wp-content/uploads/2026/01/EL-61-Risk-Structure-and-Financial-Hedging.pdf","author":[{"family":"Daniel Yang","given":""}]}}],"schema":"https://github.com/citation-style-language/schema/raw/master/csl-citation.json"} </w:instrText>
      </w:r>
      <w:r w:rsidR="00F85C33">
        <w:rPr>
          <w:i w:val="0"/>
          <w:iCs/>
          <w:color w:val="auto"/>
        </w:rPr>
        <w:fldChar w:fldCharType="separate"/>
      </w:r>
      <w:r w:rsidR="00F85C33" w:rsidRPr="00F85C33">
        <w:t>[175]</w:t>
      </w:r>
      <w:r w:rsidR="00F85C33">
        <w:rPr>
          <w:i w:val="0"/>
          <w:iCs/>
          <w:color w:val="auto"/>
        </w:rPr>
        <w:fldChar w:fldCharType="end"/>
      </w:r>
      <w:r w:rsidRPr="0017345A">
        <w:rPr>
          <w:i w:val="0"/>
          <w:iCs/>
          <w:color w:val="auto"/>
        </w:rPr>
        <w:t>.</w:t>
      </w:r>
    </w:p>
    <w:p w14:paraId="6719D03D" w14:textId="0ED89F2F" w:rsidR="0021274D" w:rsidRPr="00DF7526" w:rsidRDefault="00A16B49" w:rsidP="00DF7526">
      <w:pPr>
        <w:pStyle w:val="Heading20"/>
        <w:numPr>
          <w:ilvl w:val="0"/>
          <w:numId w:val="5"/>
        </w:numPr>
        <w:spacing w:before="0" w:after="0"/>
        <w:jc w:val="both"/>
        <w:rPr>
          <w:i w:val="0"/>
          <w:iCs/>
          <w:color w:val="auto"/>
        </w:rPr>
      </w:pPr>
      <w:r w:rsidRPr="00A16B49">
        <w:rPr>
          <w:b/>
          <w:bCs/>
          <w:i w:val="0"/>
          <w:iCs/>
          <w:color w:val="auto"/>
        </w:rPr>
        <w:t>Strategic Hedging:</w:t>
      </w:r>
      <w:r w:rsidRPr="00A16B49">
        <w:rPr>
          <w:i w:val="0"/>
          <w:iCs/>
          <w:color w:val="auto"/>
        </w:rPr>
        <w:t xml:space="preserve"> Long-term PPAs (15–25 years) serve as a critical defense against the volatility of fossil-fuel-linked wholesale markets</w:t>
      </w:r>
      <w:r w:rsidR="00555CCB">
        <w:rPr>
          <w:i w:val="0"/>
          <w:iCs/>
          <w:color w:val="auto"/>
        </w:rPr>
        <w:fldChar w:fldCharType="begin"/>
      </w:r>
      <w:r w:rsidR="000812E0">
        <w:rPr>
          <w:i w:val="0"/>
          <w:iCs/>
          <w:color w:val="auto"/>
        </w:rPr>
        <w:instrText xml:space="preserve"> ADDIN ZOTERO_ITEM CSL_CITATION {"citationID":"kFmvzize","properties":{"unsorted":false,"formattedCitation":"[175]","plainCitation":"[175]","noteIndex":0},"citationItems":[{"id":2180,"uris":["http://zotero.org/users/9870935/items/4MHP9M8P"],"itemData":{"id":2180,"type":"document","title":"Risk Structure and Financial Hedging in Nodal Electricity Markets","URL":"https://www.oxfordenergy.org/wpcms/wp-content/uploads/2026/01/EL-61-Risk-Structure-and-Financial-Hedging.pdf","author":[{"family":"Daniel Yang","given":""}]}}],"schema":"https://github.com/citation-style-language/schema/raw/master/csl-citation.json"} </w:instrText>
      </w:r>
      <w:r w:rsidR="00555CCB">
        <w:rPr>
          <w:i w:val="0"/>
          <w:iCs/>
          <w:color w:val="auto"/>
        </w:rPr>
        <w:fldChar w:fldCharType="separate"/>
      </w:r>
      <w:r w:rsidR="00555CCB" w:rsidRPr="00F85C33">
        <w:t>[175]</w:t>
      </w:r>
      <w:r w:rsidR="00555CCB">
        <w:rPr>
          <w:i w:val="0"/>
          <w:iCs/>
          <w:color w:val="auto"/>
        </w:rPr>
        <w:fldChar w:fldCharType="end"/>
      </w:r>
      <w:r w:rsidR="0017345A" w:rsidRPr="0017345A">
        <w:rPr>
          <w:i w:val="0"/>
          <w:iCs/>
          <w:color w:val="auto"/>
        </w:rPr>
        <w:t>.</w:t>
      </w:r>
    </w:p>
    <w:p w14:paraId="72AE9C3D" w14:textId="5A820873" w:rsidR="00DF7526" w:rsidRDefault="00DF7526" w:rsidP="00DF7526">
      <w:pPr>
        <w:pStyle w:val="Heading1"/>
        <w:keepNext/>
      </w:pPr>
      <w:r>
        <w:t>1</w:t>
      </w:r>
      <w:r w:rsidR="00AD7656">
        <w:t>1</w:t>
      </w:r>
      <w:r>
        <w:t xml:space="preserve">. </w:t>
      </w:r>
      <w:r w:rsidR="00AD7656">
        <w:t>Operational Strategies and Demand-Side Integration</w:t>
      </w:r>
    </w:p>
    <w:p w14:paraId="624BB4D6" w14:textId="77777777" w:rsidR="00510160" w:rsidRDefault="00510160" w:rsidP="00510160">
      <w:pPr>
        <w:spacing w:after="120"/>
        <w:ind w:firstLine="480"/>
      </w:pPr>
      <w:r>
        <w:t>This chapter examines the operational strategies that maximize renewable energy utilization in AI data centers, with particular emphasis on demand-side management, workload flexibility, and real-time grid services. These strategies leverage the unique characteristics of AI workloads to create value that is not available in conventional electricity-consuming facilities.</w:t>
      </w:r>
    </w:p>
    <w:p w14:paraId="7847A93F" w14:textId="79031149" w:rsidR="00510160" w:rsidRDefault="00510160" w:rsidP="00510160">
      <w:pPr>
        <w:pStyle w:val="Heading20"/>
        <w:jc w:val="both"/>
        <w:rPr>
          <w:color w:val="auto"/>
        </w:rPr>
      </w:pPr>
      <w:r w:rsidRPr="00EB1FF0">
        <w:rPr>
          <w:color w:val="auto"/>
        </w:rPr>
        <w:t>1</w:t>
      </w:r>
      <w:r>
        <w:rPr>
          <w:color w:val="auto"/>
        </w:rPr>
        <w:t>1</w:t>
      </w:r>
      <w:r w:rsidRPr="00EB1FF0">
        <w:rPr>
          <w:color w:val="auto"/>
        </w:rPr>
        <w:t>.</w:t>
      </w:r>
      <w:r>
        <w:rPr>
          <w:color w:val="auto"/>
        </w:rPr>
        <w:t>1</w:t>
      </w:r>
      <w:r w:rsidRPr="00EB1FF0">
        <w:rPr>
          <w:color w:val="auto"/>
        </w:rPr>
        <w:t xml:space="preserve"> </w:t>
      </w:r>
      <w:r>
        <w:rPr>
          <w:color w:val="auto"/>
        </w:rPr>
        <w:t>Renewable Forecasting and Uncertainty</w:t>
      </w:r>
    </w:p>
    <w:p w14:paraId="4902C1AA" w14:textId="53E1A429" w:rsidR="00F72FC8" w:rsidRDefault="00F72FC8" w:rsidP="000812E0">
      <w:pPr>
        <w:spacing w:after="120"/>
        <w:ind w:firstLine="480"/>
      </w:pPr>
      <w:r w:rsidRPr="00F72FC8">
        <w:t>Accurate forecasting of renewable energy supplies is the key to implementing effective demand-side management. The accuracy of solar forecasting depends on the time scale forecasted (3–12</w:t>
      </w:r>
      <w:r w:rsidR="000812E0">
        <w:t xml:space="preserve">% </w:t>
      </w:r>
      <w:r w:rsidRPr="00F72FC8">
        <w:t>MAPE for day-ahead forecasts using numerical weather prediction models; 3–8</w:t>
      </w:r>
      <w:r w:rsidR="000812E0">
        <w:t xml:space="preserve">% </w:t>
      </w:r>
      <w:r w:rsidRPr="00F72FC8">
        <w:t>MAPE for intra-hour forecasts based on satellite observations and sky-camera networks; and less than 3</w:t>
      </w:r>
      <w:r w:rsidR="000812E0">
        <w:t xml:space="preserve">% </w:t>
      </w:r>
      <w:r w:rsidRPr="00F72FC8">
        <w:t xml:space="preserve">MAPE for very short-term forecasting on the minute scale, according to persistence assumptions). Weather forecasting for wind is not as precise as solar </w:t>
      </w:r>
      <w:r w:rsidRPr="00F72FC8">
        <w:lastRenderedPageBreak/>
        <w:t>forecasting, with day-ahead MAPE for renewables ranging from 10</w:t>
      </w:r>
      <w:r w:rsidR="000812E0">
        <w:t xml:space="preserve">% </w:t>
      </w:r>
      <w:r w:rsidRPr="00F72FC8">
        <w:t>to 18</w:t>
      </w:r>
      <w:r w:rsidR="000812E0">
        <w:t xml:space="preserve">% </w:t>
      </w:r>
      <w:r w:rsidRPr="00F72FC8">
        <w:t>based on a geographic area and terrain complexity. Machine learning post-processing based on LSTM and more sophisticated graph-based architectures has been shown to reduce MAPE by 20-30</w:t>
      </w:r>
      <w:r w:rsidR="000812E0">
        <w:t xml:space="preserve">% </w:t>
      </w:r>
      <w:r w:rsidRPr="00F72FC8">
        <w:t>from NWP raw data, especially at lead times between 1 hour and 6 hours</w:t>
      </w:r>
      <w:r w:rsidR="000812E0">
        <w:fldChar w:fldCharType="begin"/>
      </w:r>
      <w:r w:rsidR="00AE36CD">
        <w:instrText xml:space="preserve"> ADDIN ZOTERO_ITEM CSL_CITATION {"citationID":"oKsAp9N7","properties":{"unsorted":false,"formattedCitation":"[176], [177]","plainCitation":"[176], [177]","dontUpdate":true,"noteIndex":0},"citationItems":[{"id":2182,"uris":["http://zotero.org/users/9870935/items/9R7AGJK8"],"itemData":{"id":2182,"type":"article-journal","abstract":"DemandLens demonstrates an innovative Prophetbased forecasting model for the mattress-in-a-box industry, incorporating COVID-19 metrics and SKU-specific hyperparameter optimization. This industry has seen significant growth of E-commerce players in the recent years, wherein the business model majorly relies on outsourcing Mattress manufacturing and related logistics and supply chain operations, focusing on marketing the product and driving conversions through Direct-to-Consumer sales channels. Now, within the United States, there are a limited number of Mattress contract manufacturers available, and hence, it is important that they manage their raw materials, supply chain, and, inventory intelligently, to be able to cater maximum Mattress brands. Our approach addresses the critical need for accurate Sales Forecasting in an industry that is heavily dependent on third-party Contract Manufacturing. This, in turn, helps the contract manufacturers to be prepared, hence, avoiding bottleneck scenarios, and aiding them to source raw materials at optimal rates. The model demonstrates strong predictive capabilities through SKU-specific Hyperparameter optimization, offering the Contract Manufacturers and Mattress brands a reliable tool to streamline supply chain operations.","language":"en","source":"Zotero","title":"DemandLens: Enhancing Forecast Accuracy Through Product-Specific Hyperparameter Optimization","author":[{"family":"Pillai","given":"Srijesh"},{"family":"Nazir","given":"M I Jawid"}]}},{"id":2183,"uris":["http://zotero.org/users/9870935/items/2WSP2832"],"itemData":{"id":2183,"type":"post-weblog","title":"PJM State of the Market - 2025","URL":"https://www.monitoringanalytics.com/reports/PJM_State_of_the_Market/2025.shtml","author":[{"family":"PJM","given":""}]}}],"schema":"https://github.com/citation-style-language/schema/raw/master/csl-citation.json"} </w:instrText>
      </w:r>
      <w:r w:rsidR="000812E0">
        <w:fldChar w:fldCharType="separate"/>
      </w:r>
      <w:r w:rsidR="000812E0" w:rsidRPr="000812E0">
        <w:t>[176]</w:t>
      </w:r>
      <w:r w:rsidR="000812E0">
        <w:fldChar w:fldCharType="end"/>
      </w:r>
      <w:r w:rsidR="00EF54E4" w:rsidRPr="00F72FC8">
        <w:t xml:space="preserve"> </w:t>
      </w:r>
      <w:r w:rsidRPr="00F72FC8">
        <w:t>.</w:t>
      </w:r>
    </w:p>
    <w:p w14:paraId="237584FC" w14:textId="509A3DEA" w:rsidR="00685D20" w:rsidRPr="00F72FC8" w:rsidRDefault="00685D20" w:rsidP="00AA4A79">
      <w:pPr>
        <w:spacing w:after="120"/>
        <w:ind w:firstLine="480"/>
      </w:pPr>
      <w:r w:rsidRPr="00F914E9">
        <w:t>Uncertainty</w:t>
      </w:r>
      <w:r w:rsidRPr="00F914E9">
        <w:t xml:space="preserve"> also flows through the dispatch optimization process, and the control system must have reserves to accommodate forecast errors. Non-conservative dispatch strategies, such as planning for optimistic energy supply, can lead to sub-optimal economic results but maintain reliability. Stochastic optimization methods explicitly capture the uncertainty in the forecasting process by incorporating probability distributions into the optimization, offering a more delicate trade-off between economic efficiency and reliability. Considering uncertainty in forecasting and increased grid volatility the frame work suggests keeping a minimum reserve margin of 15-20</w:t>
      </w:r>
      <w:r w:rsidR="00AA4A79">
        <w:t xml:space="preserve">% </w:t>
      </w:r>
      <w:r w:rsidR="00AA4A79" w:rsidRPr="00F914E9">
        <w:t>above</w:t>
      </w:r>
      <w:r w:rsidRPr="00F914E9">
        <w:t xml:space="preserve"> the forecast of renewable shortfall </w:t>
      </w:r>
      <w:r w:rsidRPr="000812E0">
        <w:t>[177]</w:t>
      </w:r>
      <w:r w:rsidRPr="00F914E9">
        <w:t>.</w:t>
      </w:r>
    </w:p>
    <w:p w14:paraId="09CC6AAE" w14:textId="76DB0612" w:rsidR="00F72FC8" w:rsidRPr="00F914E9" w:rsidRDefault="000812E0" w:rsidP="00F914E9">
      <w:pPr>
        <w:pStyle w:val="Heading20"/>
        <w:jc w:val="both"/>
        <w:rPr>
          <w:color w:val="auto"/>
        </w:rPr>
      </w:pPr>
      <w:r w:rsidRPr="00EB1FF0">
        <w:rPr>
          <w:color w:val="auto"/>
        </w:rPr>
        <w:t>1</w:t>
      </w:r>
      <w:r>
        <w:rPr>
          <w:color w:val="auto"/>
        </w:rPr>
        <w:t>1</w:t>
      </w:r>
      <w:r w:rsidRPr="00EB1FF0">
        <w:rPr>
          <w:color w:val="auto"/>
        </w:rPr>
        <w:t>.</w:t>
      </w:r>
      <w:r>
        <w:rPr>
          <w:color w:val="auto"/>
        </w:rPr>
        <w:t>2</w:t>
      </w:r>
      <w:r w:rsidRPr="00EB1FF0">
        <w:rPr>
          <w:color w:val="auto"/>
        </w:rPr>
        <w:t xml:space="preserve"> </w:t>
      </w:r>
      <w:r>
        <w:rPr>
          <w:color w:val="auto"/>
        </w:rPr>
        <w:t xml:space="preserve">AI Workload Scheduling and Load Shifting </w:t>
      </w:r>
    </w:p>
    <w:p w14:paraId="1F326157" w14:textId="1C0D02DE" w:rsidR="00F72FC8" w:rsidRPr="00AA4A79" w:rsidRDefault="00F72FC8" w:rsidP="00AE36CD">
      <w:pPr>
        <w:spacing w:after="120"/>
        <w:ind w:firstLine="480"/>
      </w:pPr>
      <w:r w:rsidRPr="00F914E9">
        <w:t>AI workload scheduling is the first paradigm shift of DSG and takes advantage of the flexibility of many workloads to schedule them to coincide with the availability of green electricity. Training workloads, which are the most power-intensive but also the most flexible, can be deferred by hours to days without impacting project timelines, as long as total compute time budgets are maintained</w:t>
      </w:r>
      <w:r w:rsidR="00AE36CD">
        <w:fldChar w:fldCharType="begin"/>
      </w:r>
      <w:r w:rsidR="00AE36CD">
        <w:instrText xml:space="preserve"> ADDIN ZOTERO_ITEM CSL_CITATION {"citationID":"rxw6GAGM","properties":{"unsorted":false,"formattedCitation":"[178]","plainCitation":"[178]","noteIndex":0},"citationItems":[{"id":2184,"uris":["http://zotero.org/users/9870935/items/X3S9L2KG"],"itemData":{"id":2184,"type":"post-weblog","title":"Global energy demands within the AI regulatory landscape","URL":"https://www.brookings.edu/articles/global-energy-demands-within-the-ai-regulatory-landscape/","author":[{"family":"Brooke Tanner","given":""}]}}],"schema":"https://github.com/citation-style-language/schema/raw/master/csl-citation.json"} </w:instrText>
      </w:r>
      <w:r w:rsidR="00AE36CD">
        <w:fldChar w:fldCharType="separate"/>
      </w:r>
      <w:r w:rsidR="00AE36CD" w:rsidRPr="00AE36CD">
        <w:t>[178]</w:t>
      </w:r>
      <w:r w:rsidR="00AE36CD">
        <w:fldChar w:fldCharType="end"/>
      </w:r>
      <w:r w:rsidRPr="00F914E9">
        <w:t>. As an example, a frontier model with a training energy of 10,000-50,000 MWh can in theory be spread over a longer training duration to ramp down the peak power consumption, if the training algorithm can be checkpointed and resumed later.</w:t>
      </w:r>
      <w:r w:rsidR="00AE36CD">
        <w:t xml:space="preserve"> </w:t>
      </w:r>
    </w:p>
    <w:p w14:paraId="56A27248" w14:textId="020E8F20" w:rsidR="00F72FC8" w:rsidRPr="00AE36CD" w:rsidRDefault="00F72FC8" w:rsidP="00AE36CD">
      <w:pPr>
        <w:spacing w:after="120"/>
        <w:ind w:firstLine="480"/>
      </w:pPr>
      <w:r w:rsidRPr="00AE36CD">
        <w:t>Latency requirements make the scheduling challenge for inference workloads more complicated. The interaction with users will depend on sub-100ms response times and must not be postponed, as in real-time inference the user will be waiting for a response to the action. Batch inference (including image processing, document processing, or model scoring) can be flexed for minutes to hours and is suitable for load shifting. A tiered scheduling method that prioritizes real-time inference, then batch inference, then training then background tasks is giving a systematic way to prioritize demand for limited, renewable energy.</w:t>
      </w:r>
    </w:p>
    <w:p w14:paraId="310708E7" w14:textId="1A4D214B" w:rsidR="00F72FC8" w:rsidRPr="00AE36CD" w:rsidRDefault="00F72FC8" w:rsidP="00AE36CD">
      <w:pPr>
        <w:spacing w:after="120"/>
        <w:ind w:firstLine="480"/>
      </w:pPr>
      <w:r w:rsidRPr="00AE36CD">
        <w:t>The EMS maintains a renewable availability API that will give 24-48 hour forecasts that will tell you what portion of the workload you can expect to achieve without depending on non-renewable resources. The scheduler will ask this API for the period of the day when there is excess renewable generation to schedule lower priority workloads. Cost incentive measures such as internal carbon pricing, and shadow electricity prices based on the marginal cost of renewable energy, offer economic signals for application teams to seek to optimise for energy efficiency and alignment with renewable energy resources.</w:t>
      </w:r>
    </w:p>
    <w:p w14:paraId="10C8B09D" w14:textId="77777777" w:rsidR="00E75DCC" w:rsidRPr="00E75DCC" w:rsidRDefault="00E75DCC" w:rsidP="00E75DCC">
      <w:pPr>
        <w:pStyle w:val="Heading20"/>
        <w:jc w:val="both"/>
        <w:rPr>
          <w:color w:val="auto"/>
        </w:rPr>
      </w:pPr>
      <w:bookmarkStart w:id="8" w:name="_Toc100078"/>
      <w:r w:rsidRPr="00E75DCC">
        <w:rPr>
          <w:color w:val="auto"/>
        </w:rPr>
        <w:t>11.3 Multi-Facility Load Balancing and Geographic Diversity</w:t>
      </w:r>
      <w:bookmarkEnd w:id="8"/>
    </w:p>
    <w:p w14:paraId="75ED4A1A" w14:textId="62E96230" w:rsidR="00F72FC8" w:rsidRPr="003C4670" w:rsidRDefault="003C4670" w:rsidP="003C4670">
      <w:pPr>
        <w:spacing w:after="120"/>
        <w:ind w:firstLine="480"/>
      </w:pPr>
      <w:r w:rsidRPr="003C4670">
        <w:lastRenderedPageBreak/>
        <w:t>Multi-facility load balancing exploits the spatial variability of renewable resources across geographically distributed data centers. Facilities separated by more than 500 km typically exhibit low correlation in wind and solar generation, enabling load to be routed to facilities with the most favorable current renewable conditions. A practical example: an operator with facilities on the U.S. East Coast and West Coast can exploit the three-hour time zone difference and different weather patterns to shift workloads, potentially reducing aggregate storage requirements by 50 to 70</w:t>
      </w:r>
      <w:r w:rsidR="00365172">
        <w:t>%</w:t>
      </w:r>
      <w:r w:rsidRPr="003C4670">
        <w:t>.</w:t>
      </w:r>
    </w:p>
    <w:p w14:paraId="11E49219" w14:textId="06A13768" w:rsidR="003C4670" w:rsidRPr="003C4670" w:rsidRDefault="003C4670" w:rsidP="003C4670">
      <w:pPr>
        <w:spacing w:after="120"/>
        <w:ind w:firstLine="480"/>
      </w:pPr>
      <w:r w:rsidRPr="003C4670">
        <w:t>Technical constraints on multi-facility load balancing include network latency (some workloads cannot tolerate inter-region delays), data residency requirements (GDPR and other regulations may require processing in specific geographic regions), and inter-facility data transfer costs, which range from $5 to $15 per Mbps per month for dedicated connections. Suitable workload pools for geographic distribution include stateless inference (easily replicated across regions), batch processing (minimal real-time networking requirements), and data replication (maintaining copies of datasets across facilities to avoid large data transfers during workload migration).</w:t>
      </w:r>
    </w:p>
    <w:p w14:paraId="1AB89217" w14:textId="21ECD134" w:rsidR="003C4670" w:rsidRDefault="00C33AC1" w:rsidP="00C33AC1">
      <w:pPr>
        <w:pStyle w:val="Heading20"/>
        <w:jc w:val="both"/>
        <w:rPr>
          <w:color w:val="auto"/>
        </w:rPr>
      </w:pPr>
      <w:r w:rsidRPr="00E75DCC">
        <w:rPr>
          <w:color w:val="auto"/>
        </w:rPr>
        <w:t>11.</w:t>
      </w:r>
      <w:r w:rsidR="00272BD0">
        <w:rPr>
          <w:color w:val="auto"/>
        </w:rPr>
        <w:t>4</w:t>
      </w:r>
      <w:r w:rsidRPr="00E75DCC">
        <w:rPr>
          <w:color w:val="auto"/>
        </w:rPr>
        <w:t xml:space="preserve"> </w:t>
      </w:r>
      <w:r w:rsidRPr="00C33AC1">
        <w:rPr>
          <w:color w:val="auto"/>
        </w:rPr>
        <w:t>Real-Time Demand Response and Grid Services</w:t>
      </w:r>
    </w:p>
    <w:p w14:paraId="3FEA21F0" w14:textId="424AA649" w:rsidR="00C33AC1" w:rsidRPr="00E26484" w:rsidRDefault="00C33AC1" w:rsidP="00F50509">
      <w:pPr>
        <w:spacing w:after="120"/>
        <w:ind w:firstLine="480"/>
      </w:pPr>
      <w:r w:rsidRPr="00E26484">
        <w:t>Data center battery systems and flex load applications can benefit from programs in the wholesale electricity markets that provide revenue and contribute to grid reliability. The planned introduction of primary frequency response (PFR) will see the data centre power consumption or battery discharge automatically change within seconds of detecting any frequency deviation, creating a new grid stability service previously provided by synchronous generators</w:t>
      </w:r>
      <w:r w:rsidR="00F50509">
        <w:fldChar w:fldCharType="begin"/>
      </w:r>
      <w:r w:rsidR="00F50509">
        <w:instrText xml:space="preserve"> ADDIN ZOTERO_ITEM CSL_CITATION {"citationID":"Y4UD9b6D","properties":{"unsorted":false,"formattedCitation":"[179]","plainCitation":"[179]","noteIndex":0},"citationItems":[{"id":2185,"uris":["http://zotero.org/users/9870935/items/NXIUNXK7"],"itemData":{"id":2185,"type":"post-weblog","title":"Data Centers in 2026: 5 Trends Reshaping Power, Cost, and Resilience","URL":"https://www.enersys.com/en/blog-articles/data-centers-five-trends-reshaping-power-cost-and-resilience/","author":[{"family":"Alistair Baker-Brian","given":""}]}}],"schema":"https://github.com/citation-style-language/schema/raw/master/csl-citation.json"} </w:instrText>
      </w:r>
      <w:r w:rsidR="00F50509">
        <w:fldChar w:fldCharType="separate"/>
      </w:r>
      <w:r w:rsidR="00F50509" w:rsidRPr="00F50509">
        <w:t>[179]</w:t>
      </w:r>
      <w:r w:rsidR="00F50509">
        <w:fldChar w:fldCharType="end"/>
      </w:r>
      <w:r w:rsidRPr="00E26484">
        <w:t xml:space="preserve">. </w:t>
      </w:r>
    </w:p>
    <w:p w14:paraId="654839F6" w14:textId="4DFBA936" w:rsidR="00C33AC1" w:rsidRPr="00E26484" w:rsidRDefault="00C33AC1" w:rsidP="008513ED">
      <w:pPr>
        <w:spacing w:after="120"/>
        <w:ind w:firstLine="480"/>
      </w:pPr>
      <w:r w:rsidRPr="00E26484">
        <w:t xml:space="preserve">Based on market data of approximately $100 per MW per hour (4,000 hours of annual supply) for a 100 MW data center with 10 MW of PFR capacity for backup, that power source can generate approximately $4 million in revenue annually. </w:t>
      </w:r>
      <w:r w:rsidR="00F50509">
        <w:t xml:space="preserve"> </w:t>
      </w:r>
      <w:r w:rsidRPr="00E26484">
        <w:t>Voltage support services, providing reactive power (VARs) to maintain voltage levels on the distribution system, represent another revenue opportunity. Grid-forming and voltage-source control (VSC) inverters can supply reactive power while maintaining no impact on real power generation, thereby allowing them to be used for a zero-marginal-cost ancillary service. Economic valuation of an inverter capacity of 100 MW data center shows the savings generated per year from voltage support services in a data center range from USD 750,000 to USD 1.5 million based on the market value and locational incremental value</w:t>
      </w:r>
      <w:r w:rsidR="008513ED">
        <w:fldChar w:fldCharType="begin"/>
      </w:r>
      <w:r w:rsidR="008513ED">
        <w:instrText xml:space="preserve"> ADDIN ZOTERO_ITEM CSL_CITATION {"citationID":"DkxR3FXF","properties":{"unsorted":false,"formattedCitation":"[180]","plainCitation":"[180]","noteIndex":0},"citationItems":[{"id":2187,"uris":["http://zotero.org/users/9870935/items/QBPJJEAI"],"itemData":{"id":2187,"type":"article-journal","language":"en","source":"Zotero","title":"Variable Renewable Energy Participation in U.S. Ancillary Services Markets","author":[{"family":"Kahrl","given":"Fredrich"},{"family":"Kim","given":"James Hyungkwan"},{"family":"Mills","given":"Andrew"},{"family":"Wiser","given":"Ryan"},{"family":"Montañés","given":"Crespo"},{"family":"Gorman","given":"Will"}]}}],"schema":"https://github.com/citation-style-language/schema/raw/master/csl-citation.json"} </w:instrText>
      </w:r>
      <w:r w:rsidR="008513ED">
        <w:fldChar w:fldCharType="separate"/>
      </w:r>
      <w:r w:rsidR="008513ED" w:rsidRPr="008513ED">
        <w:t>[180]</w:t>
      </w:r>
      <w:r w:rsidR="008513ED">
        <w:fldChar w:fldCharType="end"/>
      </w:r>
      <w:r w:rsidRPr="00E26484">
        <w:t xml:space="preserve">. </w:t>
      </w:r>
    </w:p>
    <w:p w14:paraId="7783A989" w14:textId="4D4FAF78" w:rsidR="00C33AC1" w:rsidRPr="00C34C89" w:rsidRDefault="00C33AC1" w:rsidP="00C34C89">
      <w:pPr>
        <w:pStyle w:val="Heading20"/>
        <w:jc w:val="both"/>
        <w:rPr>
          <w:color w:val="auto"/>
        </w:rPr>
      </w:pPr>
      <w:r w:rsidRPr="00E75DCC">
        <w:rPr>
          <w:color w:val="auto"/>
        </w:rPr>
        <w:t>11.</w:t>
      </w:r>
      <w:r w:rsidR="00272BD0">
        <w:rPr>
          <w:color w:val="auto"/>
        </w:rPr>
        <w:t>5</w:t>
      </w:r>
      <w:r w:rsidRPr="00E75DCC">
        <w:rPr>
          <w:color w:val="auto"/>
        </w:rPr>
        <w:t xml:space="preserve"> </w:t>
      </w:r>
      <w:r w:rsidR="00272BD0">
        <w:t>Energy Management System and Control Architecture</w:t>
      </w:r>
    </w:p>
    <w:p w14:paraId="06CCAFB7" w14:textId="4971FB3D" w:rsidR="00C34C89" w:rsidRDefault="00C33AC1" w:rsidP="00843609">
      <w:pPr>
        <w:spacing w:after="120"/>
        <w:ind w:firstLine="480"/>
      </w:pPr>
      <w:r w:rsidRPr="00C34C89">
        <w:t xml:space="preserve">Here, the EMS will use a hierarchical control system architecture with three timescales and with varying control objectives. Level 1 (device-level) reacts to the changes in frequency and voltage in milliseconds to deliver the primary frequency response and Voltage regulation via the inverter/battery controller. With 24 to 48 hour horizons and model predictive control, Level 2 (facility-level) implements dispatch optimization hours, achieving a balance of minimising energy cost/and or carbon emissions while maintaining reliability targets. The Level 3 (corporate-level) is responsible for allocation of resources across multiple facilities, </w:t>
      </w:r>
      <w:r w:rsidRPr="00C34C89">
        <w:lastRenderedPageBreak/>
        <w:t>routing workloads to facilities whose renewable conditions are most favorable, and coordinating inter-facility energy exchanges.The EMS's capabilities encompass forecasting, optimization, monitoring, and cyber security. Forecast modules include solar and wind forecasts and load forecasts over a range of time scales. Optimization modules formulate and solve the dispatch problem as a mixed-integer linear program (MILP) or use heuristic algorithms for real-time decision-making. Data collection modules gather information from metering points around the site and deliver dashboards, trending, alarms and automated reporting</w:t>
      </w:r>
      <w:r w:rsidR="00843609">
        <w:fldChar w:fldCharType="begin"/>
      </w:r>
      <w:r w:rsidR="00843609">
        <w:instrText xml:space="preserve"> ADDIN ZOTERO_ITEM CSL_CITATION {"citationID":"Ety4nGr4","properties":{"unsorted":false,"formattedCitation":"[178]","plainCitation":"[178]","noteIndex":0},"citationItems":[{"id":2184,"uris":["http://zotero.org/users/9870935/items/X3S9L2KG"],"itemData":{"id":2184,"type":"post-weblog","title":"Global energy demands within the AI regulatory landscape","URL":"https://www.brookings.edu/articles/global-energy-demands-within-the-ai-regulatory-landscape/","author":[{"family":"Brooke Tanner","given":""}]}}],"schema":"https://github.com/citation-style-language/schema/raw/master/csl-citation.json"} </w:instrText>
      </w:r>
      <w:r w:rsidR="00843609">
        <w:fldChar w:fldCharType="separate"/>
      </w:r>
      <w:r w:rsidR="00843609" w:rsidRPr="00843609">
        <w:t>[178]</w:t>
      </w:r>
      <w:r w:rsidR="00843609">
        <w:fldChar w:fldCharType="end"/>
      </w:r>
      <w:r w:rsidRPr="00C34C89">
        <w:t xml:space="preserve">. </w:t>
      </w:r>
    </w:p>
    <w:p w14:paraId="116650FB" w14:textId="01AFDE74" w:rsidR="00272BD0" w:rsidRPr="00A0692C" w:rsidRDefault="00272BD0" w:rsidP="00A0692C">
      <w:pPr>
        <w:pStyle w:val="Heading20"/>
        <w:jc w:val="both"/>
        <w:rPr>
          <w:color w:val="auto"/>
        </w:rPr>
      </w:pPr>
      <w:r w:rsidRPr="00E75DCC">
        <w:rPr>
          <w:color w:val="auto"/>
        </w:rPr>
        <w:t>11.</w:t>
      </w:r>
      <w:r w:rsidR="002E5A5D">
        <w:rPr>
          <w:color w:val="auto"/>
        </w:rPr>
        <w:t>6</w:t>
      </w:r>
      <w:r w:rsidRPr="00E75DCC">
        <w:rPr>
          <w:color w:val="auto"/>
        </w:rPr>
        <w:t xml:space="preserve"> </w:t>
      </w:r>
      <w:r w:rsidR="00E47D1C">
        <w:t>Cooling and Thermal Management Integration</w:t>
      </w:r>
    </w:p>
    <w:p w14:paraId="67868975" w14:textId="77777777" w:rsidR="00C34C89" w:rsidRPr="00A0692C" w:rsidRDefault="00C33AC1" w:rsidP="00A0692C">
      <w:pPr>
        <w:spacing w:after="120"/>
        <w:ind w:firstLine="480"/>
      </w:pPr>
      <w:r w:rsidRPr="00A0692C">
        <w:t xml:space="preserve">There are opportunities for efficiency improvements in the integration of cooling into the renewable electricity supply, which is referred to as </w:t>
      </w:r>
      <w:r w:rsidR="00C34C89" w:rsidRPr="00A0692C">
        <w:t>p</w:t>
      </w:r>
      <w:r w:rsidRPr="00A0692C">
        <w:t>erformance metrics tracked by the EMS.</w:t>
      </w:r>
      <w:r w:rsidR="00C34C89" w:rsidRPr="00A0692C">
        <w:t xml:space="preserve"> </w:t>
      </w:r>
      <w:r w:rsidRPr="00A0692C">
        <w:t xml:space="preserve">Cooling system integration with the renewable energy supply is a significant opportunity for efficiency improvements, which are contained in </w:t>
      </w:r>
      <w:r w:rsidR="00C34C89" w:rsidRPr="00A0692C">
        <w:t>p</w:t>
      </w:r>
      <w:r w:rsidRPr="00A0692C">
        <w:t>erformance metrics tracked by the EMS. Examples of thermal energy storage (TES) systems are chilled water storage and ice storage where the cooling demand can be satisfied at times when the electricity demand is low and the thermal energy can be saved for later use. For managing thermal loads, the cost-effective TES solution is complemented by electrical storage, delivered with round trip values of about 70 to 80</w:t>
      </w:r>
      <w:r w:rsidR="00C34C89" w:rsidRPr="00A0692C">
        <w:t xml:space="preserve">% </w:t>
      </w:r>
      <w:r w:rsidRPr="00A0692C">
        <w:t>for the storage phase, versus 85 to 95</w:t>
      </w:r>
      <w:r w:rsidR="00C34C89" w:rsidRPr="00A0692C">
        <w:t xml:space="preserve">% </w:t>
      </w:r>
      <w:r w:rsidRPr="00A0692C">
        <w:t>for electrical storage.</w:t>
      </w:r>
    </w:p>
    <w:p w14:paraId="0E421B61" w14:textId="01B7CF3C" w:rsidR="00C33AC1" w:rsidRPr="00A0692C" w:rsidRDefault="00C33AC1" w:rsidP="00A0692C">
      <w:pPr>
        <w:spacing w:after="120"/>
        <w:ind w:firstLine="480"/>
      </w:pPr>
      <w:r w:rsidRPr="00A0692C">
        <w:t>Dynamic setpoint management extends data center inlet temperatures when renewable energy is limited or cooling requires significant energy use, compromising equipment lifespan or energy efficiency. Cooling energy could be decreased by 15-25</w:t>
      </w:r>
      <w:r w:rsidR="00021D4C" w:rsidRPr="00A0692C">
        <w:t>%</w:t>
      </w:r>
      <w:r w:rsidRPr="00A0692C">
        <w:t xml:space="preserve"> </w:t>
      </w:r>
      <w:r w:rsidR="00843609">
        <w:fldChar w:fldCharType="begin"/>
      </w:r>
      <w:r w:rsidR="0072648C">
        <w:instrText xml:space="preserve"> ADDIN ZOTERO_ITEM CSL_CITATION {"citationID":"U4yOE9tr","properties":{"unsorted":false,"formattedCitation":"[178]","plainCitation":"[178]","noteIndex":0},"citationItems":[{"id":2184,"uris":["http://zotero.org/users/9870935/items/X3S9L2KG"],"itemData":{"id":2184,"type":"post-weblog","title":"Global energy demands within the AI regulatory landscape","URL":"https://www.brookings.edu/articles/global-energy-demands-within-the-ai-regulatory-landscape/","author":[{"family":"Brooke Tanner","given":""}]}}],"schema":"https://github.com/citation-style-language/schema/raw/master/csl-citation.json"} </w:instrText>
      </w:r>
      <w:r w:rsidR="00843609">
        <w:fldChar w:fldCharType="separate"/>
      </w:r>
      <w:r w:rsidR="00843609" w:rsidRPr="00843609">
        <w:t>[178]</w:t>
      </w:r>
      <w:r w:rsidR="00843609">
        <w:fldChar w:fldCharType="end"/>
      </w:r>
      <w:r w:rsidRPr="00A0692C">
        <w:t xml:space="preserve"> for the periods when renewables are limited, by increasing inlet water temperatures from the traditional 20 to 22 degrees Celsius to 32 to 35 degrees Celsius (up to 40–45 degrees Celsius for liquid cooling loops). They achieve further cooling energy savings through (toolstick) free cooling windows, which operate in many climates in the winter months and overnight, taking advantage of favourable ambient temperatures without using mechanical cooling. Waste heat recovered by the data centre and used in other applications, such as district heating, greenhouse heating, or industry, can contribute to reducing data centre energy expenditure by 5-10% and enhance system efficiency.</w:t>
      </w:r>
    </w:p>
    <w:p w14:paraId="5B04275D" w14:textId="1B21B037" w:rsidR="00817CAF" w:rsidRPr="00F56D3B" w:rsidRDefault="00817CAF" w:rsidP="00817CAF">
      <w:pPr>
        <w:pStyle w:val="Heading1"/>
        <w:keepNext/>
        <w:rPr>
          <w:lang w:val="en-US"/>
        </w:rPr>
      </w:pPr>
      <w:r>
        <w:t>1</w:t>
      </w:r>
      <w:r>
        <w:t>2</w:t>
      </w:r>
      <w:r>
        <w:t>. Regulatory, Policy, and Sustainability</w:t>
      </w:r>
    </w:p>
    <w:p w14:paraId="63D59870" w14:textId="77777777" w:rsidR="00F56D3B" w:rsidRDefault="00F56D3B" w:rsidP="00F56D3B">
      <w:pPr>
        <w:spacing w:after="120"/>
        <w:ind w:firstLine="480"/>
      </w:pPr>
      <w:r>
        <w:t>This chapter examines the regulatory environment, policy frameworks, and sustainability standards that govern the design and operation of renewable-powered data centers. Effective navigation of this landscape is essential for project permitting, interconnection, and long-term compliance with evolving environmental requirements.</w:t>
      </w:r>
    </w:p>
    <w:p w14:paraId="6BDF5576" w14:textId="6E760347" w:rsidR="00EA6137" w:rsidRDefault="00EA6137" w:rsidP="00EA6137">
      <w:pPr>
        <w:pStyle w:val="Heading20"/>
        <w:jc w:val="both"/>
      </w:pPr>
      <w:r w:rsidRPr="00E75DCC">
        <w:rPr>
          <w:color w:val="auto"/>
        </w:rPr>
        <w:t>1</w:t>
      </w:r>
      <w:r>
        <w:rPr>
          <w:color w:val="auto"/>
        </w:rPr>
        <w:t>2.1</w:t>
      </w:r>
      <w:r w:rsidRPr="00E75DCC">
        <w:rPr>
          <w:color w:val="auto"/>
        </w:rPr>
        <w:t xml:space="preserve"> </w:t>
      </w:r>
      <w:r>
        <w:t>Grid Interconnection Standards</w:t>
      </w:r>
    </w:p>
    <w:p w14:paraId="26B8440A" w14:textId="1811FBC1" w:rsidR="00BE55EA" w:rsidRDefault="00BE55EA" w:rsidP="00F14FD4">
      <w:pPr>
        <w:spacing w:after="120"/>
        <w:ind w:firstLine="480"/>
      </w:pPr>
      <w:r w:rsidRPr="00BE55EA">
        <w:lastRenderedPageBreak/>
        <w:t xml:space="preserve">Grid Interconnection Standards are technology and operational criteria that distributed energy resources must abide by to get connected to the mains power grid. Up to now, the basis of distribution level interconnections is IEEE 1547. On the data center scale, which typically involves medium-voltage or transmission-voltage installation with generation capacity ranging from 10 to 100 MW, the relevant standards would apply are IEEE 2800-2022, Inverter-based resources (IBRs) </w:t>
      </w:r>
      <w:r w:rsidR="0072648C">
        <w:fldChar w:fldCharType="begin"/>
      </w:r>
      <w:r w:rsidR="0072648C">
        <w:instrText xml:space="preserve"> ADDIN ZOTERO_ITEM CSL_CITATION {"citationID":"PikiXW36","properties":{"unsorted":false,"formattedCitation":"[181]","plainCitation":"[181]","noteIndex":0},"citationItems":[{"id":2189,"uris":["http://zotero.org/users/9870935/items/U4Y7SALQ"],"itemData":{"id":2189,"type":"article-journal","abstract":"The generator side of inverter-based resources (IBRs) interfaced with back-to-back converters is electrically decoupled from the grid. During electrical faults, grid-following IBRs behave as voltagedependent current sources due to grid code requirements and converter control. This paper presents NewtonRaphson formulations for estimating short-circuit currents from IBRs using novel power ﬂow modeling approaches to address voltage-dependent current sources. The work shows how to represent dq0 current injections, which are typically implemented in control architectures based on phase-locked loops. The power ﬂow formulations are adapted to capture grid codes with diﬀerent characteristics, such as the injection of negative-sequence currents during unbalanced faults. Comparisons against a ﬁeld-validated electromagnetic transients (EMT) model reveal mean absolute errors of less than 0.5% for the proposed approach when estimating steady-state short-circuit currents from type IV wind turbine generators under grid-following control.","container-title":"IEEE Open Access Journal of Power and Energy","DOI":"10.1109/OAJPE.2026.3673646","ISSN":"2687-7910","journalAbbreviation":"IEEE Open J. Power Energy","language":"en","license":"https://creativecommons.org/licenses/by/4.0/legalcode","page":"229-239","source":"DOI.org (Crossref)","title":"Power Flow-Based Estimation of Short-Circuit Currents From Inverter-Based Resources","volume":"13","author":[{"family":"Abritta","given":"Ramon"},{"family":"Guerreiro","given":"Gabriel M. G."},{"family":"Pavlov","given":"Alexey"},{"family":"Tore Børresen","given":"Børre"},{"family":"Tedeschi","given":"Elisabetta"},{"family":"Sharma","given":"Ranjan"},{"family":"Da Silva Junior","given":"Ivo C."}],"issued":{"date-parts":[["2026"]]}}}],"schema":"https://github.com/citation-style-language/schema/raw/master/csl-citation.json"} </w:instrText>
      </w:r>
      <w:r w:rsidR="0072648C">
        <w:fldChar w:fldCharType="separate"/>
      </w:r>
      <w:r w:rsidR="0072648C" w:rsidRPr="0072648C">
        <w:t>[181]</w:t>
      </w:r>
      <w:r w:rsidR="0072648C">
        <w:fldChar w:fldCharType="end"/>
      </w:r>
      <w:r w:rsidRPr="00BE55EA">
        <w:t xml:space="preserve">. IBRs deployed in low system strength zones will soon become increasingly common in data centers, where short circuit ratio (SCR) becomes an important measurement of grid stability in order to guarantee the stability of control [1]. In today's interconnection studies, IBR fault ride-through and dynamic voltage support during transients are given significant attention. </w:t>
      </w:r>
      <w:r w:rsidR="00493D72" w:rsidRPr="00493D72">
        <w:t>FERC Order 2023, finalized in 2023, represented a major reform of transmission interconnection procedures by shifting to cluster studies and penalizing study delays. However, its implementation across regional transmission operators (RTOs) remains an ongoing challenge; as of the end of 2025, over 2,060 GW of generation and storage capacity were actively stalled in interconnection queues</w:t>
      </w:r>
      <w:r w:rsidR="00F14FD4">
        <w:fldChar w:fldCharType="begin"/>
      </w:r>
      <w:r w:rsidR="00F14FD4">
        <w:instrText xml:space="preserve"> ADDIN ZOTERO_ITEM CSL_CITATION {"citationID":"Px6p0cAj","properties":{"unsorted":false,"formattedCitation":"[182]","plainCitation":"[182]","noteIndex":0},"citationItems":[{"id":2190,"uris":["http://zotero.org/users/9870935/items/YT24FZW9"],"itemData":{"id":2190,"type":"article-journal","DOI":"10.13140/RG.2.2.12274.67520","language":"en","publisher":"Lawrence Berkeley National Laboratory","source":"DOI.org (Datacite)","title":"Up: 2025 Edition, Characteristics of Power Plants Seeking Transmission Interconnection As of the End of 2024","title-short":"Up","URL":"https://www.researchgate.net/doi/10.13140/RG.2.2.12274.67520","author":[{"family":"Rand","given":"Joseph"},{"family":"Manderlink","given":"Nick"},{"family":"Zhang","given":"Steven"},{"family":"Kahrl","given":"Fredrich"},{"family":"Jeong","given":"Seongeun"},{"family":"Gorman","given":"Will"},{"family":"Kemp","given":"Julie Mulvaney"},{"family":"Seel","given":"Joachim"},{"family":"Wiser","given":"Ryan"},{"literal":"chris talley"}],"accessed":{"date-parts":[["2026",6,6]]},"issued":{"date-parts":[["2025"]]}}}],"schema":"https://github.com/citation-style-language/schema/raw/master/csl-citation.json"} </w:instrText>
      </w:r>
      <w:r w:rsidR="00F14FD4">
        <w:fldChar w:fldCharType="separate"/>
      </w:r>
      <w:r w:rsidR="00F14FD4" w:rsidRPr="00F14FD4">
        <w:t>[182]</w:t>
      </w:r>
      <w:r w:rsidR="00F14FD4">
        <w:fldChar w:fldCharType="end"/>
      </w:r>
      <w:r w:rsidR="00493D72" w:rsidRPr="00493D72">
        <w:t>.</w:t>
      </w:r>
    </w:p>
    <w:p w14:paraId="79A4AF88" w14:textId="7A6E8C4E" w:rsidR="00DE2AF5" w:rsidRDefault="00DE2AF5" w:rsidP="00DE2AF5">
      <w:pPr>
        <w:pStyle w:val="Heading20"/>
        <w:jc w:val="both"/>
      </w:pPr>
      <w:r w:rsidRPr="00E75DCC">
        <w:rPr>
          <w:color w:val="auto"/>
        </w:rPr>
        <w:t>1</w:t>
      </w:r>
      <w:r>
        <w:rPr>
          <w:color w:val="auto"/>
        </w:rPr>
        <w:t>2.</w:t>
      </w:r>
      <w:r>
        <w:rPr>
          <w:color w:val="auto"/>
        </w:rPr>
        <w:t>2</w:t>
      </w:r>
      <w:r w:rsidRPr="00E75DCC">
        <w:rPr>
          <w:color w:val="auto"/>
        </w:rPr>
        <w:t xml:space="preserve"> </w:t>
      </w:r>
      <w:r>
        <w:t>Renewable Energy Policies and Mandates</w:t>
      </w:r>
    </w:p>
    <w:p w14:paraId="4E1C867B" w14:textId="207F0BE7" w:rsidR="002C0878" w:rsidRPr="00EB3CAD" w:rsidRDefault="00EB3CAD" w:rsidP="007F3A9E">
      <w:pPr>
        <w:spacing w:after="120"/>
        <w:ind w:firstLine="480"/>
      </w:pPr>
      <w:r w:rsidRPr="00EB3CAD">
        <w:t>Renewable Portfolio Standards (RPS) and Clean Energy Standards (CES) require that utilities buy a percent of electricity from renewables. State-level call for corporate renewable procurement persist in the United States. But, as AI workloads continue to ramp up at an unprecedented rate, it has rapidly accelerated the shift in procurement moves projecting up to 945 TWh yearly worldwide by 2030</w:t>
      </w:r>
      <w:r w:rsidR="00095528">
        <w:fldChar w:fldCharType="begin"/>
      </w:r>
      <w:r w:rsidR="00095528">
        <w:instrText xml:space="preserve"> ADDIN ZOTERO_ITEM CSL_CITATION {"citationID":"2uQLzaxM","properties":{"unsorted":false,"formattedCitation":"[183]","plainCitation":"[183]","noteIndex":0},"citationItems":[{"id":2191,"uris":["http://zotero.org/users/9870935/items/PGQT4HIW"],"itemData":{"id":2191,"type":"document","title":"ENVIRONMENTAL COST OF AI'S ENERGY USE","author":[{"family":"UN","given":""}]}}],"schema":"https://github.com/citation-style-language/schema/raw/master/csl-citation.json"} </w:instrText>
      </w:r>
      <w:r w:rsidR="00095528">
        <w:fldChar w:fldCharType="separate"/>
      </w:r>
      <w:r w:rsidR="00095528" w:rsidRPr="00095528">
        <w:t>[183]</w:t>
      </w:r>
      <w:r w:rsidR="00095528">
        <w:fldChar w:fldCharType="end"/>
      </w:r>
      <w:r w:rsidRPr="00EB3CAD">
        <w:t>. In response to this demand, leading data centre companies are turning to nuclear generation partnership arrangements alongside traditional wind and solar PPAs to obtain baseload zero-carbon electricity. The EU Renewable Energy Directive (RED III) lays out a legal 42.5</w:t>
      </w:r>
      <w:r w:rsidR="007F3A9E">
        <w:t xml:space="preserve">% </w:t>
      </w:r>
      <w:r w:rsidRPr="00EB3CAD">
        <w:t>RE target in Europe until 2030. This legislation (reported requirements) is now functioning as a catalyst for the creation of direct corporate PPAs and cleaning generation schemes</w:t>
      </w:r>
      <w:r w:rsidR="007F3A9E">
        <w:fldChar w:fldCharType="begin"/>
      </w:r>
      <w:r w:rsidR="0079480E">
        <w:instrText xml:space="preserve"> ADDIN ZOTERO_ITEM CSL_CITATION {"citationID":"ufdpjCHf","properties":{"unsorted":false,"formattedCitation":"[184]","plainCitation":"[184]","noteIndex":0},"citationItems":[{"id":2193,"uris":["http://zotero.org/users/9870935/items/VDQUTJZK"],"itemData":{"id":2193,"type":"document","title":"Powering AI: How Do Data Centers Affect Renewable Energy Investment?","URL":"https://papers.ssrn.com/sol3/papers.cfm?abstract_id=6426079","author":[{"literal":"Alexander Heiss"},{"literal":"Zacharias Sautner"},{"literal":"Zacharias Sautner"}]}}],"schema":"https://github.com/citation-style-language/schema/raw/master/csl-citation.json"} </w:instrText>
      </w:r>
      <w:r w:rsidR="007F3A9E">
        <w:fldChar w:fldCharType="separate"/>
      </w:r>
      <w:r w:rsidR="007F3A9E" w:rsidRPr="007F3A9E">
        <w:t>[184]</w:t>
      </w:r>
      <w:r w:rsidR="007F3A9E">
        <w:fldChar w:fldCharType="end"/>
      </w:r>
      <w:r w:rsidRPr="00EB3CAD">
        <w:t>.</w:t>
      </w:r>
    </w:p>
    <w:p w14:paraId="5E614868" w14:textId="0EF99B92" w:rsidR="007F3A9E" w:rsidRDefault="007F3A9E" w:rsidP="007F3A9E">
      <w:pPr>
        <w:pStyle w:val="Heading20"/>
        <w:jc w:val="both"/>
      </w:pPr>
      <w:r w:rsidRPr="00E75DCC">
        <w:rPr>
          <w:color w:val="auto"/>
        </w:rPr>
        <w:t>1</w:t>
      </w:r>
      <w:r>
        <w:rPr>
          <w:color w:val="auto"/>
        </w:rPr>
        <w:t>2.</w:t>
      </w:r>
      <w:r>
        <w:rPr>
          <w:color w:val="auto"/>
        </w:rPr>
        <w:t>3</w:t>
      </w:r>
      <w:r w:rsidRPr="00E75DCC">
        <w:rPr>
          <w:color w:val="auto"/>
        </w:rPr>
        <w:t xml:space="preserve"> </w:t>
      </w:r>
      <w:r>
        <w:t>Carbon Accounting and Environmental Reporting</w:t>
      </w:r>
    </w:p>
    <w:p w14:paraId="19F4F1F2" w14:textId="2C10BCB3" w:rsidR="00F12DCF" w:rsidRDefault="00AC40BA" w:rsidP="0079480E">
      <w:pPr>
        <w:spacing w:after="120"/>
        <w:ind w:firstLine="480"/>
      </w:pPr>
      <w:r w:rsidRPr="00AC40BA">
        <w:t xml:space="preserve">The standard framework for corporate carbon accounting is the Greenhouse Gas (GHG) Protocol. Secondly, scope 2 emissions include those arising from purchased electricity—using either location-based or market-based accounting methods. The transition to 24/7 Carbon-Free Energy (CFE) – pairing every hour of electricity usage with carbon-free electricity generation – has proven to be the new benchmark for data center sustainability. </w:t>
      </w:r>
      <w:r w:rsidR="00BD018A" w:rsidRPr="00BD018A">
        <w:t>Implementing 24/7 CFE requires sub-hourly granular data, advanced forecasting, and stringent temporal and spatial carbon accounting frameworks to verify continuous clean energy alignment and prevent the double-counting of clean energy attributes</w:t>
      </w:r>
      <w:r w:rsidR="0079480E">
        <w:fldChar w:fldCharType="begin"/>
      </w:r>
      <w:r w:rsidR="0079480E">
        <w:instrText xml:space="preserve"> ADDIN ZOTERO_ITEM CSL_CITATION {"citationID":"n6iDXFFL","properties":{"unsorted":false,"formattedCitation":"[185]","plainCitation":"[185]","noteIndex":0},"citationItems":[{"id":2194,"uris":["http://zotero.org/users/9870935/items/HM8VYHDA"],"itemData":{"id":2194,"type":"article-journal","container-title":"Joule","DOI":"10.1016/j.joule.2023.12.007","ISSN":"25424351","issue":"2","journalAbbreviation":"Joule","language":"en","page":"374-400","source":"DOI.org (Crossref)","title":"System-level impacts of voluntary carbon-free electricity procurement strategies","volume":"8","author":[{"family":"Xu","given":"Qingyu"},{"family":"Ricks","given":"Wilson"},{"family":"Manocha","given":"Aneesha"},{"family":"Patankar","given":"Neha"},{"family":"Jenkins","given":"Jesse D."}],"issued":{"date-parts":[["2024",2]]}}}],"schema":"https://github.com/citation-style-language/schema/raw/master/csl-citation.json"} </w:instrText>
      </w:r>
      <w:r w:rsidR="0079480E">
        <w:fldChar w:fldCharType="separate"/>
      </w:r>
      <w:r w:rsidR="0079480E" w:rsidRPr="0079480E">
        <w:t>[185]</w:t>
      </w:r>
      <w:r w:rsidR="0079480E">
        <w:fldChar w:fldCharType="end"/>
      </w:r>
      <w:r w:rsidRPr="00AC40BA">
        <w:t>.</w:t>
      </w:r>
    </w:p>
    <w:p w14:paraId="173A45B2" w14:textId="200FA1B7" w:rsidR="0079480E" w:rsidRDefault="0079480E" w:rsidP="0079480E">
      <w:pPr>
        <w:pStyle w:val="Heading20"/>
        <w:jc w:val="both"/>
      </w:pPr>
      <w:r w:rsidRPr="00E75DCC">
        <w:rPr>
          <w:color w:val="auto"/>
        </w:rPr>
        <w:t>1</w:t>
      </w:r>
      <w:r>
        <w:rPr>
          <w:color w:val="auto"/>
        </w:rPr>
        <w:t>2.</w:t>
      </w:r>
      <w:r>
        <w:rPr>
          <w:color w:val="auto"/>
        </w:rPr>
        <w:t>4</w:t>
      </w:r>
      <w:r w:rsidRPr="00E75DCC">
        <w:rPr>
          <w:color w:val="auto"/>
        </w:rPr>
        <w:t xml:space="preserve"> </w:t>
      </w:r>
      <w:r>
        <w:t>Environmental Impact Assessment</w:t>
      </w:r>
    </w:p>
    <w:p w14:paraId="548BEE1A" w14:textId="0C6E4052" w:rsidR="0079480E" w:rsidRPr="00AC40BA" w:rsidRDefault="006E439E" w:rsidP="006E439E">
      <w:pPr>
        <w:spacing w:after="120"/>
        <w:ind w:firstLine="480"/>
      </w:pPr>
      <w:r w:rsidRPr="006E439E">
        <w:t xml:space="preserve">The environmental footprint of renewable energy projects and data centers with artificial intelligence needs to be minimized. Cooling systems for data centres offer a clear choice between electric-powered air cooling and water-powered evaporative cooling. Before the AI </w:t>
      </w:r>
      <w:r w:rsidRPr="006E439E">
        <w:lastRenderedPageBreak/>
        <w:t>revolution, data centers in the U.S. alone used more than 17.4 billion gallons of water per year, and as demand for hyperscale facilities grows, it is estimated that their water consumption will scale up substantially. By 2030, the water consumption generated by global AI activity could exceed the minimum annual requirement for each person's domestic needs by 1.3 billion people</w:t>
      </w:r>
      <w:r>
        <w:t xml:space="preserve"> while b</w:t>
      </w:r>
      <w:r w:rsidRPr="006E439E">
        <w:t xml:space="preserve">iodiversity and land use effects vary by site. Moreover, the short lifespan, which tech giants favor in their AI hardware, is leading to an electronic waste problem: by 2030, the total amount of AI infrastructure expected to contribute to e-waste is up to 2.5M tonnes each year </w:t>
      </w:r>
      <w:r w:rsidR="00B72506">
        <w:fldChar w:fldCharType="begin"/>
      </w:r>
      <w:r w:rsidR="00B72506">
        <w:instrText xml:space="preserve"> ADDIN ZOTERO_ITEM CSL_CITATION {"citationID":"dmjkCpIF","properties":{"unsorted":false,"formattedCitation":"[183]","plainCitation":"[183]","noteIndex":0},"citationItems":[{"id":2191,"uris":["http://zotero.org/users/9870935/items/PGQT4HIW"],"itemData":{"id":2191,"type":"document","title":"ENVIRONMENTAL COST OF AI'S ENERGY USE","author":[{"family":"UN","given":""}]}}],"schema":"https://github.com/citation-style-language/schema/raw/master/csl-citation.json"} </w:instrText>
      </w:r>
      <w:r w:rsidR="00B72506">
        <w:fldChar w:fldCharType="separate"/>
      </w:r>
      <w:r w:rsidR="00B72506" w:rsidRPr="006E439E">
        <w:t>[183]</w:t>
      </w:r>
      <w:r w:rsidR="00B72506">
        <w:fldChar w:fldCharType="end"/>
      </w:r>
      <w:r w:rsidRPr="006E439E">
        <w:t>.</w:t>
      </w:r>
    </w:p>
    <w:p w14:paraId="07043675" w14:textId="197B8F1B" w:rsidR="0043558A" w:rsidRDefault="0043558A" w:rsidP="0043558A">
      <w:pPr>
        <w:pStyle w:val="Heading20"/>
        <w:jc w:val="both"/>
      </w:pPr>
      <w:r w:rsidRPr="00E75DCC">
        <w:rPr>
          <w:color w:val="auto"/>
        </w:rPr>
        <w:t>1</w:t>
      </w:r>
      <w:r>
        <w:rPr>
          <w:color w:val="auto"/>
        </w:rPr>
        <w:t>2.</w:t>
      </w:r>
      <w:r>
        <w:rPr>
          <w:color w:val="auto"/>
        </w:rPr>
        <w:t>5</w:t>
      </w:r>
      <w:r w:rsidRPr="00E75DCC">
        <w:rPr>
          <w:color w:val="auto"/>
        </w:rPr>
        <w:t xml:space="preserve"> </w:t>
      </w:r>
      <w:r w:rsidR="00730D0A">
        <w:t>Regulatory Barriers and Opportunities</w:t>
      </w:r>
    </w:p>
    <w:p w14:paraId="1125664E" w14:textId="7C9FF715" w:rsidR="00C57C71" w:rsidRDefault="00C16D07" w:rsidP="00DC4828">
      <w:pPr>
        <w:spacing w:after="120"/>
        <w:ind w:firstLine="480"/>
      </w:pPr>
      <w:r w:rsidRPr="00C57C71">
        <w:t>Interconnection queue congestion is a major regulatory barrier for renewable powered data centers today. In the past decade, the number of requests has been growing substantially, and 2500 to 3,000 new requests have been submitted for new interconnection capacity of 400-750 GW/year. This has left a significant backlog, which is delaying efforts to integrate clean energy. Other hurdles involving distributed generation include distribution system design barriers (one way power flow, no bidirectional), permitting barriers (environmental review, building permits/approvals, utility coordination), and opposition from incumbent utilities.  Alternative routes exist such as Community Choice Aggregation (CCA) and Green tariff programs, and interconnection complexity and costs can be mitigated with behind-the-meter exemptions. Policy recommendations based on the framework analysis are (1) streamline interconnection following the FERC Order 2023 format including practices such as the U.S. Department of Energy's i2X roadmap to automate data collection and standardize cluster study parameters; (2) continue and increase renewable energy tax credits (ITC and PTC) to provide grid investment certainty; (3) clarify and update zoning and building code requirements to support on-site renewable generation and storage; (4) ensure grid data centers are viable through an aggressive research program in the area of 24/7 CFE accounting methodology, establishing a transparent, standardized approach to 24/7 CFE accounting for the stability of IBRs operating on weak grids; and (5) support grid modernization research with a focus on the stability of IBRs (Inverter-Based Resources) on weak grids to achieve data center reliability</w:t>
      </w:r>
      <w:r w:rsidR="003B30CC">
        <w:fldChar w:fldCharType="begin"/>
      </w:r>
      <w:r w:rsidR="00DC4828">
        <w:instrText xml:space="preserve"> ADDIN ZOTERO_ITEM CSL_CITATION {"citationID":"3kR8mlfQ","properties":{"unsorted":false,"formattedCitation":"[172], [186]","plainCitation":"[172], [186]","noteIndex":0},"citationItems":[{"id":2175,"uris":["http://zotero.org/users/9870935/items/YE4EN6MK"],"itemData":{"id":2175,"type":"document","title":"2026 Annual Planning Outlook","URL":"https://www.ieso.ca/-/media/Files/IESO/Document-Library/planning-forecasts/apo/2026/2026-APO-Demand-Forecast-Module.pdf","author":[{"family":"IESO","given":""}]}},{"id":2196,"uris":["http://zotero.org/users/9870935/items/RLD3GZD9"],"itemData":{"id":2196,"type":"document","title":"Transmission Interconnection Roadmap","URL":"https://www.energy.gov/sites/default/files/2024-04/i2X%20Transmission%20Interconnection%20Roadmap.pdf","author":[{"literal":"i2X"}]}}],"schema":"https://github.com/citation-style-language/schema/raw/master/csl-citation.json"} </w:instrText>
      </w:r>
      <w:r w:rsidR="003B30CC">
        <w:fldChar w:fldCharType="separate"/>
      </w:r>
      <w:r w:rsidR="00DC4828" w:rsidRPr="00DC4828">
        <w:t>[172], [186]</w:t>
      </w:r>
      <w:r w:rsidR="003B30CC">
        <w:fldChar w:fldCharType="end"/>
      </w:r>
      <w:r w:rsidRPr="00C57C71">
        <w:t xml:space="preserve">.  </w:t>
      </w:r>
    </w:p>
    <w:p w14:paraId="6703A2B1" w14:textId="61940128" w:rsidR="00DC4828" w:rsidRPr="002108A4" w:rsidRDefault="00DC4828" w:rsidP="002108A4">
      <w:pPr>
        <w:pStyle w:val="Heading20"/>
        <w:jc w:val="both"/>
      </w:pPr>
      <w:r w:rsidRPr="00E75DCC">
        <w:rPr>
          <w:color w:val="auto"/>
        </w:rPr>
        <w:t>1</w:t>
      </w:r>
      <w:r>
        <w:rPr>
          <w:color w:val="auto"/>
        </w:rPr>
        <w:t>2.</w:t>
      </w:r>
      <w:r w:rsidR="00BE0A60">
        <w:rPr>
          <w:color w:val="auto"/>
        </w:rPr>
        <w:t>6</w:t>
      </w:r>
      <w:r w:rsidRPr="00E75DCC">
        <w:rPr>
          <w:color w:val="auto"/>
        </w:rPr>
        <w:t xml:space="preserve"> </w:t>
      </w:r>
      <w:r w:rsidR="00784DD3">
        <w:t>Sustainability Certifications and Reporting</w:t>
      </w:r>
    </w:p>
    <w:p w14:paraId="2D2A8B73" w14:textId="2E272CAF" w:rsidR="00510160" w:rsidRDefault="00C16D07" w:rsidP="00AC2F22">
      <w:pPr>
        <w:spacing w:after="120"/>
        <w:ind w:firstLine="480"/>
      </w:pPr>
      <w:r w:rsidRPr="002108A4">
        <w:t xml:space="preserve">Voluntary sustainability certifications are rapidly becoming regulatory compliance frameworks. About 50,000 companies are subject to the European Union's Corporate Sustainability Reporting Directive (CSRD), which has introduced uniform reporting standards for Environmental, Social, and Governance (ESG) metrics. At the same time, the International Sustainability Standards Board (ISSB) has developed a global foundation to sustainability finance disclosures that has changed corporate accountability in the S1 and S2 IFRS Sustainability-related financial disclosures.  As a result, multi-national data center operators now need to gather and cross validate granular data points across all their operational footprint and supply chains. Concerns regarding the digital industry's increasing environmental footprint have resulted in a comprehensive framework of EU laws and policy </w:t>
      </w:r>
      <w:r w:rsidRPr="002108A4">
        <w:lastRenderedPageBreak/>
        <w:t>that seek to build climate-neutral and energy efficient data centres by 2030. LEGACY Standards such as LEED and ISO 50001 and the Uptime Institute's Tier Standard are still significant benchmarks to use during operation, but are increasingly being incorporated into these higher-level compliance frameworks</w:t>
      </w:r>
      <w:r w:rsidR="00AC2F22">
        <w:fldChar w:fldCharType="begin"/>
      </w:r>
      <w:r w:rsidR="00AC2F22">
        <w:instrText xml:space="preserve"> ADDIN ZOTERO_ITEM CSL_CITATION {"citationID":"fUQ3J4KE","properties":{"unsorted":false,"formattedCitation":"[187], [188]","plainCitation":"[187], [188]","noteIndex":0},"citationItems":[{"id":2197,"uris":["http://zotero.org/users/9870935/items/53ICUFBJ"],"itemData":{"id":2197,"type":"article-journal","abstract":"Expanding ESG disclosure mandates under the Corporate Sustainability Reporting Directive (CSRD) and the International Sustainability Standards Board (ISSB) have driven rising demand for artificial intelligence (AI) and data analytics capable of supporting sustainability reporting and verification at scale. Nevertheless, the scholarly literature remains dispersed across discrete disciplinary fields—natural language processing, machine learning, auditing, and regulatory compliance—with limited integrative synthesis. To address this gap, the present study conducts a PRISMA 2020-compliant systematic review of 45 peer-reviewed articles indexed in Scopus and published between 2020 and 2025. The methodology combines bibliometric mapping through VOSviewer with qualitative thematic content analysis. Findings document a rapidly expanding field exhibiting a compound annual growth rate of 91.9%. Four principal thematic dimensions emerge: (i) NLP and text mining for ESG disclosure analysis; (ii) machine learning for ESG scoring and corporate performance; (iii) AI-enabled ESG assurance, auditing, and governance; and (iv) regulatory frameworks and the digital transformation of sustainability reporting. The evidence indicates that AI is progressively reshaping ESG disclosure from a largely narrative and self-reported practice into a data-driven, independently verifiable transparency system. These developments carry substantive implications for regulators, corporate practitioners, assurance providers, and investors seeking to strengthen the reliability and comparability of sustainability disclosures.","container-title":"Sustainability","DOI":"10.3390/su18115393","ISSN":"2071-1050","issue":"11","journalAbbreviation":"Sustainability","language":"en","page":"5393","source":"DOI.org (Crossref)","title":"AI and Data Analytics in Sustainable Financial Reporting and ESG Disclosure: A Systematic Literature Review","title-short":"AI and Data Analytics in Sustainable Financial Reporting and ESG Disclosure","volume":"18","author":[{"family":"Vilchez Olivares","given":"Percy Antonio"},{"family":"Astorga De La Cruz","given":"Brandelt Jesús"}],"issued":{"date-parts":[["2026",5,27]]}}},{"id":2199,"uris":["http://zotero.org/users/9870935/items/ACWB2K37"],"itemData":{"id":2199,"type":"document","title":"Towards Planet Proof Computing: Law and Policy of Data Centre Sustainability in the European Union","URL":"file:///C:/Users/mtk17/Downloads/TechReg2025.001+Commins.pdf","author":[{"literal":"Jessica Commins"}]}}],"schema":"https://github.com/citation-style-language/schema/raw/master/csl-citation.json"} </w:instrText>
      </w:r>
      <w:r w:rsidR="00AC2F22">
        <w:fldChar w:fldCharType="separate"/>
      </w:r>
      <w:r w:rsidR="00AC2F22" w:rsidRPr="00AC2F22">
        <w:t>[187], [188]</w:t>
      </w:r>
      <w:r w:rsidR="00AC2F22">
        <w:fldChar w:fldCharType="end"/>
      </w:r>
      <w:r w:rsidRPr="002108A4">
        <w:t>.</w:t>
      </w:r>
    </w:p>
    <w:p w14:paraId="780E1FB4" w14:textId="3F4E1023" w:rsidR="0017147F" w:rsidRPr="00F56D3B" w:rsidRDefault="0017147F" w:rsidP="0017147F">
      <w:pPr>
        <w:pStyle w:val="Heading1"/>
        <w:keepNext/>
        <w:rPr>
          <w:lang w:val="en-US"/>
        </w:rPr>
      </w:pPr>
      <w:r>
        <w:t>1</w:t>
      </w:r>
      <w:r w:rsidR="000717F7">
        <w:t>3</w:t>
      </w:r>
      <w:r>
        <w:t>. Future Research Directions and Emerging Technologies</w:t>
      </w:r>
    </w:p>
    <w:p w14:paraId="781FC5F3" w14:textId="77777777" w:rsidR="00104D7D" w:rsidRDefault="00104D7D" w:rsidP="00104D7D">
      <w:pPr>
        <w:spacing w:after="120"/>
        <w:ind w:firstLine="480"/>
      </w:pPr>
      <w:r>
        <w:t>This chapter identifies unresolved research questions and next-generation technologies that will shape the evolution of renewable-powered data centers over the coming decade and beyond. The analysis distinguishes between near-term opportunities (1 to 5 years), medium-term developments (5 to 10 years), and long-term transformations (10+ years).</w:t>
      </w:r>
    </w:p>
    <w:p w14:paraId="6FDD23AB" w14:textId="77777777" w:rsidR="00035D77" w:rsidRPr="00035D77" w:rsidRDefault="00035D77" w:rsidP="00035D77">
      <w:pPr>
        <w:pStyle w:val="Heading20"/>
        <w:jc w:val="both"/>
        <w:rPr>
          <w:color w:val="auto"/>
        </w:rPr>
      </w:pPr>
      <w:bookmarkStart w:id="9" w:name="_Toc100090"/>
      <w:r w:rsidRPr="00035D77">
        <w:rPr>
          <w:color w:val="auto"/>
        </w:rPr>
        <w:t>13.1 Next-Generation Computing Paradigms</w:t>
      </w:r>
      <w:bookmarkEnd w:id="9"/>
    </w:p>
    <w:p w14:paraId="448B4D8E" w14:textId="38D44C1A" w:rsidR="00C218A6" w:rsidRDefault="00C218A6" w:rsidP="00C218A6">
      <w:pPr>
        <w:spacing w:after="120"/>
        <w:ind w:firstLine="480"/>
      </w:pPr>
      <w:r>
        <w:t>While quantum computing isn't necessarily meant to out-</w:t>
      </w:r>
      <w:r>
        <w:t>compete the</w:t>
      </w:r>
      <w:r>
        <w:t xml:space="preserve"> classical GPU in the AI training and inference space, it does come with its own set of energy demands. Current quantum processors are cryogenically cooled to near-absolute-zero (10-20 milliKelvin) and demand 1-10 kW of cooling for every 10 qubits</w:t>
      </w:r>
      <w:r>
        <w:fldChar w:fldCharType="begin"/>
      </w:r>
      <w:r>
        <w:instrText xml:space="preserve"> ADDIN ZOTERO_ITEM CSL_CITATION {"citationID":"EIdPf98B","properties":{"unsorted":false,"formattedCitation":"[189]","plainCitation":"[189]","noteIndex":0},"citationItems":[{"id":2202,"uris":["http://zotero.org/users/9870935/items/4Z359E5U"],"itemData":{"id":2202,"type":"book","call-number":"QA76.889 .N54 2010","edition":"10th anniversary ed","ISBN":"978-1-107-00217-3","language":"en","number-of-pages":"676","publisher":"Cambridge University Press","publisher-place":"Cambridge ; New York","source":"Library of Congress ISBN","title":"Quantum computation and quantum information","author":[{"family":"Nielsen","given":"Michael A."},{"family":"Chuang","given":"Isaac L."}],"issued":{"date-parts":[["2010"]]}}}],"schema":"https://github.com/citation-style-language/schema/raw/master/csl-citation.json"} </w:instrText>
      </w:r>
      <w:r>
        <w:fldChar w:fldCharType="separate"/>
      </w:r>
      <w:r w:rsidRPr="00C218A6">
        <w:t>[189]</w:t>
      </w:r>
      <w:r>
        <w:fldChar w:fldCharType="end"/>
      </w:r>
      <w:r>
        <w:t>. Overall energy impact of the data center will be small, but quantum operation will require very stable power generation to avoid state decoherence.</w:t>
      </w:r>
    </w:p>
    <w:p w14:paraId="258D2328" w14:textId="39BF0018" w:rsidR="00C218A6" w:rsidRDefault="00C218A6" w:rsidP="00C218A6">
      <w:pPr>
        <w:spacing w:after="120"/>
        <w:ind w:firstLine="480"/>
      </w:pPr>
      <w:r>
        <w:t>Neuromorphic computing relies on spiking neural networks to replicate biological neural computation and could yield order-of-magnitude energy savings. Implementations of 'neuromorphic' architectures have now shown as much as 100 times greater energy efficiency than state-of-the-art GPUs for certain pattern recognition applications that are event driven</w:t>
      </w:r>
      <w:r>
        <w:fldChar w:fldCharType="begin"/>
      </w:r>
      <w:r>
        <w:instrText xml:space="preserve"> ADDIN ZOTERO_ITEM CSL_CITATION {"citationID":"nhFiMoUD","properties":{"unsorted":false,"formattedCitation":"[190]","plainCitation":"[190]","noteIndex":0},"citationItems":[{"id":2203,"uris":["http://zotero.org/users/9870935/items/FURGV6FQ"],"itemData":{"id":2203,"type":"article-journal","container-title":"Nature Computational Science","DOI":"10.1038/s43588-021-00184-y","ISSN":"2662-8457","issue":"1","journalAbbreviation":"Nat Comput Sci","language":"en","page":"10-19","source":"DOI.org (Crossref)","title":"Opportunities for neuromorphic computing algorithms and applications","volume":"2","author":[{"family":"Schuman","given":"Catherine D."},{"family":"Kulkarni","given":"Shruti R."},{"family":"Parsa","given":"Maryam"},{"family":"Mitchell","given":"J. Parker"},{"family":"Date","given":"Prasanna"},{"family":"Kay","given":"Bill"}],"issued":{"date-parts":[["2022",1,31]]}}}],"schema":"https://github.com/citation-style-language/schema/raw/master/csl-citation.json"} </w:instrText>
      </w:r>
      <w:r>
        <w:fldChar w:fldCharType="separate"/>
      </w:r>
      <w:r w:rsidRPr="00C218A6">
        <w:t>[190]</w:t>
      </w:r>
      <w:r>
        <w:fldChar w:fldCharType="end"/>
      </w:r>
      <w:r>
        <w:t>. Yet, a less-developed software ecosystem and the inability of dominant models based on transformers to support the DGX ecosystem of neuromorphic training approaches has stood as an obstacle to widespread adoption.</w:t>
      </w:r>
    </w:p>
    <w:p w14:paraId="067A7A68" w14:textId="5BE3CBD3" w:rsidR="00C218A6" w:rsidRDefault="00C218A6" w:rsidP="00131821">
      <w:pPr>
        <w:spacing w:after="120"/>
        <w:ind w:firstLine="480"/>
      </w:pPr>
      <w:r>
        <w:t>Photonic (optical) computing and interconnects are the most imminent paradigm shift for AI energy reduction. An increasing number of photonic interconnects are available commercially and are helping to solve the serious power constraint problem of copper wiring for GPU clusters, by scaling down the energy per bit needed for data communication by one order of magnitude. Not only that, there are analog optical computing processors that show a level of inference that is greater than 160 TOPS/W (trillion operations per second per watt) in laboratories</w:t>
      </w:r>
      <w:r w:rsidR="0040687D">
        <w:fldChar w:fldCharType="begin"/>
      </w:r>
      <w:r w:rsidR="0040687D">
        <w:instrText xml:space="preserve"> ADDIN ZOTERO_ITEM CSL_CITATION {"citationID":"ZGhHTglV","properties":{"unsorted":false,"formattedCitation":"[191]","plainCitation":"[191]","noteIndex":0},"citationItems":[{"id":2207,"uris":["http://zotero.org/users/9870935/items/7C2QV3UH"],"itemData":{"id":2207,"type":"article-journal","abstract":"Panel-scale reconfigurable photonic interconnects on a glass substrate up to 500-mm × 500-mm or larger are envisioned by proposing a novel photonic switch fabric that enables all directional panel-edgeto-panel-edge reach without the need for active repeaters while offering high communication bandwidth, planar-direction reconfigurability, low energy consumption, and compelling data bandwidth density for heterogeneous integration of an in-package AI computing system on a single glass-substrate photonic interposer exceeding thousands of centimeters square. The proposed approach focuses on reconfigurable photonic interconnects, which are integration-compatible with commercial processor chiplets and 3D highbandwidth memory (HBM) stacks on a large-area glass substrate, to create a novel panel-scale heterogeneously integrated interposer or package enabling low-energy and high-capacity wavelengthdivision-multiplexing (WDM) optical data links using advanced high-speed optical modulators, broadband photodetectors, novel optical crossbar switches with multi-layer waveguides, and in-package frequency comb sources.","language":"en","source":"Zotero","title":"Panel-Scale Reconfigurable Photonic Interconnects for Scalable AI Computation","author":[{"family":"Hsueh","given":"Tzu-Chien"}]}}],"schema":"https://github.com/citation-style-language/schema/raw/master/csl-citation.json"} </w:instrText>
      </w:r>
      <w:r w:rsidR="0040687D">
        <w:fldChar w:fldCharType="separate"/>
      </w:r>
      <w:r w:rsidR="0040687D" w:rsidRPr="0040687D">
        <w:t>[191]</w:t>
      </w:r>
      <w:r w:rsidR="0040687D">
        <w:fldChar w:fldCharType="end"/>
      </w:r>
      <w:r>
        <w:t>.</w:t>
      </w:r>
    </w:p>
    <w:p w14:paraId="23B698C9" w14:textId="77777777" w:rsidR="00C218A6" w:rsidRPr="00131821" w:rsidRDefault="00C218A6" w:rsidP="00131821">
      <w:pPr>
        <w:pStyle w:val="Heading20"/>
        <w:jc w:val="both"/>
        <w:rPr>
          <w:color w:val="auto"/>
        </w:rPr>
      </w:pPr>
      <w:r w:rsidRPr="00131821">
        <w:rPr>
          <w:color w:val="auto"/>
        </w:rPr>
        <w:t>13.2 Advanced Energy Storage Technologies</w:t>
      </w:r>
    </w:p>
    <w:p w14:paraId="2F1028EB" w14:textId="41B9753F" w:rsidR="00C218A6" w:rsidRDefault="00C218A6" w:rsidP="00A42F34">
      <w:pPr>
        <w:spacing w:after="120"/>
        <w:ind w:firstLine="480"/>
      </w:pPr>
      <w:r>
        <w:t xml:space="preserve">A near-term possible improvement for high-density, low-footprint energy storage is solid-state and lithium-metal batteries, which promise 2-3 times the energy density of today's </w:t>
      </w:r>
      <w:r w:rsidR="002E772B">
        <w:t>lithium-ion</w:t>
      </w:r>
      <w:r>
        <w:t xml:space="preserve"> batteries. Commercialization for stationary storage applications is now moving rapidly, and stationary pricing is expected to reach parity with LFP chemistries by the end of the decade</w:t>
      </w:r>
      <w:r w:rsidR="00A42F34">
        <w:fldChar w:fldCharType="begin"/>
      </w:r>
      <w:r w:rsidR="00A42F34">
        <w:instrText xml:space="preserve"> ADDIN ZOTERO_ITEM CSL_CITATION {"citationID":"AOjUg4op","properties":{"unsorted":false,"formattedCitation":"[192]","plainCitation":"[192]","noteIndex":0},"citationItems":[{"id":2208,"uris":["http://zotero.org/users/9870935/items/29T75H2K"],"itemData":{"id":2208,"type":"article-journal","container-title":"Electrochemical Energy Reviews","DOI":"10.1007/s41918-018-0022-z","ISSN":"2520-8489, 2520-8136","issue":"1","journalAbbreviation":"Electrochem. Energ. Rev.","language":"en","page":"1-28","source":"DOI.org (Crossref)","title":"Automotive Li-Ion Batteries: Current Status and Future Perspectives","title-short":"Automotive Li-Ion Batteries","volume":"2","author":[{"family":"Ding","given":"Yuanli"},{"family":"Cano","given":"Zachary P."},{"family":"Yu","given":"Aiping"},{"family":"Lu","given":"Jun"},{"family":"Chen","given":"Zhongwei"}],"issued":{"date-parts":[["2019",3]]}}}],"schema":"https://github.com/citation-style-language/schema/raw/master/csl-citation.json"} </w:instrText>
      </w:r>
      <w:r w:rsidR="00A42F34">
        <w:fldChar w:fldCharType="separate"/>
      </w:r>
      <w:r w:rsidR="00A42F34" w:rsidRPr="00A42F34">
        <w:t>[192]</w:t>
      </w:r>
      <w:r w:rsidR="00A42F34">
        <w:fldChar w:fldCharType="end"/>
      </w:r>
      <w:r>
        <w:t>.</w:t>
      </w:r>
    </w:p>
    <w:p w14:paraId="19FE874E" w14:textId="77777777" w:rsidR="00C218A6" w:rsidRDefault="00C218A6" w:rsidP="00C218A6">
      <w:pPr>
        <w:spacing w:after="120"/>
        <w:ind w:firstLine="480"/>
      </w:pPr>
    </w:p>
    <w:p w14:paraId="1611EA4A" w14:textId="5A85A83D" w:rsidR="0017147F" w:rsidRPr="002108A4" w:rsidRDefault="00C218A6" w:rsidP="00A42F34">
      <w:pPr>
        <w:spacing w:after="120"/>
        <w:ind w:firstLine="480"/>
      </w:pPr>
      <w:r>
        <w:lastRenderedPageBreak/>
        <w:t>Form Energy's iron air battery technology moved from pilot projects to gigawatt scale commercial production in 2026, critical for 24/7 carbon free energy matching. The iron-air deployments are designed for multi-day storage time and a considerably lower cost than lithium-ion batteries, constituting a paradigm shift for data centers that must span multi-day renewable energy deficits</w:t>
      </w:r>
      <w:r w:rsidR="00A42F34">
        <w:fldChar w:fldCharType="begin"/>
      </w:r>
      <w:r w:rsidR="00A42F34">
        <w:instrText xml:space="preserve"> ADDIN ZOTERO_ITEM CSL_CITATION {"citationID":"kXk4XAc1","properties":{"unsorted":false,"formattedCitation":"[193]","plainCitation":"[193]","noteIndex":0},"citationItems":[{"id":2210,"uris":["http://zotero.org/users/9870935/items/B883UNJW"],"itemData":{"id":2210,"type":"article-journal","container-title":"Journal of Energy Storage","DOI":"10.1016/j.est.2026.120679","ISSN":"2352152X","journalAbbreviation":"Journal of Energy Storage","language":"en","page":"120679","source":"DOI.org (Crossref)","title":"A comparison of long duration energy storage technologies based on levelized cost of storage","volume":"153","author":[{"family":"Friedel","given":"Leonhard"},{"family":"Grenz","given":"Jana"},{"family":"Hagist","given":"Christian"}],"issued":{"date-parts":[["2026",4]]}}}],"schema":"https://github.com/citation-style-language/schema/raw/master/csl-citation.json"} </w:instrText>
      </w:r>
      <w:r w:rsidR="00A42F34">
        <w:fldChar w:fldCharType="separate"/>
      </w:r>
      <w:r w:rsidR="00A42F34" w:rsidRPr="00A42F34">
        <w:t>[193]</w:t>
      </w:r>
      <w:r w:rsidR="00A42F34">
        <w:fldChar w:fldCharType="end"/>
      </w:r>
      <w:r>
        <w:t>.</w:t>
      </w:r>
      <w:r w:rsidR="002E772B">
        <w:t xml:space="preserve"> </w:t>
      </w:r>
      <w:r>
        <w:t>A low-carbon hydrogen source is able to provide seasonal storage times. Now, they say, costs need to drop dramatically, from $2/kg to less than $1/kg, for economic viability in data center backup applications—a long-term target of massive amounts of electrolyzer scale-up and reductions in renewable electricity cost.</w:t>
      </w:r>
    </w:p>
    <w:p w14:paraId="0F9B0B83" w14:textId="51361BBE" w:rsidR="00365B2C" w:rsidRDefault="00365B2C" w:rsidP="00365B2C">
      <w:pPr>
        <w:pStyle w:val="Heading20"/>
        <w:jc w:val="both"/>
      </w:pPr>
      <w:r w:rsidRPr="00131821">
        <w:rPr>
          <w:color w:val="auto"/>
        </w:rPr>
        <w:t>13.</w:t>
      </w:r>
      <w:r>
        <w:rPr>
          <w:color w:val="auto"/>
        </w:rPr>
        <w:t>3</w:t>
      </w:r>
      <w:r w:rsidRPr="00131821">
        <w:rPr>
          <w:color w:val="auto"/>
        </w:rPr>
        <w:t xml:space="preserve"> </w:t>
      </w:r>
      <w:r>
        <w:t>AI and Machine Learning for Grid Optimization</w:t>
      </w:r>
    </w:p>
    <w:p w14:paraId="7DB7FD8D" w14:textId="742A60D5" w:rsidR="00593464" w:rsidRPr="00593464" w:rsidRDefault="00593464" w:rsidP="00D85E14">
      <w:pPr>
        <w:spacing w:after="120"/>
        <w:ind w:firstLine="480"/>
      </w:pPr>
      <w:r w:rsidRPr="00593464">
        <w:t>Machine learning is being applied in many ways across the grid, be it forecasting, real-time dispatch or predictive maintenance. Technologies like spatio-temporal networks and transformer-based time-series models have shown to boost the accuracy of solar and wind forecasts by 20–30% compared to traditional numerical weather prediction models</w:t>
      </w:r>
      <w:r w:rsidR="00DE6A2A">
        <w:fldChar w:fldCharType="begin"/>
      </w:r>
      <w:r w:rsidR="00DE6A2A">
        <w:instrText xml:space="preserve"> ADDIN ZOTERO_ITEM CSL_CITATION {"citationID":"IpOR4aDm","properties":{"unsorted":false,"formattedCitation":"[193]","plainCitation":"[193]","noteIndex":0},"citationItems":[{"id":2210,"uris":["http://zotero.org/users/9870935/items/B883UNJW"],"itemData":{"id":2210,"type":"article-journal","container-title":"Journal of Energy Storage","DOI":"10.1016/j.est.2026.120679","ISSN":"2352152X","journalAbbreviation":"Journal of Energy Storage","language":"en","page":"120679","source":"DOI.org (Crossref)","title":"A comparison of long duration energy storage technologies based on levelized cost of storage","volume":"153","author":[{"family":"Friedel","given":"Leonhard"},{"family":"Grenz","given":"Jana"},{"family":"Hagist","given":"Christian"}],"issued":{"date-parts":[["2026",4]]}}}],"schema":"https://github.com/citation-style-language/schema/raw/master/csl-citation.json"} </w:instrText>
      </w:r>
      <w:r w:rsidR="00DE6A2A">
        <w:fldChar w:fldCharType="separate"/>
      </w:r>
      <w:r w:rsidR="00DE6A2A" w:rsidRPr="00DE6A2A">
        <w:t>[193]</w:t>
      </w:r>
      <w:r w:rsidR="00DE6A2A">
        <w:fldChar w:fldCharType="end"/>
      </w:r>
      <w:r w:rsidRPr="00593464">
        <w:t>.</w:t>
      </w:r>
      <w:r w:rsidRPr="00593464">
        <w:t xml:space="preserve"> </w:t>
      </w:r>
      <w:r w:rsidRPr="00593464">
        <w:t>Reinforcement learning (RL) agents are known to be highly effective in learning optimal policies for multi-microgrid dispatch, consistently outperforming conventional rule-based or purely deterministic approaches in complex multi-objective optimization problems, while continuously interacting with simulated environments. Additionally, systems for predictive maintenance with applications based on anomaly detection algorithms on the edge can detect trends in insulation degradation and mechanical degradation of equipment in substations at an early stage. This is proactive maintenance (before catastrophic fault) which can be scheduled and minimize unplanned downtime in the facility.</w:t>
      </w:r>
      <w:r w:rsidRPr="00593464">
        <w:t xml:space="preserve"> </w:t>
      </w:r>
      <w:r w:rsidRPr="00593464">
        <w:t>Developing autonomous grid control with AI is challenging in the first place because of the lack of the ability to generalize the models and provide guarantees over the training distribution, especially for high impact, low frequency extreme weather events</w:t>
      </w:r>
      <w:r w:rsidR="00D85E14">
        <w:fldChar w:fldCharType="begin"/>
      </w:r>
      <w:r w:rsidR="00D85E14">
        <w:instrText xml:space="preserve"> ADDIN ZOTERO_ITEM CSL_CITATION {"citationID":"rSU4U6il","properties":{"unsorted":false,"formattedCitation":"[194]","plainCitation":"[194]","noteIndex":0},"citationItems":[{"id":2212,"uris":["http://zotero.org/users/9870935/items/VXAENHHC"],"itemData":{"id":2212,"type":"article","abstract":"Safe Reinforcement Learning (SafeRL) is the subﬁeld of reinforcement learning that explicitly deals with safety constraints during the learning and deployment of agents. This survey provides a mathematically rigorous overview of SafeRL formulations based on Constrained Markov Decision Processes (CMDPs) and extensions to Multi-Agent Safe RL (SafeMARL). We review theoretical foundations of CMDPs, covering deﬁnitions, constrained optimization techniques, and fundamental theorems. We then summarize state-of-the-art algorithms in SafeRL for single agents, including policy gradient methods with safety guarantees and safe exploration strategies, as well as recent advances in SafeMARL for cooperative and competitive settings. Additionally, we propose ﬁve open research problems to advance the ﬁeld, with three focusing on SafeMARL. Each problem is described with motivation, key challenges, and related prior work. This survey is intended as a technical guide for researchers interested in SafeRL and SafeMARL, highlighting key concepts, methods, and open future research directions.","DOI":"10.48550/arXiv.2505.17342","language":"en","note":"arXiv:2505.17342 [cs.LG]","number":"arXiv:2505.17342","publisher":"arXiv","source":"arXiv.org","title":"A Survey of Safe Reinforcement Learning and Constrained MDPs: A Technical Survey on Single-Agent and Multi-Agent Safety","title-short":"A Survey of Safe Reinforcement Learning and Constrained MDPs","URL":"http://arxiv.org/abs/2505.17342","author":[{"family":"Kushwaha","given":"Ankita"},{"family":"Ravish","given":"Kiran"},{"family":"Lamba","given":"Preeti"},{"family":"Kumar","given":"Pawan"}],"accessed":{"date-parts":[["2026",6,6]]},"issued":{"date-parts":[["2026",4,29]]}}}],"schema":"https://github.com/citation-style-language/schema/raw/master/csl-citation.json"} </w:instrText>
      </w:r>
      <w:r w:rsidR="00D85E14">
        <w:fldChar w:fldCharType="separate"/>
      </w:r>
      <w:r w:rsidR="00D85E14" w:rsidRPr="00D85E14">
        <w:t>[194]</w:t>
      </w:r>
      <w:r w:rsidR="00D85E14">
        <w:fldChar w:fldCharType="end"/>
      </w:r>
      <w:r w:rsidRPr="00593464">
        <w:t>.</w:t>
      </w:r>
    </w:p>
    <w:p w14:paraId="57CFB083" w14:textId="77777777" w:rsidR="00593464" w:rsidRPr="00593464" w:rsidRDefault="00593464" w:rsidP="00593464">
      <w:pPr>
        <w:pStyle w:val="Heading20"/>
        <w:rPr>
          <w:color w:val="auto"/>
        </w:rPr>
      </w:pPr>
      <w:r w:rsidRPr="00593464">
        <w:rPr>
          <w:color w:val="auto"/>
        </w:rPr>
        <w:t>13.4 Challenges for a 100 percent Renewable Grid</w:t>
      </w:r>
    </w:p>
    <w:p w14:paraId="624F288D" w14:textId="29C68125" w:rsidR="00593464" w:rsidRPr="00180502" w:rsidRDefault="00593464" w:rsidP="00E07F2C">
      <w:pPr>
        <w:spacing w:after="120"/>
        <w:ind w:firstLine="480"/>
      </w:pPr>
      <w:r w:rsidRPr="00180502">
        <w:t>The structural stability challenges faced by power systems operating with a renewable penetration of more than 80</w:t>
      </w:r>
      <w:r w:rsidR="00E07F2C">
        <w:t xml:space="preserve">% </w:t>
      </w:r>
      <w:r w:rsidRPr="00180502">
        <w:t xml:space="preserve">are qualitatively different from power systems operating in a traditional manner. Conventional thermal generation has been retired, leaving frequency nadir and rate of change of frequency (RoCoF) dynamics as a significant challenge. In this operating environment, fast acting Inverter Based Resources (IBRs) with Grid-Forming Control (GFC) is required to provide synthetic inertia and help stabilize sub-second frequency deviations </w:t>
      </w:r>
      <w:r w:rsidR="00E07F2C">
        <w:fldChar w:fldCharType="begin"/>
      </w:r>
      <w:r w:rsidR="00E07F2C">
        <w:instrText xml:space="preserve"> ADDIN ZOTERO_ITEM CSL_CITATION {"citationID":"TKwvq3OP","properties":{"unsorted":false,"formattedCitation":"[195]","plainCitation":"[195]","noteIndex":0},"citationItems":[{"id":2214,"uris":["http://zotero.org/users/9870935/items/L3VF7GNN"],"itemData":{"id":2214,"type":"article-journal","abstract":"This study discusses synthetic inertia from the perspective of a transmission system operator and compares it to fast frequency response based on frequency deviation. A clear distinction of the meanings between these concepts is discussed, the basis of which is a description of their characteristics. A contribution and the purpose is the clarification of these concepts in addition to share the perspectives of a transmission system operator. The frequency response of a power system based on the Nordic system is examined for future scenarios with large amounts of wind power. Conclusions are drawn regarding the benefit of synthetic inertia compared with fast frequency response based on frequency deviation.","container-title":"IET Renewable Power Generation","DOI":"10.1049/iet-rpg.2017.0370","ISSN":"1752-1416, 1752-1424","issue":"5","journalAbbreviation":"IET Renewable Power Gen","language":"en","page":"507-514","source":"DOI.org (Crossref)","title":"Synthetic inertia versus fast frequency response: a definition","title-short":"Synthetic inertia versus fast frequency response","volume":"12","author":[{"family":"Eriksson","given":"Robert"},{"family":"Modig","given":"Niklas"},{"family":"Elkington","given":"Katherine"}],"issued":{"date-parts":[["2018",4]]}}}],"schema":"https://github.com/citation-style-language/schema/raw/master/csl-citation.json"} </w:instrText>
      </w:r>
      <w:r w:rsidR="00E07F2C">
        <w:fldChar w:fldCharType="separate"/>
      </w:r>
      <w:r w:rsidR="00E07F2C" w:rsidRPr="00E07F2C">
        <w:t>[195]</w:t>
      </w:r>
      <w:r w:rsidR="00E07F2C">
        <w:fldChar w:fldCharType="end"/>
      </w:r>
      <w:r w:rsidRPr="00180502">
        <w:t>.</w:t>
      </w:r>
    </w:p>
    <w:p w14:paraId="11D383BD" w14:textId="60B6635A" w:rsidR="00593464" w:rsidRPr="00180502" w:rsidRDefault="00593464" w:rsidP="00771877">
      <w:pPr>
        <w:spacing w:after="120"/>
        <w:ind w:firstLine="480"/>
      </w:pPr>
      <w:r w:rsidRPr="00180502">
        <w:t>Besides, weak grid conditions of low system strength and low Short Circuit Ratios (SCR) pose serious risks of control interaction and transient voltage instability when operating the equipment. With a situation of a growing number of deep generation oversupply and deep generation undersupply events, the system needs to be highly coordinated from millisecond level of dynamic voltage support to seasonal energy storage dispatch</w:t>
      </w:r>
      <w:r w:rsidR="00771877">
        <w:fldChar w:fldCharType="begin"/>
      </w:r>
      <w:r w:rsidR="00771877">
        <w:instrText xml:space="preserve"> ADDIN ZOTERO_ITEM CSL_CITATION {"citationID":"g1phXAsO","properties":{"unsorted":false,"formattedCitation":"[181]","plainCitation":"[181]","noteIndex":0},"citationItems":[{"id":2189,"uris":["http://zotero.org/users/9870935/items/U4Y7SALQ"],"itemData":{"id":2189,"type":"article-journal","abstract":"The generator side of inverter-based resources (IBRs) interfaced with back-to-back converters is electrically decoupled from the grid. During electrical faults, grid-following IBRs behave as voltagedependent current sources due to grid code requirements and converter control. This paper presents NewtonRaphson formulations for estimating short-circuit currents from IBRs using novel power ﬂow modeling approaches to address voltage-dependent current sources. The work shows how to represent dq0 current injections, which are typically implemented in control architectures based on phase-locked loops. The power ﬂow formulations are adapted to capture grid codes with diﬀerent characteristics, such as the injection of negative-sequence currents during unbalanced faults. Comparisons against a ﬁeld-validated electromagnetic transients (EMT) model reveal mean absolute errors of less than 0.5% for the proposed approach when estimating steady-state short-circuit currents from type IV wind turbine generators under grid-following control.","container-title":"IEEE Open Access Journal of Power and Energy","DOI":"10.1109/OAJPE.2026.3673646","ISSN":"2687-7910","journalAbbreviation":"IEEE Open J. Power Energy","language":"en","license":"https://creativecommons.org/licenses/by/4.0/legalcode","page":"229-239","source":"DOI.org (Crossref)","title":"Power Flow-Based Estimation of Short-Circuit Currents From Inverter-Based Resources","volume":"13","author":[{"family":"Abritta","given":"Ramon"},{"family":"Guerreiro","given":"Gabriel M. G."},{"family":"Pavlov","given":"Alexey"},{"family":"Tore Børresen","given":"Børre"},{"family":"Tedeschi","given":"Elisabetta"},{"family":"Sharma","given":"Ranjan"},{"family":"Da Silva Junior","given":"Ivo C."}],"issued":{"date-parts":[["2026"]]}}}],"schema":"https://github.com/citation-style-language/schema/raw/master/csl-citation.json"} </w:instrText>
      </w:r>
      <w:r w:rsidR="00771877">
        <w:fldChar w:fldCharType="separate"/>
      </w:r>
      <w:r w:rsidR="00771877" w:rsidRPr="00771877">
        <w:t>[181]</w:t>
      </w:r>
      <w:r w:rsidR="00771877">
        <w:fldChar w:fldCharType="end"/>
      </w:r>
      <w:r w:rsidRPr="00180502">
        <w:t>.</w:t>
      </w:r>
    </w:p>
    <w:p w14:paraId="7A71AD51" w14:textId="77777777" w:rsidR="00593464" w:rsidRPr="00180502" w:rsidRDefault="00593464" w:rsidP="00180502">
      <w:pPr>
        <w:spacing w:after="120"/>
        <w:ind w:firstLine="480"/>
      </w:pPr>
    </w:p>
    <w:p w14:paraId="51921CE3" w14:textId="4DFA530A" w:rsidR="00593464" w:rsidRDefault="00593464" w:rsidP="00771877">
      <w:pPr>
        <w:spacing w:after="120"/>
        <w:ind w:firstLine="480"/>
      </w:pPr>
      <w:r w:rsidRPr="00180502">
        <w:lastRenderedPageBreak/>
        <w:t>Unlike conventional loads, data centers can be used to stabilize low-inertia grids. They are able to run as "anchor loads" and help ensure financial certainty for new clean energy projects. At the same time, data centers can use their on-site Battery Energy Storage Systems (BESS) and flexible computing architectures to provide the balancing authority with much-needed frequency response (FR), primary frequency response (PFR) and automated demand response (ADR) services, at speeds that can be as rapid as a few seconds, or as instantaneous as a few milliseconds</w:t>
      </w:r>
      <w:r w:rsidR="00771877">
        <w:fldChar w:fldCharType="begin"/>
      </w:r>
      <w:r w:rsidR="00771877">
        <w:instrText xml:space="preserve"> ADDIN ZOTERO_ITEM CSL_CITATION {"citationID":"3pIrnlsx","properties":{"unsorted":false,"formattedCitation":"[196]","plainCitation":"[196]","noteIndex":0},"citationItems":[{"id":2215,"uris":["http://zotero.org/users/9870935/items/6KYBNJ5X"],"itemData":{"id":2215,"type":"article-journal","abstract":"Abstract\n            Recently, various distributed energy resources are significantly integrated into the modern power systems. This introduction of distributed energy resource‐rich systems can cause various power quality issues, due to their uncertainties and capacity variations. Therefore, it is crucial to establish energy balance between generation and demand to improve power system's reliability and stability and to minimize energy costs without sacrificing customers’ comfort or utility. In this regard, power system flexibility concept is highlighted as a robust and cost‐effective energy management system, especially on the demand side, to provide consumers’ demands with an acceptable level of power quality. Accordingly, here, a comprehensive review of recent developments in the power system flexibility and demand‐side management strategies and demand response programs are provided to include mainly classifications, estimation methods, distributed energy resource modelling approaches, infrastructure requirements, and applications. In addition, current research topics for applying power system flexibility solutions and demand‐side management strategies based on modern power system operation are deliberated. Also, prominent challenges, research trends, and future perspectives are discussed. Finally, this review article aims to be an appropriate reference for comprehensive research trends in the power system flexibility concept in general and in demand‐side management strategies and demand response programs, specifically.","container-title":"IET Generation, Transmission &amp; Distribution","DOI":"10.1049/gtd2.13204","ISSN":"1751-8687, 1751-8695","issue":"13","journalAbbreviation":"IET Generation Trans &amp;amp; Dist","language":"en","page":"2259-2300","source":"DOI.org (Crossref)","title":"Recent developments of demand‐side management towards flexible DER‐rich power systems: A systematic review","title-short":"Recent developments of demand‐side management towards flexible DER‐rich power systems","volume":"18","author":[{"family":"Mousa","given":"Hossam H. H."},{"family":"Mahmoud","given":"Karar"},{"family":"Lehtonen","given":"Matti"}],"issued":{"date-parts":[["2024",7]]}}}],"schema":"https://github.com/citation-style-language/schema/raw/master/csl-citation.json"} </w:instrText>
      </w:r>
      <w:r w:rsidR="00771877">
        <w:fldChar w:fldCharType="separate"/>
      </w:r>
      <w:r w:rsidR="00771877" w:rsidRPr="00771877">
        <w:t>[196]</w:t>
      </w:r>
      <w:r w:rsidR="00771877">
        <w:fldChar w:fldCharType="end"/>
      </w:r>
      <w:r w:rsidRPr="00180502">
        <w:t>.</w:t>
      </w:r>
    </w:p>
    <w:p w14:paraId="0CF7BC75" w14:textId="424D7F89" w:rsidR="00771877" w:rsidRPr="00593464" w:rsidRDefault="00771877" w:rsidP="00771877">
      <w:pPr>
        <w:pStyle w:val="Heading20"/>
        <w:rPr>
          <w:color w:val="auto"/>
        </w:rPr>
      </w:pPr>
      <w:r w:rsidRPr="00593464">
        <w:rPr>
          <w:color w:val="auto"/>
        </w:rPr>
        <w:t>13.</w:t>
      </w:r>
      <w:r>
        <w:rPr>
          <w:color w:val="auto"/>
        </w:rPr>
        <w:t>5</w:t>
      </w:r>
      <w:r w:rsidRPr="00593464">
        <w:rPr>
          <w:color w:val="auto"/>
        </w:rPr>
        <w:t xml:space="preserve"> </w:t>
      </w:r>
      <w:r w:rsidR="00977FE8">
        <w:t>Integration with Grid Modernization</w:t>
      </w:r>
    </w:p>
    <w:p w14:paraId="61DCB0B5" w14:textId="71AB0345" w:rsidR="00593464" w:rsidRPr="00931E05" w:rsidRDefault="00593464" w:rsidP="003625E3">
      <w:pPr>
        <w:spacing w:after="120"/>
        <w:ind w:firstLine="480"/>
      </w:pPr>
      <w:r w:rsidRPr="00931E05">
        <w:t>Smart grid technologies, including advanced distribution automation, localized microgrid designs and power bi-directionality, are creating fertile ground for deep data center integration. Optimized vehicle-to-grid (V2G) multi-facility aggregation could decrease a data center's stationary battery footprint by 30-50</w:t>
      </w:r>
      <w:r w:rsidR="003625E3">
        <w:t>%</w:t>
      </w:r>
      <w:r w:rsidRPr="00931E05">
        <w:t>, using co-located vehicle fleet infrastructure facilities as a single energy buffer.</w:t>
      </w:r>
      <w:r w:rsidR="00D478C8" w:rsidRPr="00931E05">
        <w:t xml:space="preserve"> </w:t>
      </w:r>
      <w:r w:rsidRPr="00931E05">
        <w:t>Another obvious optimization path is thermal modernization. Hype scale facilities are quickly moving to liquid cooling loops to support high density AI clusters and are rejecting high-grade waste heat, often in excess of 60°C. This increased temperature resource enables for very effective integration with nearby municipal district heating or district cooling systems and/or adjacent industrial processes, resulting in a significant reduction of the comprehensive Power Usage Effectiveness (PUE) and Total Resource Effectiveness (TRE) of the facility</w:t>
      </w:r>
      <w:r w:rsidR="003625E3">
        <w:fldChar w:fldCharType="begin"/>
      </w:r>
      <w:r w:rsidR="003625E3">
        <w:instrText xml:space="preserve"> ADDIN ZOTERO_ITEM CSL_CITATION {"citationID":"Gz8clESV","properties":{"unsorted":false,"formattedCitation":"[197]","plainCitation":"[197]","noteIndex":0},"citationItems":[{"id":2216,"uris":["http://zotero.org/users/9870935/items/ZB9XVSAF"],"itemData":{"id":2216,"type":"article-journal","container-title":"Heliyon","DOI":"10.1016/j.heliyon.2024.e29087","ISSN":"24058440","issue":"7","journalAbbreviation":"Heliyon","language":"en","page":"e29087","source":"DOI.org (Crossref)","title":"Cost and environmental analysis and optimization of a new and green three-level waste heat recovery-based cogeneration cycle: A comparative study","title-short":"Cost and environmental analysis and optimization of a new and green three-level waste heat recovery-based cogeneration cycle","volume":"10","author":[{"family":"Nikafshan Rad","given":"Hima"},{"family":"Ghasemi","given":"Amir"},{"family":"Marefati","given":"Mohammad"}],"issued":{"date-parts":[["2024",4]]}}}],"schema":"https://github.com/citation-style-language/schema/raw/master/csl-citation.json"} </w:instrText>
      </w:r>
      <w:r w:rsidR="003625E3">
        <w:fldChar w:fldCharType="separate"/>
      </w:r>
      <w:r w:rsidR="003625E3" w:rsidRPr="003625E3">
        <w:t>[197]</w:t>
      </w:r>
      <w:r w:rsidR="003625E3">
        <w:fldChar w:fldCharType="end"/>
      </w:r>
      <w:r w:rsidRPr="00931E05">
        <w:t>.</w:t>
      </w:r>
    </w:p>
    <w:p w14:paraId="7090D7C9" w14:textId="1A1532AE" w:rsidR="00875489" w:rsidRPr="00593464" w:rsidRDefault="00875489" w:rsidP="00875489">
      <w:pPr>
        <w:pStyle w:val="Heading20"/>
        <w:rPr>
          <w:color w:val="auto"/>
        </w:rPr>
      </w:pPr>
      <w:r w:rsidRPr="00593464">
        <w:rPr>
          <w:color w:val="auto"/>
        </w:rPr>
        <w:t>13.</w:t>
      </w:r>
      <w:r>
        <w:rPr>
          <w:color w:val="auto"/>
        </w:rPr>
        <w:t>6</w:t>
      </w:r>
      <w:r w:rsidRPr="00593464">
        <w:rPr>
          <w:color w:val="auto"/>
        </w:rPr>
        <w:t xml:space="preserve"> </w:t>
      </w:r>
      <w:r>
        <w:t>Recommendations for Future Research</w:t>
      </w:r>
    </w:p>
    <w:p w14:paraId="5F160EEC" w14:textId="66B68530" w:rsidR="00593464" w:rsidRPr="00CE10B6" w:rsidRDefault="00593464" w:rsidP="00CE10B6">
      <w:pPr>
        <w:pStyle w:val="ListParagraph"/>
        <w:numPr>
          <w:ilvl w:val="0"/>
          <w:numId w:val="7"/>
        </w:numPr>
        <w:spacing w:after="120"/>
      </w:pPr>
      <w:r w:rsidRPr="00B42D4C">
        <w:rPr>
          <w:b/>
          <w:bCs/>
        </w:rPr>
        <w:t>Long-Term Goals (5 to 10 Years):</w:t>
      </w:r>
      <w:r w:rsidRPr="00CE10B6">
        <w:t xml:space="preserve"> Implement sub-hour 24/7 CFE tracking protocols in a standard way (using cryptographic granular certificates); utilize the stability of the control loop in the grid-forming inverter (GFI) under low SCR conditions to validate stability of the control loop within data center (DC) microgrids; and field-test AI-based workload shifting in correlation with local distribution constraint signals.</w:t>
      </w:r>
    </w:p>
    <w:p w14:paraId="0B4EBA57" w14:textId="1C189D80" w:rsidR="00593464" w:rsidRPr="00CE10B6" w:rsidRDefault="00593464" w:rsidP="00CE10B6">
      <w:pPr>
        <w:pStyle w:val="ListParagraph"/>
        <w:numPr>
          <w:ilvl w:val="0"/>
          <w:numId w:val="7"/>
        </w:numPr>
        <w:spacing w:after="120"/>
      </w:pPr>
      <w:r w:rsidRPr="00B42D4C">
        <w:rPr>
          <w:b/>
          <w:bCs/>
        </w:rPr>
        <w:t>Medium-Term Priorities (5 to 10 Years):</w:t>
      </w:r>
      <w:r w:rsidRPr="00CE10B6">
        <w:t xml:space="preserve"> Assess the ways in which LDES and LLAES assets can be scaled up for use in a seasonal manner for data center backup; determine the lifecycle degradation of LDES and LLAES assets when they are scaled up; identify multiple-party co-optimization algorithms for cross-sector thermal coupling between liquid-cooled data centers and district utility networks; and characterize wide-area coordination challenges of multi-gigawatt data center clusters operating in 100 percent inverted-dominated grids.</w:t>
      </w:r>
    </w:p>
    <w:p w14:paraId="73A88A18" w14:textId="664F433E" w:rsidR="00593464" w:rsidRPr="00CE10B6" w:rsidRDefault="00593464" w:rsidP="00CE10B6">
      <w:pPr>
        <w:pStyle w:val="ListParagraph"/>
        <w:numPr>
          <w:ilvl w:val="0"/>
          <w:numId w:val="7"/>
        </w:numPr>
        <w:spacing w:after="120"/>
      </w:pPr>
      <w:r w:rsidRPr="00B42D4C">
        <w:rPr>
          <w:b/>
          <w:bCs/>
        </w:rPr>
        <w:t>Medium to long term priorities (10+ years):</w:t>
      </w:r>
      <w:r w:rsidRPr="00CE10B6">
        <w:t xml:space="preserve"> Demonstrate the operational scalability of analog optical and neuromorphic computing concepts for handling full production workloads for supporting AI training; validate the economic and logistical feasibility of large-scale green hydrogen ecosystems for providing multi-week, seasonal backup power using zero-emission energy; and develop plug-and-play standards for fully decentralised, self-healing autonomous microgrids operating in island mode.</w:t>
      </w:r>
    </w:p>
    <w:p w14:paraId="509A0D9F" w14:textId="77777777" w:rsidR="0062701F" w:rsidRDefault="008E6F28">
      <w:pPr>
        <w:pStyle w:val="Heading10"/>
        <w:rPr>
          <w:color w:val="auto"/>
        </w:rPr>
      </w:pPr>
      <w:r>
        <w:rPr>
          <w:color w:val="auto"/>
        </w:rPr>
        <w:lastRenderedPageBreak/>
        <w:t>References</w:t>
      </w:r>
    </w:p>
    <w:p w14:paraId="1F5DA495" w14:textId="77777777" w:rsidR="00CD6F8E" w:rsidRDefault="000F2608" w:rsidP="00CD6F8E">
      <w:pPr>
        <w:pStyle w:val="Bibliography"/>
      </w:pPr>
      <w:r>
        <w:rPr>
          <w:color w:val="auto"/>
        </w:rPr>
        <w:fldChar w:fldCharType="begin"/>
      </w:r>
      <w:r w:rsidR="00CD6F8E">
        <w:rPr>
          <w:color w:val="auto"/>
        </w:rPr>
        <w:instrText xml:space="preserve"> ADDIN ZOTERO_BIBL {"uncited":[],"omitted":[],"custom":[]} CSL_BIBLIOGRAPHY </w:instrText>
      </w:r>
      <w:r>
        <w:rPr>
          <w:color w:val="auto"/>
        </w:rPr>
        <w:fldChar w:fldCharType="separate"/>
      </w:r>
      <w:r w:rsidR="00CD6F8E">
        <w:t>[1]</w:t>
      </w:r>
      <w:r w:rsidR="00CD6F8E">
        <w:tab/>
        <w:t>IEA, “Data Centres and Data Transmission Networks.” [Online]. Available: https://www.iea.org/energy-system/buildings/data-centres-and-data-transmission-networks</w:t>
      </w:r>
    </w:p>
    <w:p w14:paraId="667FA891" w14:textId="77777777" w:rsidR="00CD6F8E" w:rsidRDefault="00CD6F8E" w:rsidP="00CD6F8E">
      <w:pPr>
        <w:pStyle w:val="Bibliography"/>
      </w:pPr>
      <w:r>
        <w:t>[2]</w:t>
      </w:r>
      <w:r>
        <w:tab/>
        <w:t xml:space="preserve">A. Shehabi </w:t>
      </w:r>
      <w:r>
        <w:rPr>
          <w:i/>
          <w:iCs/>
        </w:rPr>
        <w:t>et al.</w:t>
      </w:r>
      <w:r>
        <w:t>, “United States Data Center Energy Usage Report,” LBNL--1005775, 1372902, Jun. 2016. doi: 10.2172/1372902.</w:t>
      </w:r>
    </w:p>
    <w:p w14:paraId="4A72A49B" w14:textId="77777777" w:rsidR="00CD6F8E" w:rsidRDefault="00CD6F8E" w:rsidP="00CD6F8E">
      <w:pPr>
        <w:pStyle w:val="Bibliography"/>
      </w:pPr>
      <w:r>
        <w:t>[3]</w:t>
      </w:r>
      <w:r>
        <w:tab/>
        <w:t>IEA, “Energy and AI.” Accessed: Apr. 10, 2025. [Online]. Available: https://www.iea.org/reports/energy-and-ai</w:t>
      </w:r>
    </w:p>
    <w:p w14:paraId="2B21B7A9" w14:textId="77777777" w:rsidR="00CD6F8E" w:rsidRDefault="00CD6F8E" w:rsidP="00CD6F8E">
      <w:pPr>
        <w:pStyle w:val="Bibliography"/>
      </w:pPr>
      <w:r>
        <w:t>[4]</w:t>
      </w:r>
      <w:r>
        <w:tab/>
        <w:t xml:space="preserve">D. Patterson </w:t>
      </w:r>
      <w:r>
        <w:rPr>
          <w:i/>
          <w:iCs/>
        </w:rPr>
        <w:t>et al.</w:t>
      </w:r>
      <w:r>
        <w:t xml:space="preserve">, “Carbon Emissions and Large Neural Network Training,” 2021, </w:t>
      </w:r>
      <w:r>
        <w:rPr>
          <w:i/>
          <w:iCs/>
        </w:rPr>
        <w:t>arXiv</w:t>
      </w:r>
      <w:r>
        <w:t>. doi: 10.48550/ARXIV.2104.10350.</w:t>
      </w:r>
    </w:p>
    <w:p w14:paraId="478F90B5" w14:textId="77777777" w:rsidR="00CD6F8E" w:rsidRDefault="00CD6F8E" w:rsidP="00CD6F8E">
      <w:pPr>
        <w:pStyle w:val="Bibliography"/>
      </w:pPr>
      <w:r>
        <w:t>[5]</w:t>
      </w:r>
      <w:r>
        <w:tab/>
        <w:t xml:space="preserve">E. Strubell, A. Ganesh, and A. McCallum, “Energy and Policy Considerations for Deep Learning in NLP,” 2019, </w:t>
      </w:r>
      <w:r>
        <w:rPr>
          <w:i/>
          <w:iCs/>
        </w:rPr>
        <w:t>arXiv</w:t>
      </w:r>
      <w:r>
        <w:t>. doi: 10.48550/ARXIV.1906.02243.</w:t>
      </w:r>
    </w:p>
    <w:p w14:paraId="69AF4013" w14:textId="77777777" w:rsidR="00CD6F8E" w:rsidRDefault="00CD6F8E" w:rsidP="00CD6F8E">
      <w:pPr>
        <w:pStyle w:val="Bibliography"/>
      </w:pPr>
      <w:r>
        <w:t>[6]</w:t>
      </w:r>
      <w:r>
        <w:tab/>
        <w:t xml:space="preserve">F. Jeanquartier </w:t>
      </w:r>
      <w:r>
        <w:rPr>
          <w:i/>
          <w:iCs/>
        </w:rPr>
        <w:t>et al.</w:t>
      </w:r>
      <w:r>
        <w:t xml:space="preserve">, “Assessing the carbon footprint of language models: Towards sustainability in AI,” </w:t>
      </w:r>
      <w:r>
        <w:rPr>
          <w:i/>
          <w:iCs/>
        </w:rPr>
        <w:t>Resour. Conserv. Recycl.</w:t>
      </w:r>
      <w:r>
        <w:t>, vol. 226, p. 108670, Feb. 2026, doi: 10.1016/j.resconrec.2025.108670.</w:t>
      </w:r>
    </w:p>
    <w:p w14:paraId="033A0E52" w14:textId="77777777" w:rsidR="00CD6F8E" w:rsidRDefault="00CD6F8E" w:rsidP="00CD6F8E">
      <w:pPr>
        <w:pStyle w:val="Bibliography"/>
      </w:pPr>
      <w:r>
        <w:t>[7]</w:t>
      </w:r>
      <w:r>
        <w:tab/>
        <w:t xml:space="preserve">J. Shi, Z. Yang, and D. Lo, “Efficient and Green Large Language Models for Software Engineering: Literature Review, Vision, and the Road Ahead,” Dec. 04, 2024, </w:t>
      </w:r>
      <w:r>
        <w:rPr>
          <w:i/>
          <w:iCs/>
        </w:rPr>
        <w:t>arXiv</w:t>
      </w:r>
      <w:r>
        <w:t>: arXiv:2404.04566. doi: 10.48550/arXiv.2404.04566.</w:t>
      </w:r>
    </w:p>
    <w:p w14:paraId="6544051A" w14:textId="77777777" w:rsidR="00CD6F8E" w:rsidRDefault="00CD6F8E" w:rsidP="00CD6F8E">
      <w:pPr>
        <w:pStyle w:val="Bibliography"/>
      </w:pPr>
      <w:r>
        <w:t>[8]</w:t>
      </w:r>
      <w:r>
        <w:tab/>
        <w:t xml:space="preserve">X. Chen, X. Wang, A. Colacelli, M. Lee, and L. Xie, “Electricity Demand and Grid Impacts of AI Data Centers: Challenges and Prospects,” Nov. 26, 2025, </w:t>
      </w:r>
      <w:r>
        <w:rPr>
          <w:i/>
          <w:iCs/>
        </w:rPr>
        <w:t>arXiv</w:t>
      </w:r>
      <w:r>
        <w:t>: arXiv:2509.07218. doi: 10.48550/arXiv.2509.07218.</w:t>
      </w:r>
    </w:p>
    <w:p w14:paraId="7D84A1D1" w14:textId="77777777" w:rsidR="00CD6F8E" w:rsidRDefault="00CD6F8E" w:rsidP="00CD6F8E">
      <w:pPr>
        <w:pStyle w:val="Bibliography"/>
      </w:pPr>
      <w:r>
        <w:t>[9]</w:t>
      </w:r>
      <w:r>
        <w:tab/>
        <w:t xml:space="preserve">D. Donnellan </w:t>
      </w:r>
      <w:r>
        <w:rPr>
          <w:i/>
          <w:iCs/>
        </w:rPr>
        <w:t>et al.</w:t>
      </w:r>
      <w:r>
        <w:t>, “Uptime Institute Global Data Center Survey 2024,” 2024.</w:t>
      </w:r>
    </w:p>
    <w:p w14:paraId="6440CAEE" w14:textId="77777777" w:rsidR="00CD6F8E" w:rsidRDefault="00CD6F8E" w:rsidP="00CD6F8E">
      <w:pPr>
        <w:pStyle w:val="Bibliography"/>
      </w:pPr>
      <w:r>
        <w:t>[10]</w:t>
      </w:r>
      <w:r>
        <w:tab/>
        <w:t xml:space="preserve">M. Andersch </w:t>
      </w:r>
      <w:r>
        <w:rPr>
          <w:i/>
          <w:iCs/>
        </w:rPr>
        <w:t>et al.</w:t>
      </w:r>
      <w:r>
        <w:t>, “NVIDIA Hopper Architecture In-Depth”.</w:t>
      </w:r>
    </w:p>
    <w:p w14:paraId="24B5FDFB" w14:textId="77777777" w:rsidR="00CD6F8E" w:rsidRDefault="00CD6F8E" w:rsidP="00CD6F8E">
      <w:pPr>
        <w:pStyle w:val="Bibliography"/>
      </w:pPr>
      <w:r>
        <w:t>[11]</w:t>
      </w:r>
      <w:r>
        <w:tab/>
        <w:t xml:space="preserve">K. Calvin </w:t>
      </w:r>
      <w:r>
        <w:rPr>
          <w:i/>
          <w:iCs/>
        </w:rPr>
        <w:t>et al.</w:t>
      </w:r>
      <w:r>
        <w:t>, “IPCC, 2023: Climate Change 2023: Synthesis Report. Contribution of Working Groups I, II and III to the Sixth Assessment Report of the Intergovernmental Panel on Climate Change [Core Writing Team, H. Lee and J. Romero (eds.)]. IPCC, Geneva, Switzerland.,” Intergovernmental Panel on Climate Change (IPCC), Jul. 2023. doi: 10.59327/IPCC/AR6-9789291691647.</w:t>
      </w:r>
    </w:p>
    <w:p w14:paraId="74DD40C6" w14:textId="77777777" w:rsidR="00CD6F8E" w:rsidRDefault="00CD6F8E" w:rsidP="00CD6F8E">
      <w:pPr>
        <w:pStyle w:val="Bibliography"/>
      </w:pPr>
      <w:r>
        <w:t>[12]</w:t>
      </w:r>
      <w:r>
        <w:tab/>
        <w:t>“Driving sustainable innovation for society.” [Online]. Available: https://datacenters.google/operating-sustainably/</w:t>
      </w:r>
    </w:p>
    <w:p w14:paraId="670AEDC7" w14:textId="77777777" w:rsidR="00CD6F8E" w:rsidRDefault="00CD6F8E" w:rsidP="00CD6F8E">
      <w:pPr>
        <w:pStyle w:val="Bibliography"/>
      </w:pPr>
      <w:r>
        <w:t>[13]</w:t>
      </w:r>
      <w:r>
        <w:tab/>
        <w:t xml:space="preserve">D. Feldman </w:t>
      </w:r>
      <w:r>
        <w:rPr>
          <w:i/>
          <w:iCs/>
        </w:rPr>
        <w:t>et al.</w:t>
      </w:r>
      <w:r>
        <w:t>, “Spring 2024 Solar Industry Update,” NREL/PR--7A40-90042, 2376145, MainId:91820, May 2024. doi: 10.2172/2376145.</w:t>
      </w:r>
    </w:p>
    <w:p w14:paraId="2950E341" w14:textId="77777777" w:rsidR="00CD6F8E" w:rsidRDefault="00CD6F8E" w:rsidP="00CD6F8E">
      <w:pPr>
        <w:pStyle w:val="Bibliography"/>
      </w:pPr>
      <w:r>
        <w:t>[14]</w:t>
      </w:r>
      <w:r>
        <w:tab/>
        <w:t>“Renewable power generation costs in 2023”.</w:t>
      </w:r>
    </w:p>
    <w:p w14:paraId="1F2B0709" w14:textId="77777777" w:rsidR="00CD6F8E" w:rsidRDefault="00CD6F8E" w:rsidP="00CD6F8E">
      <w:pPr>
        <w:pStyle w:val="Bibliography"/>
      </w:pPr>
      <w:r>
        <w:t>[15]</w:t>
      </w:r>
      <w:r>
        <w:tab/>
        <w:t>IEA, “Wind.” Accessed: Feb. 25, 2025. [Online]. Available: https://www.iea.org/energy-system/renewables/wind</w:t>
      </w:r>
    </w:p>
    <w:p w14:paraId="50B9B69D" w14:textId="77777777" w:rsidR="00CD6F8E" w:rsidRDefault="00CD6F8E" w:rsidP="00CD6F8E">
      <w:pPr>
        <w:pStyle w:val="Bibliography"/>
      </w:pPr>
      <w:r>
        <w:t>[16]</w:t>
      </w:r>
      <w:r>
        <w:tab/>
        <w:t>“Renewable power generation costs in 2024”, [Online]. Available: https://www.rinnovabili.it/wp-content/uploads/2025/07/IRENA-RENEWABLE-POWER-GENERATION-COSTS-IN-2024.pdf</w:t>
      </w:r>
    </w:p>
    <w:p w14:paraId="7F9F96C6" w14:textId="77777777" w:rsidR="00CD6F8E" w:rsidRDefault="00CD6F8E" w:rsidP="00CD6F8E">
      <w:pPr>
        <w:pStyle w:val="Bibliography"/>
      </w:pPr>
      <w:r>
        <w:t>[17]</w:t>
      </w:r>
      <w:r>
        <w:tab/>
        <w:t>BNEF, “BNEF: Lithium-ion battery pack prices fall to $108/kWh, stationary storage becomes lowest price segment.” Accessed: Dec. 09, 2025. [Online]. Available: https://www.ess-news.com/2025/12/09/bnef-lithium-ion-battery-pack-prices-fall-to-108-kwh-stationary-storage-becomes-lowest-price-segment/</w:t>
      </w:r>
    </w:p>
    <w:p w14:paraId="28681FCB" w14:textId="77777777" w:rsidR="00CD6F8E" w:rsidRDefault="00CD6F8E" w:rsidP="00CD6F8E">
      <w:pPr>
        <w:pStyle w:val="Bibliography"/>
      </w:pPr>
      <w:r>
        <w:lastRenderedPageBreak/>
        <w:t>[18]</w:t>
      </w:r>
      <w:r>
        <w:tab/>
        <w:t xml:space="preserve">G. Song, B. Cao, and L. Chang, “Review of Grid-forming Inverters in Support of Power System Operation,” </w:t>
      </w:r>
      <w:r>
        <w:rPr>
          <w:i/>
          <w:iCs/>
        </w:rPr>
        <w:t>Chin. J. Electr. Eng.</w:t>
      </w:r>
      <w:r>
        <w:t>, vol. 8, no. 1, pp. 1–15, Mar. 2022, doi: 10.23919/CJEE.2022.000001.</w:t>
      </w:r>
    </w:p>
    <w:p w14:paraId="3D987DF2" w14:textId="77777777" w:rsidR="00CD6F8E" w:rsidRDefault="00CD6F8E" w:rsidP="00CD6F8E">
      <w:pPr>
        <w:pStyle w:val="Bibliography"/>
      </w:pPr>
      <w:r>
        <w:t>[19]</w:t>
      </w:r>
      <w:r>
        <w:tab/>
        <w:t xml:space="preserve">G. Rostirolla </w:t>
      </w:r>
      <w:r>
        <w:rPr>
          <w:i/>
          <w:iCs/>
        </w:rPr>
        <w:t>et al.</w:t>
      </w:r>
      <w:r>
        <w:t xml:space="preserve">, “A survey of challenges and solutions for the integration of renewable energy in datacenters,” </w:t>
      </w:r>
      <w:r>
        <w:rPr>
          <w:i/>
          <w:iCs/>
        </w:rPr>
        <w:t>Renew. Sustain. Energy Rev.</w:t>
      </w:r>
      <w:r>
        <w:t>, vol. 155, p. 111787, Mar. 2022, doi: 10.1016/j.rser.2021.111787.</w:t>
      </w:r>
    </w:p>
    <w:p w14:paraId="1E248688" w14:textId="77777777" w:rsidR="00CD6F8E" w:rsidRDefault="00CD6F8E" w:rsidP="00CD6F8E">
      <w:pPr>
        <w:pStyle w:val="Bibliography"/>
      </w:pPr>
      <w:r>
        <w:t>[20]</w:t>
      </w:r>
      <w:r>
        <w:tab/>
        <w:t xml:space="preserve">D. Harrison-Atlas, C. Murphy, A. Schleifer, and N. Grue, “Temporal complementarity and value of wind-PV hybrid systems across the United States,” </w:t>
      </w:r>
      <w:r>
        <w:rPr>
          <w:i/>
          <w:iCs/>
        </w:rPr>
        <w:t>Renew. Energy</w:t>
      </w:r>
      <w:r>
        <w:t>, vol. 201, pp. 111–123, Dec. 2022, doi: 10.1016/j.renene.2022.10.060.</w:t>
      </w:r>
    </w:p>
    <w:p w14:paraId="7A49CC2B" w14:textId="77777777" w:rsidR="00CD6F8E" w:rsidRDefault="00CD6F8E" w:rsidP="00CD6F8E">
      <w:pPr>
        <w:pStyle w:val="Bibliography"/>
      </w:pPr>
      <w:r>
        <w:t>[21]</w:t>
      </w:r>
      <w:r>
        <w:tab/>
        <w:t xml:space="preserve">C. Wu, X.-P. Zhang, and M. Sterling, “Solar power generation intermittency and aggregation,” </w:t>
      </w:r>
      <w:r>
        <w:rPr>
          <w:i/>
          <w:iCs/>
        </w:rPr>
        <w:t>Sci. Rep.</w:t>
      </w:r>
      <w:r>
        <w:t>, vol. 12, no. 1, p. 1363, Jan. 2022, doi: 10.1038/s41598-022-05247-2.</w:t>
      </w:r>
    </w:p>
    <w:p w14:paraId="7C2A99BC" w14:textId="77777777" w:rsidR="00CD6F8E" w:rsidRDefault="00CD6F8E" w:rsidP="00CD6F8E">
      <w:pPr>
        <w:pStyle w:val="Bibliography"/>
      </w:pPr>
      <w:r>
        <w:t>[22]</w:t>
      </w:r>
      <w:r>
        <w:tab/>
      </w:r>
      <w:r>
        <w:rPr>
          <w:i/>
          <w:iCs/>
        </w:rPr>
        <w:t>IEEE Standard for Harmonic Control in Electric Power Systems</w:t>
      </w:r>
      <w:r>
        <w:t>. doi: 10.1109/IEEESTD.2022.9848440.</w:t>
      </w:r>
    </w:p>
    <w:p w14:paraId="0958B4EA" w14:textId="77777777" w:rsidR="00CD6F8E" w:rsidRDefault="00CD6F8E" w:rsidP="00CD6F8E">
      <w:pPr>
        <w:pStyle w:val="Bibliography"/>
      </w:pPr>
      <w:r>
        <w:t>[23]</w:t>
      </w:r>
      <w:r>
        <w:tab/>
        <w:t>M. C. Offutt and L. Zhu, “Data Centers and Their Energy Consumption: Frequently Asked Questions”.</w:t>
      </w:r>
    </w:p>
    <w:p w14:paraId="2B2132FA" w14:textId="77777777" w:rsidR="00CD6F8E" w:rsidRDefault="00CD6F8E" w:rsidP="00CD6F8E">
      <w:pPr>
        <w:pStyle w:val="Bibliography"/>
      </w:pPr>
      <w:r>
        <w:t>[24]</w:t>
      </w:r>
      <w:r>
        <w:tab/>
        <w:t>“Improvements to Generator Interconnection Procedures and Agreements.” Accessed: Sep. 06, 2023. [Online]. Available: https://www.federalregister.gov/documents/2023/09/06/2023-16628/improvements-to-generator-interconnection-procedures-and-agreements</w:t>
      </w:r>
    </w:p>
    <w:p w14:paraId="33AD5C9D" w14:textId="77777777" w:rsidR="00CD6F8E" w:rsidRDefault="00CD6F8E" w:rsidP="00CD6F8E">
      <w:pPr>
        <w:pStyle w:val="Bibliography"/>
      </w:pPr>
      <w:r>
        <w:t>[25]</w:t>
      </w:r>
      <w:r>
        <w:tab/>
        <w:t xml:space="preserve">S. Cai and Z. Gou, “Towards energy-efficient data centers: A comprehensive review of passive and active cooling strategies,” </w:t>
      </w:r>
      <w:r>
        <w:rPr>
          <w:i/>
          <w:iCs/>
        </w:rPr>
        <w:t>Energy Built Environ.</w:t>
      </w:r>
      <w:r>
        <w:t>, vol. 7, no. 1, pp. 206–226, Feb. 2026, doi: 10.1016/j.enbenv.2024.08.009.</w:t>
      </w:r>
    </w:p>
    <w:p w14:paraId="1CC6CAEE" w14:textId="77777777" w:rsidR="00CD6F8E" w:rsidRDefault="00CD6F8E" w:rsidP="00CD6F8E">
      <w:pPr>
        <w:pStyle w:val="Bibliography"/>
      </w:pPr>
      <w:r>
        <w:t>[26]</w:t>
      </w:r>
      <w:r>
        <w:tab/>
        <w:t xml:space="preserve">R. Mural </w:t>
      </w:r>
      <w:r>
        <w:rPr>
          <w:i/>
          <w:iCs/>
        </w:rPr>
        <w:t>et al.</w:t>
      </w:r>
      <w:r>
        <w:t>, “AI, Data Centers, and the U.S. Electric Grid: A Watershed Moment”.</w:t>
      </w:r>
    </w:p>
    <w:p w14:paraId="1163C26A" w14:textId="77777777" w:rsidR="00CD6F8E" w:rsidRDefault="00CD6F8E" w:rsidP="00CD6F8E">
      <w:pPr>
        <w:pStyle w:val="Bibliography"/>
      </w:pPr>
      <w:r>
        <w:t>[27]</w:t>
      </w:r>
      <w:r>
        <w:tab/>
        <w:t xml:space="preserve">C. Zhao, W. Gao, F. Nie, and H. Zhou, “A Survey of GPU Multitasking Methods Supported by Hardware Architecture,” </w:t>
      </w:r>
      <w:r>
        <w:rPr>
          <w:i/>
          <w:iCs/>
        </w:rPr>
        <w:t>IEEE Trans. Parallel Distrib. Syst.</w:t>
      </w:r>
      <w:r>
        <w:t>, vol. 33, no. 6, pp. 1451–1463, Jun. 2022, doi: 10.1109/TPDS.2021.3115630.</w:t>
      </w:r>
    </w:p>
    <w:p w14:paraId="3B260798" w14:textId="77777777" w:rsidR="00CD6F8E" w:rsidRDefault="00CD6F8E" w:rsidP="00CD6F8E">
      <w:pPr>
        <w:pStyle w:val="Bibliography"/>
      </w:pPr>
      <w:r>
        <w:t>[28]</w:t>
      </w:r>
      <w:r>
        <w:tab/>
        <w:t>V. Avelar and P. Donovan, “How 6 AI Attributes Change Data Center Design”.</w:t>
      </w:r>
    </w:p>
    <w:p w14:paraId="3CFE16B4" w14:textId="77777777" w:rsidR="00CD6F8E" w:rsidRDefault="00CD6F8E" w:rsidP="00CD6F8E">
      <w:pPr>
        <w:pStyle w:val="Bibliography"/>
      </w:pPr>
      <w:r>
        <w:t>[29]</w:t>
      </w:r>
      <w:r>
        <w:tab/>
        <w:t xml:space="preserve">T. B. Brown </w:t>
      </w:r>
      <w:r>
        <w:rPr>
          <w:i/>
          <w:iCs/>
        </w:rPr>
        <w:t>et al.</w:t>
      </w:r>
      <w:r>
        <w:t xml:space="preserve">, “Language Models are Few-Shot Learners,” 2020, </w:t>
      </w:r>
      <w:r>
        <w:rPr>
          <w:i/>
          <w:iCs/>
        </w:rPr>
        <w:t>arXiv</w:t>
      </w:r>
      <w:r>
        <w:t>. doi: 10.48550/ARXIV.2005.14165.</w:t>
      </w:r>
    </w:p>
    <w:p w14:paraId="7AB9D1FA" w14:textId="77777777" w:rsidR="00CD6F8E" w:rsidRDefault="00CD6F8E" w:rsidP="00CD6F8E">
      <w:pPr>
        <w:pStyle w:val="Bibliography"/>
      </w:pPr>
      <w:r>
        <w:t>[30]</w:t>
      </w:r>
      <w:r>
        <w:tab/>
        <w:t>M. Raza, “Carbon Literacy for Generative AI: Visualizing Training Emissions Through Human-Scale Equivalents”.</w:t>
      </w:r>
    </w:p>
    <w:p w14:paraId="45B954D0" w14:textId="77777777" w:rsidR="00CD6F8E" w:rsidRDefault="00CD6F8E" w:rsidP="00CD6F8E">
      <w:pPr>
        <w:pStyle w:val="Bibliography"/>
      </w:pPr>
      <w:r>
        <w:t>[31]</w:t>
      </w:r>
      <w:r>
        <w:tab/>
        <w:t>Google, “Growing the internet while reducing energy consumption.” [Online]. Available: Growing the internet while reducing energy consumption</w:t>
      </w:r>
    </w:p>
    <w:p w14:paraId="71F7861A" w14:textId="77777777" w:rsidR="00CD6F8E" w:rsidRDefault="00CD6F8E" w:rsidP="00CD6F8E">
      <w:pPr>
        <w:pStyle w:val="Bibliography"/>
      </w:pPr>
      <w:r>
        <w:t>[32]</w:t>
      </w:r>
      <w:r>
        <w:tab/>
        <w:t xml:space="preserve">D. Al Kez, A. M. Foley, F. W. B. M. Hasan Wong, A. Dolfi, and G. Srinivasan, “AI-driven cooling technologies for high-performance data centres: state-of-the-art review and future directions,” </w:t>
      </w:r>
      <w:r>
        <w:rPr>
          <w:i/>
          <w:iCs/>
        </w:rPr>
        <w:t>Sustain. Energy Technol. Assess.</w:t>
      </w:r>
      <w:r>
        <w:t>, vol. 82, p. 104511, Oct. 2025, doi: 10.1016/j.seta.2025.104511.</w:t>
      </w:r>
    </w:p>
    <w:p w14:paraId="3FE08BC8" w14:textId="77777777" w:rsidR="00CD6F8E" w:rsidRDefault="00CD6F8E" w:rsidP="00CD6F8E">
      <w:pPr>
        <w:pStyle w:val="Bibliography"/>
      </w:pPr>
      <w:r>
        <w:t>[33]</w:t>
      </w:r>
      <w:r>
        <w:tab/>
        <w:t xml:space="preserve">X. Zhang, T. Lindberg, N. Xiong, V. Vyatkin, and A. Mousavi, “Cooling Energy Consumption Investigation of Data Center IT Room with Vertical Placed Server,” </w:t>
      </w:r>
      <w:r>
        <w:rPr>
          <w:i/>
          <w:iCs/>
        </w:rPr>
        <w:t>Energy Procedia</w:t>
      </w:r>
      <w:r>
        <w:t>, vol. 105, pp. 2047–2052, May 2017, doi: 10.1016/j.egypro.2017.03.581.</w:t>
      </w:r>
    </w:p>
    <w:p w14:paraId="245F46B5" w14:textId="77777777" w:rsidR="00CD6F8E" w:rsidRDefault="00CD6F8E" w:rsidP="00CD6F8E">
      <w:pPr>
        <w:pStyle w:val="Bibliography"/>
      </w:pPr>
      <w:r>
        <w:lastRenderedPageBreak/>
        <w:t>[34]</w:t>
      </w:r>
      <w:r>
        <w:tab/>
        <w:t xml:space="preserve">M. Azarifar, M. Arik, and J.-Y. Chang, “Liquid cooling of data centers: A necessity facing challenges,” </w:t>
      </w:r>
      <w:r>
        <w:rPr>
          <w:i/>
          <w:iCs/>
        </w:rPr>
        <w:t>Appl. Therm. Eng.</w:t>
      </w:r>
      <w:r>
        <w:t>, vol. 247, p. 123112, Jun. 2024, doi: 10.1016/j.applthermaleng.2024.123112.</w:t>
      </w:r>
    </w:p>
    <w:p w14:paraId="7628596E" w14:textId="77777777" w:rsidR="00CD6F8E" w:rsidRDefault="00CD6F8E" w:rsidP="00CD6F8E">
      <w:pPr>
        <w:pStyle w:val="Bibliography"/>
      </w:pPr>
      <w:r>
        <w:t>[35]</w:t>
      </w:r>
      <w:r>
        <w:tab/>
        <w:t xml:space="preserve">D. Zhou </w:t>
      </w:r>
      <w:r>
        <w:rPr>
          <w:i/>
          <w:iCs/>
        </w:rPr>
        <w:t>et al.</w:t>
      </w:r>
      <w:r>
        <w:t xml:space="preserve">, “Accelerating liquid cooling adoption in data centers: necessity, challenges and solutions,” </w:t>
      </w:r>
      <w:r>
        <w:rPr>
          <w:i/>
          <w:iCs/>
        </w:rPr>
        <w:t>Technol. Rev. Carbon Neutrality</w:t>
      </w:r>
      <w:r>
        <w:t>, p. 9550014, Dec. 2025, doi: 10.26599/TRCN.2025.9550014.</w:t>
      </w:r>
    </w:p>
    <w:p w14:paraId="04FBBC56" w14:textId="77777777" w:rsidR="00CD6F8E" w:rsidRDefault="00CD6F8E" w:rsidP="00CD6F8E">
      <w:pPr>
        <w:pStyle w:val="Bibliography"/>
      </w:pPr>
      <w:r>
        <w:t>[36]</w:t>
      </w:r>
      <w:r>
        <w:tab/>
        <w:t xml:space="preserve">J. Hurni </w:t>
      </w:r>
      <w:r>
        <w:rPr>
          <w:i/>
          <w:iCs/>
        </w:rPr>
        <w:t>et al.</w:t>
      </w:r>
      <w:r>
        <w:t>, “Over 31%-efficient perovskite–TOPCon solar cells enabled by AlO</w:t>
      </w:r>
      <w:r>
        <w:rPr>
          <w:vertAlign w:val="subscript"/>
        </w:rPr>
        <w:t xml:space="preserve"> </w:t>
      </w:r>
      <w:r>
        <w:rPr>
          <w:i/>
          <w:iCs/>
          <w:vertAlign w:val="subscript"/>
        </w:rPr>
        <w:t>x</w:t>
      </w:r>
      <w:r>
        <w:rPr>
          <w:vertAlign w:val="subscript"/>
        </w:rPr>
        <w:t xml:space="preserve"> </w:t>
      </w:r>
      <w:r>
        <w:t xml:space="preserve"> -based hydrogenation and front sub-micron texturing,” </w:t>
      </w:r>
      <w:r>
        <w:rPr>
          <w:i/>
          <w:iCs/>
        </w:rPr>
        <w:t>EES Sol.</w:t>
      </w:r>
      <w:r>
        <w:t>, vol. 1, no. 5, pp. 732–735, 2025, doi: 10.1039/D5EL00105F.</w:t>
      </w:r>
    </w:p>
    <w:p w14:paraId="4874EDF5" w14:textId="77777777" w:rsidR="00CD6F8E" w:rsidRDefault="00CD6F8E" w:rsidP="00CD6F8E">
      <w:pPr>
        <w:pStyle w:val="Bibliography"/>
      </w:pPr>
      <w:r>
        <w:t>[37]</w:t>
      </w:r>
      <w:r>
        <w:tab/>
        <w:t xml:space="preserve">G. Galioto, G. Vitale, A. Sferlazza, G. Lullo, and G. C. Giaconia, “Wide and Ultrawide Bandgap Power Semiconductors: A Comprehensive System-Level Review,” </w:t>
      </w:r>
      <w:r>
        <w:rPr>
          <w:i/>
          <w:iCs/>
        </w:rPr>
        <w:t>Electronics</w:t>
      </w:r>
      <w:r>
        <w:t>, vol. 15, no. 4, p. 835, Feb. 2026, doi: 10.3390/electronics15040835.</w:t>
      </w:r>
    </w:p>
    <w:p w14:paraId="48D9AB1E" w14:textId="77777777" w:rsidR="00CD6F8E" w:rsidRDefault="00CD6F8E" w:rsidP="00CD6F8E">
      <w:pPr>
        <w:pStyle w:val="Bibliography"/>
      </w:pPr>
      <w:r>
        <w:t>[38]</w:t>
      </w:r>
      <w:r>
        <w:tab/>
        <w:t xml:space="preserve">P. Blecich, I. Bonefačić, T. Senčić, and I. Wolf, “Resilience Under Heatwaves: Croatia’s Power System During the July 2024 Heatwave and the Role of Variable Renewable Energy by 2030,” </w:t>
      </w:r>
      <w:r>
        <w:rPr>
          <w:i/>
          <w:iCs/>
        </w:rPr>
        <w:t>Appl. Sci.</w:t>
      </w:r>
      <w:r>
        <w:t>, vol. 15, no. 12, p. 6440, Jun. 2025, doi: 10.3390/app15126440.</w:t>
      </w:r>
    </w:p>
    <w:p w14:paraId="618672F1" w14:textId="77777777" w:rsidR="00CD6F8E" w:rsidRDefault="00CD6F8E" w:rsidP="00CD6F8E">
      <w:pPr>
        <w:pStyle w:val="Bibliography"/>
      </w:pPr>
      <w:r>
        <w:t>[39]</w:t>
      </w:r>
      <w:r>
        <w:tab/>
        <w:t xml:space="preserve">G. Gülen, J. Das, and M. H. Young, “Assessing Economic Costs of Two Reliable Generation Mix Scenarios in the ERCOT System,” </w:t>
      </w:r>
      <w:r>
        <w:rPr>
          <w:i/>
          <w:iCs/>
        </w:rPr>
        <w:t>Energies</w:t>
      </w:r>
      <w:r>
        <w:t>, vol. 19, no. 9, p. 2195, May 2026, doi: 10.3390/en19092195.</w:t>
      </w:r>
    </w:p>
    <w:p w14:paraId="7DF4679B" w14:textId="77777777" w:rsidR="00CD6F8E" w:rsidRDefault="00CD6F8E" w:rsidP="00CD6F8E">
      <w:pPr>
        <w:pStyle w:val="Bibliography"/>
      </w:pPr>
      <w:r>
        <w:t>[40]</w:t>
      </w:r>
      <w:r>
        <w:tab/>
        <w:t xml:space="preserve">A. McCoy </w:t>
      </w:r>
      <w:r>
        <w:rPr>
          <w:i/>
          <w:iCs/>
        </w:rPr>
        <w:t>et al.</w:t>
      </w:r>
      <w:r>
        <w:t>, “Offshore Wind Market Report: 2024 Edition”.</w:t>
      </w:r>
    </w:p>
    <w:p w14:paraId="2437A045" w14:textId="77777777" w:rsidR="00CD6F8E" w:rsidRDefault="00CD6F8E" w:rsidP="00CD6F8E">
      <w:pPr>
        <w:pStyle w:val="Bibliography"/>
      </w:pPr>
      <w:r>
        <w:t>[41]</w:t>
      </w:r>
      <w:r>
        <w:tab/>
        <w:t xml:space="preserve">N. Lukač, G. Štumberger, and B. Žalik, “Wind resource assessment using airborne LiDAR data and smoothed particle hydrodynamics,” </w:t>
      </w:r>
      <w:r>
        <w:rPr>
          <w:i/>
          <w:iCs/>
        </w:rPr>
        <w:t>Environ. Model. Softw.</w:t>
      </w:r>
      <w:r>
        <w:t>, vol. 95, pp. 1–12, Sep. 2017, doi: 10.1016/j.envsoft.2017.05.006.</w:t>
      </w:r>
    </w:p>
    <w:p w14:paraId="050C2D65" w14:textId="77777777" w:rsidR="00CD6F8E" w:rsidRDefault="00CD6F8E" w:rsidP="00CD6F8E">
      <w:pPr>
        <w:pStyle w:val="Bibliography"/>
      </w:pPr>
      <w:r>
        <w:t>[42]</w:t>
      </w:r>
      <w:r>
        <w:tab/>
        <w:t xml:space="preserve">E. Virguez </w:t>
      </w:r>
      <w:r>
        <w:rPr>
          <w:i/>
          <w:iCs/>
        </w:rPr>
        <w:t>et al.</w:t>
      </w:r>
      <w:r>
        <w:t>, “Renewable energy quality trilemma and coincident wind and solar droughts”, doi: 10.17615/C4JD-4Y42.</w:t>
      </w:r>
    </w:p>
    <w:p w14:paraId="3F362341" w14:textId="77777777" w:rsidR="00CD6F8E" w:rsidRDefault="00CD6F8E" w:rsidP="00CD6F8E">
      <w:pPr>
        <w:pStyle w:val="Bibliography"/>
      </w:pPr>
      <w:r>
        <w:t>[43]</w:t>
      </w:r>
      <w:r>
        <w:tab/>
        <w:t xml:space="preserve">M. Bošnjaković, N. Veljić, J. T. Božič, and S. Muhič, “SWOT-AHP Analysis of the Importance and Adoption of Pumped-Storage Hydropower,” </w:t>
      </w:r>
      <w:r>
        <w:rPr>
          <w:i/>
          <w:iCs/>
        </w:rPr>
        <w:t>Technologies</w:t>
      </w:r>
      <w:r>
        <w:t>, vol. 13, no. 7, p. 305, Jul. 2025, doi: 10.3390/technologies13070305.</w:t>
      </w:r>
    </w:p>
    <w:p w14:paraId="1AF34ADC" w14:textId="77777777" w:rsidR="00CD6F8E" w:rsidRDefault="00CD6F8E" w:rsidP="00CD6F8E">
      <w:pPr>
        <w:pStyle w:val="Bibliography"/>
      </w:pPr>
      <w:r>
        <w:t>[44]</w:t>
      </w:r>
      <w:r>
        <w:tab/>
        <w:t xml:space="preserve">M. Catania, F. Parolin, F. Fattori, and P. Colbertaldo, “The role of hydropower in decarbonisation scenarios,” </w:t>
      </w:r>
      <w:r>
        <w:rPr>
          <w:i/>
          <w:iCs/>
        </w:rPr>
        <w:t>Renew. Energy</w:t>
      </w:r>
      <w:r>
        <w:t>, vol. 236, p. 121411, Dec. 2024, doi: 10.1016/j.renene.2024.121411.</w:t>
      </w:r>
    </w:p>
    <w:p w14:paraId="028B9006" w14:textId="77777777" w:rsidR="00CD6F8E" w:rsidRDefault="00CD6F8E" w:rsidP="00CD6F8E">
      <w:pPr>
        <w:pStyle w:val="Bibliography"/>
      </w:pPr>
      <w:r>
        <w:t>[45]</w:t>
      </w:r>
      <w:r>
        <w:tab/>
        <w:t xml:space="preserve">S. Evro, A. Ajumobi, D. Mayon, and O. S. Tomomewo, “Navigating battery choices: A comparative study of lithium iron phosphate and nickel manganese cobalt battery technologies,” </w:t>
      </w:r>
      <w:r>
        <w:rPr>
          <w:i/>
          <w:iCs/>
        </w:rPr>
        <w:t>Future Batter.</w:t>
      </w:r>
      <w:r>
        <w:t>, vol. 4, p. 100007, Dec. 2024, doi: 10.1016/j.fub.2024.100007.</w:t>
      </w:r>
    </w:p>
    <w:p w14:paraId="3F20EF33" w14:textId="77777777" w:rsidR="00CD6F8E" w:rsidRDefault="00CD6F8E" w:rsidP="00CD6F8E">
      <w:pPr>
        <w:pStyle w:val="Bibliography"/>
      </w:pPr>
      <w:r>
        <w:t>[46]</w:t>
      </w:r>
      <w:r>
        <w:tab/>
        <w:t xml:space="preserve">K. Chandra Bhowmik, Md. A. Rahman, Md. M. Billah, and A. Paul, “From Lithium‐Ion to Sodium‐Ion Batteries for Sustainable Energy Storage: A Comprehensive Review on Recent Research Advancements and Perspectives,” </w:t>
      </w:r>
      <w:r>
        <w:rPr>
          <w:i/>
          <w:iCs/>
        </w:rPr>
        <w:t>Chem. Rec.</w:t>
      </w:r>
      <w:r>
        <w:t>, vol. 24, no. 12, p. e202400176, Dec. 2024, doi: 10.1002/tcr.202400176.</w:t>
      </w:r>
    </w:p>
    <w:p w14:paraId="6D855A22" w14:textId="77777777" w:rsidR="00CD6F8E" w:rsidRDefault="00CD6F8E" w:rsidP="00CD6F8E">
      <w:pPr>
        <w:pStyle w:val="Bibliography"/>
      </w:pPr>
      <w:r>
        <w:t>[47]</w:t>
      </w:r>
      <w:r>
        <w:tab/>
        <w:t xml:space="preserve">A. Barzigar, E. Ebadati, A. S. Mujumdar, and S. M. Hosseinalipour, “A comprehensive review of vanadium redox flow batteries: Principles, benefits, and applications,” </w:t>
      </w:r>
      <w:r>
        <w:rPr>
          <w:i/>
          <w:iCs/>
        </w:rPr>
        <w:t>Res.</w:t>
      </w:r>
      <w:r>
        <w:t>, vol. 2, no. 4, p. 100767, Dec. 2025, doi: 10.1016/j.nexres.2025.100767.</w:t>
      </w:r>
    </w:p>
    <w:p w14:paraId="2FDFBCB2" w14:textId="77777777" w:rsidR="00CD6F8E" w:rsidRDefault="00CD6F8E" w:rsidP="00CD6F8E">
      <w:pPr>
        <w:pStyle w:val="Bibliography"/>
      </w:pPr>
      <w:r>
        <w:lastRenderedPageBreak/>
        <w:t>[48]</w:t>
      </w:r>
      <w:r>
        <w:tab/>
        <w:t xml:space="preserve">European Commission. Joint Research Centre </w:t>
      </w:r>
      <w:r>
        <w:rPr>
          <w:i/>
          <w:iCs/>
        </w:rPr>
        <w:t>et al.</w:t>
      </w:r>
      <w:r>
        <w:t xml:space="preserve">, </w:t>
      </w:r>
      <w:r>
        <w:rPr>
          <w:i/>
          <w:iCs/>
        </w:rPr>
        <w:t>Clean Energy Technology Observatory</w:t>
      </w:r>
      <w:r>
        <w:t>. in EUR. LU: Publications Office of the European Union, 2026. doi: 10.2760/2686206.</w:t>
      </w:r>
    </w:p>
    <w:p w14:paraId="3556B355" w14:textId="77777777" w:rsidR="00CD6F8E" w:rsidRDefault="00CD6F8E" w:rsidP="00CD6F8E">
      <w:pPr>
        <w:pStyle w:val="Bibliography"/>
      </w:pPr>
      <w:r>
        <w:t>[49]</w:t>
      </w:r>
      <w:r>
        <w:tab/>
        <w:t>U. Remme, “Global Hydrogen Review 2025,” 2025, [Online]. Available: https://iea.blob.core.windows.net/assets/12d92ecc-e960-40f3-aff5-b2de6690ab6b/GlobalHydrogenReview2025.pdf</w:t>
      </w:r>
    </w:p>
    <w:p w14:paraId="5A2AA655" w14:textId="77777777" w:rsidR="00CD6F8E" w:rsidRDefault="00CD6F8E" w:rsidP="00CD6F8E">
      <w:pPr>
        <w:pStyle w:val="Bibliography"/>
      </w:pPr>
      <w:r>
        <w:t>[50]</w:t>
      </w:r>
      <w:r>
        <w:tab/>
        <w:t xml:space="preserve">T. Jaradat and T. Khatib, “A review of battery energy storage system for renewable energy penetration in electrical power system: Environmental impact, sizing methods, market features, and policy frameworks,” </w:t>
      </w:r>
      <w:r>
        <w:rPr>
          <w:i/>
          <w:iCs/>
        </w:rPr>
        <w:t>Future Batter.</w:t>
      </w:r>
      <w:r>
        <w:t>, vol. 7, p. 100106, Sep. 2025, doi: 10.1016/j.fub.2025.100106.</w:t>
      </w:r>
    </w:p>
    <w:p w14:paraId="313BFEA5" w14:textId="77777777" w:rsidR="00CD6F8E" w:rsidRDefault="00CD6F8E" w:rsidP="00CD6F8E">
      <w:pPr>
        <w:pStyle w:val="Bibliography"/>
      </w:pPr>
      <w:r>
        <w:t>[51]</w:t>
      </w:r>
      <w:r>
        <w:tab/>
        <w:t xml:space="preserve">M. M. Rana, H. Mo, G. M. Shafiullah, L. Qiao, and D. Dong, “Optimal sizing of battery storage for cost-effective peak shaving in regional distribution networks,” </w:t>
      </w:r>
      <w:r>
        <w:rPr>
          <w:i/>
          <w:iCs/>
        </w:rPr>
        <w:t>J. Energy Storage</w:t>
      </w:r>
      <w:r>
        <w:t>, vol. 141, p. 119502, Jan. 2026, doi: 10.1016/j.est.2025.119502.</w:t>
      </w:r>
    </w:p>
    <w:p w14:paraId="65A4CBC4" w14:textId="77777777" w:rsidR="00CD6F8E" w:rsidRDefault="00CD6F8E" w:rsidP="00CD6F8E">
      <w:pPr>
        <w:pStyle w:val="Bibliography"/>
      </w:pPr>
      <w:r>
        <w:t>[52]</w:t>
      </w:r>
      <w:r>
        <w:tab/>
        <w:t xml:space="preserve">Z. Ma, “From Grid-Following to Grid-Forming: A Review of Converter Technology Paradigm Shift and Its Applications in Renewable-Rich Power Systems,” </w:t>
      </w:r>
      <w:r>
        <w:rPr>
          <w:i/>
          <w:iCs/>
        </w:rPr>
        <w:t>Adv. Eng. Res. Possibilities Chall.</w:t>
      </w:r>
      <w:r>
        <w:t>, vol. 2, no. 2, p. 37, Aug. 2025, doi: 10.63313/AERpc.9047.</w:t>
      </w:r>
    </w:p>
    <w:p w14:paraId="7E2A1782" w14:textId="77777777" w:rsidR="00CD6F8E" w:rsidRDefault="00CD6F8E" w:rsidP="00CD6F8E">
      <w:pPr>
        <w:pStyle w:val="Bibliography"/>
      </w:pPr>
      <w:r>
        <w:t>[53]</w:t>
      </w:r>
      <w:r>
        <w:tab/>
      </w:r>
      <w:r>
        <w:rPr>
          <w:i/>
          <w:iCs/>
        </w:rPr>
        <w:t>IEEE Standard for Interconnection and Interoperability of Inverter-Based Resources (IBRs) Interconnecting with Associated Transmission Electric Power Systems</w:t>
      </w:r>
      <w:r>
        <w:t>. doi: 10.1109/IEEESTD.2022.9762253.</w:t>
      </w:r>
    </w:p>
    <w:p w14:paraId="2FD4D95A" w14:textId="77777777" w:rsidR="00CD6F8E" w:rsidRDefault="00CD6F8E" w:rsidP="00CD6F8E">
      <w:pPr>
        <w:pStyle w:val="Bibliography"/>
      </w:pPr>
      <w:r>
        <w:t>[54]</w:t>
      </w:r>
      <w:r>
        <w:tab/>
        <w:t xml:space="preserve">S. Shelar, D. Bankar, and S. Bakre, “Review of revisions of IEEE 519 Standard on Power System Harmonics (1981 to 2022),” in </w:t>
      </w:r>
      <w:r>
        <w:rPr>
          <w:i/>
          <w:iCs/>
        </w:rPr>
        <w:t>2024 21st International Conference on Harmonics and Quality of Power (ICHQP)</w:t>
      </w:r>
      <w:r>
        <w:t>, Chengdu, China: IEEE, Oct. 2024, pp. 415–420. doi: 10.1109/ICHQP61174.2024.10768696.</w:t>
      </w:r>
    </w:p>
    <w:p w14:paraId="13A326BE" w14:textId="77777777" w:rsidR="00CD6F8E" w:rsidRDefault="00CD6F8E" w:rsidP="00CD6F8E">
      <w:pPr>
        <w:pStyle w:val="Bibliography"/>
      </w:pPr>
      <w:r>
        <w:t>[55]</w:t>
      </w:r>
      <w:r>
        <w:tab/>
        <w:t>Google, “Google Environmental Report 2025.” [Online]. Available: https://sustainability.google/reports/google-2025-environmental-report/</w:t>
      </w:r>
    </w:p>
    <w:p w14:paraId="751200B7" w14:textId="77777777" w:rsidR="00CD6F8E" w:rsidRDefault="00CD6F8E" w:rsidP="00CD6F8E">
      <w:pPr>
        <w:pStyle w:val="Bibliography"/>
      </w:pPr>
      <w:r>
        <w:t>[56]</w:t>
      </w:r>
      <w:r>
        <w:tab/>
        <w:t xml:space="preserve">O. A. Mavisclara </w:t>
      </w:r>
      <w:r>
        <w:rPr>
          <w:i/>
          <w:iCs/>
        </w:rPr>
        <w:t>et al.</w:t>
      </w:r>
      <w:r>
        <w:t xml:space="preserve">, “The AI-Driven Energy Surge: A comprehensive review of sustainable power solutions for data centers,” </w:t>
      </w:r>
      <w:r>
        <w:rPr>
          <w:i/>
          <w:iCs/>
        </w:rPr>
        <w:t>Glob. J. Eng. Technol. Adv.</w:t>
      </w:r>
      <w:r>
        <w:t>, vol. 24, no. 3, pp. 328–344, Sep. 2025, doi: 10.30574/gjeta.2025.24.3.0279.</w:t>
      </w:r>
    </w:p>
    <w:p w14:paraId="4EB26770" w14:textId="77777777" w:rsidR="00CD6F8E" w:rsidRDefault="00CD6F8E" w:rsidP="00CD6F8E">
      <w:pPr>
        <w:pStyle w:val="Bibliography"/>
      </w:pPr>
      <w:r>
        <w:t>[57]</w:t>
      </w:r>
      <w:r>
        <w:tab/>
        <w:t>Meta, “2025 Sustainability Report.” [Online]. Available: https://sustainability.atmeta.com/wp-content/uploads/2025/08/Meta_2025-Sustainability-Report.pdf</w:t>
      </w:r>
    </w:p>
    <w:p w14:paraId="2D371060" w14:textId="77777777" w:rsidR="00CD6F8E" w:rsidRDefault="00CD6F8E" w:rsidP="00CD6F8E">
      <w:pPr>
        <w:pStyle w:val="Bibliography"/>
      </w:pPr>
      <w:r>
        <w:t>[58]</w:t>
      </w:r>
      <w:r>
        <w:tab/>
        <w:t>BloombergNEF, “Corporate Clean Energy Buying Fell in 2025 After Nearly a Decade of Growth.”</w:t>
      </w:r>
    </w:p>
    <w:p w14:paraId="347C00CD" w14:textId="77777777" w:rsidR="00CD6F8E" w:rsidRDefault="00CD6F8E" w:rsidP="00CD6F8E">
      <w:pPr>
        <w:pStyle w:val="Bibliography"/>
      </w:pPr>
      <w:r>
        <w:t>[59]</w:t>
      </w:r>
      <w:r>
        <w:tab/>
        <w:t>Y. Panchal, S. Dubey, and R. Pathak, “Exploring the Future of Cloud Computing: A Comprehensive Study of Microsoft’s Underwater Data Centers,” vol. 12, no. 3, 2025.</w:t>
      </w:r>
    </w:p>
    <w:p w14:paraId="14378EB8" w14:textId="77777777" w:rsidR="00CD6F8E" w:rsidRDefault="00CD6F8E" w:rsidP="00CD6F8E">
      <w:pPr>
        <w:pStyle w:val="Bibliography"/>
      </w:pPr>
      <w:r>
        <w:t>[60]</w:t>
      </w:r>
      <w:r>
        <w:tab/>
        <w:t>K. Simon, “Project Natick — Microsoft’s Self-sufficient Underwater Datacenters”.</w:t>
      </w:r>
    </w:p>
    <w:p w14:paraId="326ADEF1" w14:textId="77777777" w:rsidR="00CD6F8E" w:rsidRDefault="00CD6F8E" w:rsidP="00CD6F8E">
      <w:pPr>
        <w:pStyle w:val="Bibliography"/>
      </w:pPr>
      <w:r>
        <w:t>[61]</w:t>
      </w:r>
      <w:r>
        <w:tab/>
        <w:t xml:space="preserve">G. Gülen, J. Das, and M. H. Young, “Assessing Economic Costs of Two Reliable Generation Mix Scenarios in the ERCOT System,” </w:t>
      </w:r>
      <w:r>
        <w:rPr>
          <w:i/>
          <w:iCs/>
        </w:rPr>
        <w:t>Energies</w:t>
      </w:r>
      <w:r>
        <w:t>, vol. 19, no. 9, p. 2195, May 2026, doi: 10.3390/en19092195.</w:t>
      </w:r>
    </w:p>
    <w:p w14:paraId="48F7A2EF" w14:textId="77777777" w:rsidR="00CD6F8E" w:rsidRDefault="00CD6F8E" w:rsidP="00CD6F8E">
      <w:pPr>
        <w:pStyle w:val="Bibliography"/>
      </w:pPr>
      <w:r>
        <w:t>[62]</w:t>
      </w:r>
      <w:r>
        <w:tab/>
        <w:t>Equinix, “Sustainability Report 2025.” [Online]. Available: https://delivery-p112322-e1154416.adobeaemcloud.com/adobe/assets/deliver/urn:aaid:aem:116e6fc1-6217-4132-8fcf-1dc7096396df/Equinix-Inc_2025_Sustainability-Report.pdf</w:t>
      </w:r>
    </w:p>
    <w:p w14:paraId="5F328D6E" w14:textId="77777777" w:rsidR="00CD6F8E" w:rsidRDefault="00CD6F8E" w:rsidP="00CD6F8E">
      <w:pPr>
        <w:pStyle w:val="Bibliography"/>
      </w:pPr>
      <w:r>
        <w:lastRenderedPageBreak/>
        <w:t>[63]</w:t>
      </w:r>
      <w:r>
        <w:tab/>
        <w:t xml:space="preserve">B. L. Willis </w:t>
      </w:r>
      <w:r>
        <w:rPr>
          <w:i/>
          <w:iCs/>
        </w:rPr>
        <w:t>et al.</w:t>
      </w:r>
      <w:r>
        <w:t xml:space="preserve">, “Sustainability outlook for leading silicon photovoltaic technologies from 2023–2034 in Europe,” </w:t>
      </w:r>
      <w:r>
        <w:rPr>
          <w:i/>
          <w:iCs/>
        </w:rPr>
        <w:t>EPJ Photovolt.</w:t>
      </w:r>
      <w:r>
        <w:t>, vol. 17, p. 16, 2026, doi: 10.1051/epjpv/2026009.</w:t>
      </w:r>
    </w:p>
    <w:p w14:paraId="3168904D" w14:textId="77777777" w:rsidR="00CD6F8E" w:rsidRDefault="00CD6F8E" w:rsidP="00CD6F8E">
      <w:pPr>
        <w:pStyle w:val="Bibliography"/>
      </w:pPr>
      <w:r>
        <w:t>[64]</w:t>
      </w:r>
      <w:r>
        <w:tab/>
        <w:t>Apple, “Environmental Progress Report.” [Online]. Available: https://www.apple.com/environment/pdf/Apple_Environmental_Progress_Report_2025.pdf</w:t>
      </w:r>
    </w:p>
    <w:p w14:paraId="13749D90" w14:textId="77777777" w:rsidR="00CD6F8E" w:rsidRDefault="00CD6F8E" w:rsidP="00CD6F8E">
      <w:pPr>
        <w:pStyle w:val="Bibliography"/>
      </w:pPr>
      <w:r>
        <w:t>[65]</w:t>
      </w:r>
      <w:r>
        <w:tab/>
      </w:r>
      <w:r>
        <w:rPr>
          <w:i/>
          <w:iCs/>
        </w:rPr>
        <w:t>IEEE Recommended Practice for the Design of Reliable Industrial and Commercial Power Systems (Gold Book)</w:t>
      </w:r>
      <w:r>
        <w:t>. doi: 10.1109/IEEESTD.1998.89291.</w:t>
      </w:r>
    </w:p>
    <w:p w14:paraId="7BCD4AA4" w14:textId="77777777" w:rsidR="00CD6F8E" w:rsidRDefault="00CD6F8E" w:rsidP="00CD6F8E">
      <w:pPr>
        <w:pStyle w:val="Bibliography"/>
      </w:pPr>
      <w:r>
        <w:t>[66]</w:t>
      </w:r>
      <w:r>
        <w:tab/>
        <w:t xml:space="preserve">I. Keskin and G. Soykan, “Reliability, availability, and life-cycle cost (LCC) analysis of combined cooling, heating and power (CCHP) integration to data centers considering electricity and cooling supplies,” </w:t>
      </w:r>
      <w:r>
        <w:rPr>
          <w:i/>
          <w:iCs/>
        </w:rPr>
        <w:t>Energy Convers. Manag.</w:t>
      </w:r>
      <w:r>
        <w:t>, vol. 291, p. 117254, Sep. 2023, doi: 10.1016/j.enconman.2023.117254.</w:t>
      </w:r>
    </w:p>
    <w:p w14:paraId="0DB571AA" w14:textId="77777777" w:rsidR="00CD6F8E" w:rsidRDefault="00CD6F8E" w:rsidP="00CD6F8E">
      <w:pPr>
        <w:pStyle w:val="Bibliography"/>
      </w:pPr>
      <w:r>
        <w:t>[67]</w:t>
      </w:r>
      <w:r>
        <w:tab/>
        <w:t>Nguyen Anh Huy and X. T. Nguyen, “Data center energy assessment process and energy efficiency metrics,” 2025, doi: 10.13140/RG.2.2.27710.75845.</w:t>
      </w:r>
    </w:p>
    <w:p w14:paraId="04D63272" w14:textId="77777777" w:rsidR="00CD6F8E" w:rsidRDefault="00CD6F8E" w:rsidP="00CD6F8E">
      <w:pPr>
        <w:pStyle w:val="Bibliography"/>
      </w:pPr>
      <w:r>
        <w:t>[68]</w:t>
      </w:r>
      <w:r>
        <w:tab/>
        <w:t xml:space="preserve">J. Gavrila Mailuhu, M. A.F. Haurissa, and M. Jamlaay, “Design And Construction Of Automatic Transfer Switch (ATS) System With Backup Control System In Hybrid Power Plant (PLN - PLTS - GENSET),” </w:t>
      </w:r>
      <w:r>
        <w:rPr>
          <w:i/>
          <w:iCs/>
        </w:rPr>
        <w:t>Int. J. Sci. Technol. Manag.</w:t>
      </w:r>
      <w:r>
        <w:t>, vol. 6, no. 3, pp. 520–527, Jun. 2025, doi: 10.46729/ijstm.v6i3.1316.</w:t>
      </w:r>
    </w:p>
    <w:p w14:paraId="2859EEEC" w14:textId="77777777" w:rsidR="00CD6F8E" w:rsidRDefault="00CD6F8E" w:rsidP="00CD6F8E">
      <w:pPr>
        <w:pStyle w:val="Bibliography"/>
      </w:pPr>
      <w:r>
        <w:t>[69]</w:t>
      </w:r>
      <w:r>
        <w:tab/>
        <w:t xml:space="preserve">S. Narayanaswamy, P. D. Patel, I. Karlin, A. Gupta, S. Saripalli, and J. Guo, “Datacenter Energy Optimized Power Profiles,” 2025, </w:t>
      </w:r>
      <w:r>
        <w:rPr>
          <w:i/>
          <w:iCs/>
        </w:rPr>
        <w:t>arXiv</w:t>
      </w:r>
      <w:r>
        <w:t>. doi: 10.48550/ARXIV.2510.03872.</w:t>
      </w:r>
    </w:p>
    <w:p w14:paraId="1D2F8D5B" w14:textId="77777777" w:rsidR="00CD6F8E" w:rsidRDefault="00CD6F8E" w:rsidP="00CD6F8E">
      <w:pPr>
        <w:pStyle w:val="Bibliography"/>
      </w:pPr>
      <w:r>
        <w:t>[70]</w:t>
      </w:r>
      <w:r>
        <w:tab/>
        <w:t xml:space="preserve">V. Singhania, S. Aga, and M. A. Ibrahim, “FinGraV: Methodology for Fine-Grain GPU Power Visibility and Insights,” Mar. 28, 2025, </w:t>
      </w:r>
      <w:r>
        <w:rPr>
          <w:i/>
          <w:iCs/>
        </w:rPr>
        <w:t>arXiv</w:t>
      </w:r>
      <w:r>
        <w:t>: arXiv:2412.12426. doi: 10.48550/arXiv.2412.12426.</w:t>
      </w:r>
    </w:p>
    <w:p w14:paraId="444EA9AF" w14:textId="77777777" w:rsidR="00CD6F8E" w:rsidRDefault="00CD6F8E" w:rsidP="00CD6F8E">
      <w:pPr>
        <w:pStyle w:val="Bibliography"/>
      </w:pPr>
      <w:r>
        <w:t>[71]</w:t>
      </w:r>
      <w:r>
        <w:tab/>
        <w:t xml:space="preserve">Z. Yang, G. He, Y. Li, Y. Sun, W. Luo, and W. Zhang, “Thermal management in copackaged optics: from device assembly to system operation,” </w:t>
      </w:r>
      <w:r>
        <w:rPr>
          <w:i/>
          <w:iCs/>
        </w:rPr>
        <w:t>Adv. Photonics Nexus</w:t>
      </w:r>
      <w:r>
        <w:t>, vol. 5, no. 03, Mar. 2026, doi: 10.1117/1.APN.5.3.034001.</w:t>
      </w:r>
    </w:p>
    <w:p w14:paraId="18D07F4F" w14:textId="77777777" w:rsidR="00CD6F8E" w:rsidRDefault="00CD6F8E" w:rsidP="00CD6F8E">
      <w:pPr>
        <w:pStyle w:val="Bibliography"/>
      </w:pPr>
      <w:r>
        <w:t>[72]</w:t>
      </w:r>
      <w:r>
        <w:tab/>
        <w:t xml:space="preserve">S. Mohammadi </w:t>
      </w:r>
      <w:r>
        <w:rPr>
          <w:i/>
          <w:iCs/>
        </w:rPr>
        <w:t>et al.</w:t>
      </w:r>
      <w:r>
        <w:t xml:space="preserve">, “Grid Integration of AI Data Centers: A Critical Review of Energy Storage Solutions,” May 05, 2026, </w:t>
      </w:r>
      <w:r>
        <w:rPr>
          <w:i/>
          <w:iCs/>
        </w:rPr>
        <w:t>arXiv</w:t>
      </w:r>
      <w:r>
        <w:t>: arXiv:2603.00415. doi: 10.48550/arXiv.2603.00415.</w:t>
      </w:r>
    </w:p>
    <w:p w14:paraId="11B0C049" w14:textId="77777777" w:rsidR="00CD6F8E" w:rsidRDefault="00CD6F8E" w:rsidP="00CD6F8E">
      <w:pPr>
        <w:pStyle w:val="Bibliography"/>
      </w:pPr>
      <w:r>
        <w:t>[73]</w:t>
      </w:r>
      <w:r>
        <w:tab/>
        <w:t xml:space="preserve">Niranchana Radhakrishnan, “Optimizing Data Centre Energy Efficiency with Dynamic Resource Allocation and Intelligent Cooling Management through Machine Learning,” </w:t>
      </w:r>
      <w:r>
        <w:rPr>
          <w:i/>
          <w:iCs/>
        </w:rPr>
        <w:t>J. Electr. Syst.</w:t>
      </w:r>
      <w:r>
        <w:t>, vol. 20, no. 3s, pp. 286–293, Apr. 2024, doi: 10.52783/jes.1287.</w:t>
      </w:r>
    </w:p>
    <w:p w14:paraId="44CD680B" w14:textId="77777777" w:rsidR="00CD6F8E" w:rsidRDefault="00CD6F8E" w:rsidP="00CD6F8E">
      <w:pPr>
        <w:pStyle w:val="Bibliography"/>
      </w:pPr>
      <w:r>
        <w:t>[74]</w:t>
      </w:r>
      <w:r>
        <w:tab/>
        <w:t xml:space="preserve">T. W. A. Putra, N. D. Setiawan, and R. Rusito, “The Use of Machine Learning for Efficient Energy Management in Big Data-Based Computing Systems,” </w:t>
      </w:r>
      <w:r>
        <w:rPr>
          <w:i/>
          <w:iCs/>
        </w:rPr>
        <w:t>J. Technol. Inform. Eng.</w:t>
      </w:r>
      <w:r>
        <w:t>, vol. 3, no. 3, pp. 324–336, Dec. 2024, doi: 10.51903/jtie.v3i3.202.</w:t>
      </w:r>
    </w:p>
    <w:p w14:paraId="171D3854" w14:textId="77777777" w:rsidR="00CD6F8E" w:rsidRDefault="00CD6F8E" w:rsidP="00CD6F8E">
      <w:pPr>
        <w:pStyle w:val="Bibliography"/>
      </w:pPr>
      <w:r>
        <w:t>[75]</w:t>
      </w:r>
      <w:r>
        <w:tab/>
        <w:t>IEC, “Electrical Energy Storage.” [Online]. Available: https://iec.ch/system/files/2019-09/content/media/files/iec_wp-electrical_energy_storage-en.pdf</w:t>
      </w:r>
    </w:p>
    <w:p w14:paraId="5706A92F" w14:textId="77777777" w:rsidR="00CD6F8E" w:rsidRDefault="00CD6F8E" w:rsidP="00CD6F8E">
      <w:pPr>
        <w:pStyle w:val="Bibliography"/>
      </w:pPr>
      <w:r>
        <w:t>[76]</w:t>
      </w:r>
      <w:r>
        <w:tab/>
        <w:t xml:space="preserve">Y. Sheng </w:t>
      </w:r>
      <w:r>
        <w:rPr>
          <w:i/>
          <w:iCs/>
        </w:rPr>
        <w:t>et al.</w:t>
      </w:r>
      <w:r>
        <w:t xml:space="preserve">, “Power for AI Data Centers: Energy Demand, Grid Impacts, Challenges and Perspectives,” </w:t>
      </w:r>
      <w:r>
        <w:rPr>
          <w:i/>
          <w:iCs/>
        </w:rPr>
        <w:t>Energies</w:t>
      </w:r>
      <w:r>
        <w:t>, vol. 19, no. 3, p. 722, Jan. 2026, doi: 10.3390/en19030722.</w:t>
      </w:r>
    </w:p>
    <w:p w14:paraId="35955288" w14:textId="77777777" w:rsidR="00CD6F8E" w:rsidRDefault="00CD6F8E" w:rsidP="00CD6F8E">
      <w:pPr>
        <w:pStyle w:val="Bibliography"/>
      </w:pPr>
      <w:r>
        <w:t>[77]</w:t>
      </w:r>
      <w:r>
        <w:tab/>
        <w:t xml:space="preserve">E. Eslami, “Air Quality and Greenhouse Gas Emissions Assessment of Data Centers in Texas: Quantifying Impacts and Environmental Tradeoffs,” 2025, </w:t>
      </w:r>
      <w:r>
        <w:rPr>
          <w:i/>
          <w:iCs/>
        </w:rPr>
        <w:t>arXiv</w:t>
      </w:r>
      <w:r>
        <w:t>. doi: 10.48550/ARXIV.2509.21312.</w:t>
      </w:r>
    </w:p>
    <w:p w14:paraId="3C8BF8CF" w14:textId="77777777" w:rsidR="00CD6F8E" w:rsidRDefault="00CD6F8E" w:rsidP="00CD6F8E">
      <w:pPr>
        <w:pStyle w:val="Bibliography"/>
      </w:pPr>
      <w:r>
        <w:lastRenderedPageBreak/>
        <w:t>[78]</w:t>
      </w:r>
      <w:r>
        <w:tab/>
        <w:t xml:space="preserve">Y. Tang, X. Bai, C. Jin, Y. Fu, W. Mao, and X. Xu, “Experimental and numerical study on the thermal environment of a data center,” </w:t>
      </w:r>
      <w:r>
        <w:rPr>
          <w:i/>
          <w:iCs/>
        </w:rPr>
        <w:t>Build. Environ.</w:t>
      </w:r>
      <w:r>
        <w:t>, vol. 212, p. 108741, Mar. 2022, doi: 10.1016/j.buildenv.2021.108741.</w:t>
      </w:r>
    </w:p>
    <w:p w14:paraId="60D4E906" w14:textId="77777777" w:rsidR="00CD6F8E" w:rsidRDefault="00CD6F8E" w:rsidP="00CD6F8E">
      <w:pPr>
        <w:pStyle w:val="Bibliography"/>
      </w:pPr>
      <w:r>
        <w:t>[79]</w:t>
      </w:r>
      <w:r>
        <w:tab/>
        <w:t xml:space="preserve">C. S. D. and S. Abimannan, “Energy Efficient Free Cooling System for Data Centers,” in </w:t>
      </w:r>
      <w:r>
        <w:rPr>
          <w:i/>
          <w:iCs/>
        </w:rPr>
        <w:t>2011 IEEE Third International Conference on Cloud Computing Technology and Science</w:t>
      </w:r>
      <w:r>
        <w:t>, Athens, Greece: IEEE, Nov. 2011, pp. 646–651. doi: 10.1109/CloudCom.2011.100.</w:t>
      </w:r>
    </w:p>
    <w:p w14:paraId="62FC847D" w14:textId="77777777" w:rsidR="00CD6F8E" w:rsidRDefault="00CD6F8E" w:rsidP="00CD6F8E">
      <w:pPr>
        <w:pStyle w:val="Bibliography"/>
      </w:pPr>
      <w:r>
        <w:t>[80]</w:t>
      </w:r>
      <w:r>
        <w:tab/>
        <w:t xml:space="preserve">J. Yuan, Y. Yan, X. Zhang, X. Kong, and T. Zhang, “Coupling of flexible phase change materials and servers for improving the security of data centers in emergency situations,” </w:t>
      </w:r>
      <w:r>
        <w:rPr>
          <w:i/>
          <w:iCs/>
        </w:rPr>
        <w:t>Appl. Therm. Eng.</w:t>
      </w:r>
      <w:r>
        <w:t>, vol. 242, p. 122439, Apr. 2024, doi: 10.1016/j.applthermaleng.2024.122439.</w:t>
      </w:r>
    </w:p>
    <w:p w14:paraId="0C738C2D" w14:textId="77777777" w:rsidR="00CD6F8E" w:rsidRDefault="00CD6F8E" w:rsidP="00CD6F8E">
      <w:pPr>
        <w:pStyle w:val="Bibliography"/>
      </w:pPr>
      <w:r>
        <w:t>[81]</w:t>
      </w:r>
      <w:r>
        <w:tab/>
      </w:r>
      <w:r>
        <w:rPr>
          <w:i/>
          <w:iCs/>
        </w:rPr>
        <w:t>IEEE Recommended Practice for Powering and Grounding Electronic Equipment</w:t>
      </w:r>
      <w:r>
        <w:t>. doi: 10.1109/IEEESTD.1999.90559.</w:t>
      </w:r>
    </w:p>
    <w:p w14:paraId="47D548E1" w14:textId="77777777" w:rsidR="00CD6F8E" w:rsidRDefault="00CD6F8E" w:rsidP="00CD6F8E">
      <w:pPr>
        <w:pStyle w:val="Bibliography"/>
      </w:pPr>
      <w:r>
        <w:t>[82]</w:t>
      </w:r>
      <w:r>
        <w:tab/>
        <w:t>R. Siddique, “Active Power Filters for Harmonic Mitigation in Power Systems”.</w:t>
      </w:r>
    </w:p>
    <w:p w14:paraId="5C59B1DC" w14:textId="77777777" w:rsidR="00CD6F8E" w:rsidRDefault="00CD6F8E" w:rsidP="00CD6F8E">
      <w:pPr>
        <w:pStyle w:val="Bibliography"/>
      </w:pPr>
      <w:r>
        <w:t>[83]</w:t>
      </w:r>
      <w:r>
        <w:tab/>
        <w:t xml:space="preserve">A. Santos, G. Duggan, S. Frank, D. Gerber, and D. Zimmerle, “Endpoint Use Efficiency Comparison for AC and DC Power Distribution in Commercial Buildings,” </w:t>
      </w:r>
      <w:r>
        <w:rPr>
          <w:i/>
          <w:iCs/>
        </w:rPr>
        <w:t>Energies</w:t>
      </w:r>
      <w:r>
        <w:t>, vol. 14, no. 18, p. 5863, Sep. 2021, doi: 10.3390/en14185863.</w:t>
      </w:r>
    </w:p>
    <w:p w14:paraId="780921C1" w14:textId="77777777" w:rsidR="00CD6F8E" w:rsidRDefault="00CD6F8E" w:rsidP="00CD6F8E">
      <w:pPr>
        <w:pStyle w:val="Bibliography"/>
      </w:pPr>
      <w:r>
        <w:t>[84]</w:t>
      </w:r>
      <w:r>
        <w:tab/>
        <w:t xml:space="preserve">A. F. Snyder and M. T. G. Stuber, “The ANSI C12 protocol suite - updated and now with network capabilities,” in </w:t>
      </w:r>
      <w:r>
        <w:rPr>
          <w:i/>
          <w:iCs/>
        </w:rPr>
        <w:t>2007 Power Systems Conference: Advanced Metering, Protection, Control, Communication, and Distributed Resources</w:t>
      </w:r>
      <w:r>
        <w:t>, Clemson, SC, USA: IEEE, Mar. 2007, pp. 117–122. doi: 10.1109/PSAMP.2007.4740906.</w:t>
      </w:r>
    </w:p>
    <w:p w14:paraId="1160EB58" w14:textId="77777777" w:rsidR="00CD6F8E" w:rsidRDefault="00CD6F8E" w:rsidP="00CD6F8E">
      <w:pPr>
        <w:pStyle w:val="Bibliography"/>
      </w:pPr>
      <w:r>
        <w:t>[85]</w:t>
      </w:r>
      <w:r>
        <w:tab/>
        <w:t xml:space="preserve">J. Li, C. Wang, and Y. Liu, “AI Driven Virtual Power Plants: A Comprehensive Review,” Jan. 22, 2026, </w:t>
      </w:r>
      <w:r>
        <w:rPr>
          <w:i/>
          <w:iCs/>
        </w:rPr>
        <w:t>Engineering</w:t>
      </w:r>
      <w:r>
        <w:t>. doi: 10.20944/preprints202601.1691.v1.</w:t>
      </w:r>
    </w:p>
    <w:p w14:paraId="4E3136C1" w14:textId="77777777" w:rsidR="00CD6F8E" w:rsidRDefault="00CD6F8E" w:rsidP="00CD6F8E">
      <w:pPr>
        <w:pStyle w:val="Bibliography"/>
      </w:pPr>
      <w:r>
        <w:t>[86]</w:t>
      </w:r>
      <w:r>
        <w:tab/>
        <w:t xml:space="preserve">S. Jadhav and Z. Liu, “Digital Twin-Based Cooling System Optimization for Data Center,” 2026, </w:t>
      </w:r>
      <w:r>
        <w:rPr>
          <w:i/>
          <w:iCs/>
        </w:rPr>
        <w:t>arXiv</w:t>
      </w:r>
      <w:r>
        <w:t>. doi: 10.48550/ARXIV.2603.01198.</w:t>
      </w:r>
    </w:p>
    <w:p w14:paraId="510E7543" w14:textId="77777777" w:rsidR="00CD6F8E" w:rsidRDefault="00CD6F8E" w:rsidP="00CD6F8E">
      <w:pPr>
        <w:pStyle w:val="Bibliography"/>
      </w:pPr>
      <w:r>
        <w:t>[87]</w:t>
      </w:r>
      <w:r>
        <w:tab/>
        <w:t>NREL, “National Renewable Energy Laboratory (NREL). (2026).” [Online]. Available: https://atb.nrel.gov/</w:t>
      </w:r>
    </w:p>
    <w:p w14:paraId="32B55B70" w14:textId="77777777" w:rsidR="00CD6F8E" w:rsidRDefault="00CD6F8E" w:rsidP="00CD6F8E">
      <w:pPr>
        <w:pStyle w:val="Bibliography"/>
      </w:pPr>
      <w:r>
        <w:t>[88]</w:t>
      </w:r>
      <w:r>
        <w:tab/>
        <w:t>NREL, “National Renewable Energy Laboratory (NREL).” [Online]. Available: https://www.google.com/search?q=https://atb.nrel.gov/electricity</w:t>
      </w:r>
    </w:p>
    <w:p w14:paraId="7281B831" w14:textId="77777777" w:rsidR="00CD6F8E" w:rsidRDefault="00CD6F8E" w:rsidP="00CD6F8E">
      <w:pPr>
        <w:pStyle w:val="Bibliography"/>
      </w:pPr>
      <w:r>
        <w:t>[89]</w:t>
      </w:r>
      <w:r>
        <w:tab/>
        <w:t xml:space="preserve">E. Förstner </w:t>
      </w:r>
      <w:r>
        <w:rPr>
          <w:i/>
          <w:iCs/>
        </w:rPr>
        <w:t>et al.</w:t>
      </w:r>
      <w:r>
        <w:t>, “Photovoltaic system reduces grid voltage waveform distortions in the frequency range from 700 Hz to 1250 Hz,” 2026, doi: 10.5445/IR/1000191363.</w:t>
      </w:r>
    </w:p>
    <w:p w14:paraId="75842E34" w14:textId="77777777" w:rsidR="00CD6F8E" w:rsidRDefault="00CD6F8E" w:rsidP="00CD6F8E">
      <w:pPr>
        <w:pStyle w:val="Bibliography"/>
      </w:pPr>
      <w:r>
        <w:t>[90]</w:t>
      </w:r>
      <w:r>
        <w:tab/>
        <w:t xml:space="preserve">L. Liu, H. Matayoshi, M. E. Lotfy, M. Datta, and T. Senjyu, “Load Frequency Control Using Demand Response and Storage Battery by Considering Renewable Energy Sources,” </w:t>
      </w:r>
      <w:r>
        <w:rPr>
          <w:i/>
          <w:iCs/>
        </w:rPr>
        <w:t>Energies</w:t>
      </w:r>
      <w:r>
        <w:t>, vol. 11, no. 12, p. 3412, Dec. 2018, doi: 10.3390/en11123412.</w:t>
      </w:r>
    </w:p>
    <w:p w14:paraId="6AED6B36" w14:textId="77777777" w:rsidR="00CD6F8E" w:rsidRDefault="00CD6F8E" w:rsidP="00CD6F8E">
      <w:pPr>
        <w:pStyle w:val="Bibliography"/>
      </w:pPr>
      <w:r>
        <w:t>[91]</w:t>
      </w:r>
      <w:r>
        <w:tab/>
        <w:t xml:space="preserve">O. Ndindayino, A. Puel, and J. Meyers, “Effect of blockage on wind turbine power and wake development,” Feb. 12, 2025, </w:t>
      </w:r>
      <w:r>
        <w:rPr>
          <w:i/>
          <w:iCs/>
        </w:rPr>
        <w:t>Fluid mechanics/Wakes and wind farm aerodynamics</w:t>
      </w:r>
      <w:r>
        <w:t>. doi: 10.5194/wes-2025-6.</w:t>
      </w:r>
    </w:p>
    <w:p w14:paraId="3136ED3B" w14:textId="77777777" w:rsidR="00CD6F8E" w:rsidRDefault="00CD6F8E" w:rsidP="00CD6F8E">
      <w:pPr>
        <w:pStyle w:val="Bibliography"/>
      </w:pPr>
      <w:r>
        <w:t>[92]</w:t>
      </w:r>
      <w:r>
        <w:tab/>
        <w:t xml:space="preserve">P. Toufani, E. C. Karakoyun, E. Nadar, O. B. Fosso, and A. S. Kocaman, “Optimization of pumped hydro energy storage systems under uncertainty: A review,” </w:t>
      </w:r>
      <w:r>
        <w:rPr>
          <w:i/>
          <w:iCs/>
        </w:rPr>
        <w:t>J. Energy Storage</w:t>
      </w:r>
      <w:r>
        <w:t>, vol. 73, p. 109306, Dec. 2023, doi: 10.1016/j.est.2023.109306.</w:t>
      </w:r>
    </w:p>
    <w:p w14:paraId="2337B897" w14:textId="77777777" w:rsidR="00CD6F8E" w:rsidRDefault="00CD6F8E" w:rsidP="00CD6F8E">
      <w:pPr>
        <w:pStyle w:val="Bibliography"/>
      </w:pPr>
      <w:r>
        <w:t>[93]</w:t>
      </w:r>
      <w:r>
        <w:tab/>
        <w:t xml:space="preserve">J. F. S. De Paula, J. L. De Souza Silva, M. V. De Paula, G. Fraidenraich, and T. A. Dos Santos Barros, “A Two-Stage Methodology for Accurate PV Energy Yield Estimation Using Satellite Weather Data and PV Modeling Python Library,” in </w:t>
      </w:r>
      <w:r>
        <w:rPr>
          <w:i/>
          <w:iCs/>
        </w:rPr>
        <w:t xml:space="preserve">2025 Brazilian </w:t>
      </w:r>
      <w:r>
        <w:rPr>
          <w:i/>
          <w:iCs/>
        </w:rPr>
        <w:lastRenderedPageBreak/>
        <w:t>Power Electronics Conference (COBEP)</w:t>
      </w:r>
      <w:r>
        <w:t>, Vitoria, Brazil: IEEE, Oct. 2025, pp. 1–6. doi: 10.1109/COBEP66423.2025.11231587.</w:t>
      </w:r>
    </w:p>
    <w:p w14:paraId="2BB14FA0" w14:textId="77777777" w:rsidR="00CD6F8E" w:rsidRDefault="00CD6F8E" w:rsidP="00CD6F8E">
      <w:pPr>
        <w:pStyle w:val="Bibliography"/>
      </w:pPr>
      <w:r>
        <w:t>[94]</w:t>
      </w:r>
      <w:r>
        <w:tab/>
        <w:t xml:space="preserve">M. Ernst and J. Gooday, “Methodology for generating high time resolution typical meteorological year data for accurate photovoltaic energy yield modelling,” </w:t>
      </w:r>
      <w:r>
        <w:rPr>
          <w:i/>
          <w:iCs/>
        </w:rPr>
        <w:t>Sol. Energy</w:t>
      </w:r>
      <w:r>
        <w:t>, vol. 189, pp. 299–306, Sep. 2019, doi: 10.1016/j.solener.2019.07.069.</w:t>
      </w:r>
    </w:p>
    <w:p w14:paraId="4C486DA3" w14:textId="77777777" w:rsidR="00CD6F8E" w:rsidRDefault="00CD6F8E" w:rsidP="00CD6F8E">
      <w:pPr>
        <w:pStyle w:val="Bibliography"/>
      </w:pPr>
      <w:r>
        <w:t>[95]</w:t>
      </w:r>
      <w:r>
        <w:tab/>
        <w:t xml:space="preserve">A. K. Nassar </w:t>
      </w:r>
      <w:r>
        <w:rPr>
          <w:i/>
          <w:iCs/>
        </w:rPr>
        <w:t>et al.</w:t>
      </w:r>
      <w:r>
        <w:t xml:space="preserve">, “Multi-criteria GIS-based approach for optimal site selection of solar and wind energy,” </w:t>
      </w:r>
      <w:r>
        <w:rPr>
          <w:i/>
          <w:iCs/>
        </w:rPr>
        <w:t>Unconv. Resour.</w:t>
      </w:r>
      <w:r>
        <w:t>, vol. 7, p. 100192, Jul. 2025, doi: 10.1016/j.uncres.2025.100192.</w:t>
      </w:r>
    </w:p>
    <w:p w14:paraId="11A2EF1E" w14:textId="77777777" w:rsidR="00CD6F8E" w:rsidRDefault="00CD6F8E" w:rsidP="00CD6F8E">
      <w:pPr>
        <w:pStyle w:val="Bibliography"/>
      </w:pPr>
      <w:r>
        <w:t>[96]</w:t>
      </w:r>
      <w:r>
        <w:tab/>
        <w:t xml:space="preserve">T. Anderson, “An improved typical meteorological year for solar energy simulations in Rarotonga, Cook Islands,” </w:t>
      </w:r>
      <w:r>
        <w:rPr>
          <w:i/>
          <w:iCs/>
        </w:rPr>
        <w:t>J. R. Soc. N. Z.</w:t>
      </w:r>
      <w:r>
        <w:t>, vol. 52, no. 5, pp. 606–613, Oct. 2022, doi: 10.1080/03036758.2021.2013262.</w:t>
      </w:r>
    </w:p>
    <w:p w14:paraId="32BC10C4" w14:textId="77777777" w:rsidR="00CD6F8E" w:rsidRDefault="00CD6F8E" w:rsidP="00CD6F8E">
      <w:pPr>
        <w:pStyle w:val="Bibliography"/>
      </w:pPr>
      <w:r>
        <w:t>[97]</w:t>
      </w:r>
      <w:r>
        <w:tab/>
        <w:t xml:space="preserve">C. Jung and D. Schindler, “Projections of energy yield- and complementarity-driven wind energy expansion scenarios in the European Union,” </w:t>
      </w:r>
      <w:r>
        <w:rPr>
          <w:i/>
          <w:iCs/>
        </w:rPr>
        <w:t>Energy Convers. Manag.</w:t>
      </w:r>
      <w:r>
        <w:t>, vol. 269, p. 116160, Oct. 2022, doi: 10.1016/j.enconman.2022.116160.</w:t>
      </w:r>
    </w:p>
    <w:p w14:paraId="73DBF1E3" w14:textId="77777777" w:rsidR="00CD6F8E" w:rsidRDefault="00CD6F8E" w:rsidP="00CD6F8E">
      <w:pPr>
        <w:pStyle w:val="Bibliography"/>
      </w:pPr>
      <w:r>
        <w:t>[98]</w:t>
      </w:r>
      <w:r>
        <w:tab/>
        <w:t xml:space="preserve">M. Li </w:t>
      </w:r>
      <w:r>
        <w:rPr>
          <w:i/>
          <w:iCs/>
        </w:rPr>
        <w:t>et al.</w:t>
      </w:r>
      <w:r>
        <w:t xml:space="preserve">, “Renewable energy quality trilemma and coincident wind and solar droughts,” </w:t>
      </w:r>
      <w:r>
        <w:rPr>
          <w:i/>
          <w:iCs/>
        </w:rPr>
        <w:t>Commun. Earth Environ.</w:t>
      </w:r>
      <w:r>
        <w:t>, vol. 5, no. 1, p. 661, Nov. 2024, doi: 10.1038/s43247-024-01850-5.</w:t>
      </w:r>
    </w:p>
    <w:p w14:paraId="57DB84A1" w14:textId="77777777" w:rsidR="00CD6F8E" w:rsidRDefault="00CD6F8E" w:rsidP="00CD6F8E">
      <w:pPr>
        <w:pStyle w:val="Bibliography"/>
      </w:pPr>
      <w:r>
        <w:t>[99]</w:t>
      </w:r>
      <w:r>
        <w:tab/>
        <w:t xml:space="preserve">S. Jerez, I. Tobin, M. Turco, P. Jiménez-Guerrero, R. Vautard, and J. P. Montávez, “Future changes, or lack thereof, in the temporal variability of the combined wind-plus-solar power production in Europe,” </w:t>
      </w:r>
      <w:r>
        <w:rPr>
          <w:i/>
          <w:iCs/>
        </w:rPr>
        <w:t>Renew. Energy</w:t>
      </w:r>
      <w:r>
        <w:t>, vol. 139, pp. 251–260, Aug. 2019, doi: 10.1016/j.renene.2019.02.060.</w:t>
      </w:r>
    </w:p>
    <w:p w14:paraId="1B7BF560" w14:textId="77777777" w:rsidR="00CD6F8E" w:rsidRDefault="00CD6F8E" w:rsidP="00CD6F8E">
      <w:pPr>
        <w:pStyle w:val="Bibliography"/>
      </w:pPr>
      <w:r>
        <w:t>[100]</w:t>
      </w:r>
      <w:r>
        <w:tab/>
        <w:t xml:space="preserve">X.-R. Zhu, J.-H. Tian, and Y. Wang, “The impact of climate change on wind and solar photovoltaic power potential and distribution in China,” </w:t>
      </w:r>
      <w:r>
        <w:rPr>
          <w:i/>
          <w:iCs/>
        </w:rPr>
        <w:t>Adv. Clim. Change Res.</w:t>
      </w:r>
      <w:r>
        <w:t>, vol. 16, no. 4, pp. 730–746, Aug. 2025, doi: 10.1016/j.accre.2025.04.015.</w:t>
      </w:r>
    </w:p>
    <w:p w14:paraId="7D811207" w14:textId="77777777" w:rsidR="00CD6F8E" w:rsidRDefault="00CD6F8E" w:rsidP="00CD6F8E">
      <w:pPr>
        <w:pStyle w:val="Bibliography"/>
      </w:pPr>
      <w:r>
        <w:t>[101]</w:t>
      </w:r>
      <w:r>
        <w:tab/>
        <w:t xml:space="preserve">W. Cole, V. Ramasamy, and M. Turan, “Cost Projections for Utility-Scale Battery Storage: 2025 Update,” </w:t>
      </w:r>
      <w:r>
        <w:rPr>
          <w:i/>
          <w:iCs/>
        </w:rPr>
        <w:t>Renew. Energy</w:t>
      </w:r>
      <w:r>
        <w:t>, 2025, [Online]. Available: https://docs.nrel.gov/docs/fy25osti/93281.pdf</w:t>
      </w:r>
    </w:p>
    <w:p w14:paraId="5B9D928C" w14:textId="77777777" w:rsidR="00CD6F8E" w:rsidRDefault="00CD6F8E" w:rsidP="00CD6F8E">
      <w:pPr>
        <w:pStyle w:val="Bibliography"/>
      </w:pPr>
      <w:r>
        <w:t>[102]</w:t>
      </w:r>
      <w:r>
        <w:tab/>
        <w:t>Our World in Data, “Battery costs have declined by 99% in the last three decades, making electrified transport a reality.” [Online]. Available: https://ourworldindata.org/battery-price-decline</w:t>
      </w:r>
    </w:p>
    <w:p w14:paraId="470BF660" w14:textId="77777777" w:rsidR="00CD6F8E" w:rsidRDefault="00CD6F8E" w:rsidP="00CD6F8E">
      <w:pPr>
        <w:pStyle w:val="Bibliography"/>
      </w:pPr>
      <w:r>
        <w:t>[103]</w:t>
      </w:r>
      <w:r>
        <w:tab/>
        <w:t xml:space="preserve">Y. Xie </w:t>
      </w:r>
      <w:r>
        <w:rPr>
          <w:i/>
          <w:iCs/>
        </w:rPr>
        <w:t>et al.</w:t>
      </w:r>
      <w:r>
        <w:t xml:space="preserve">, “A high-fidelity online monitoring algorithm for multiple physical fields in battery pack,” </w:t>
      </w:r>
      <w:r>
        <w:rPr>
          <w:i/>
          <w:iCs/>
        </w:rPr>
        <w:t>Appl. Energy</w:t>
      </w:r>
      <w:r>
        <w:t>, vol. 398, p. 126443, Nov. 2025, doi: 10.1016/j.apenergy.2025.126443.</w:t>
      </w:r>
    </w:p>
    <w:p w14:paraId="30F7A1D5" w14:textId="77777777" w:rsidR="00CD6F8E" w:rsidRDefault="00CD6F8E" w:rsidP="00CD6F8E">
      <w:pPr>
        <w:pStyle w:val="Bibliography"/>
      </w:pPr>
      <w:r>
        <w:t>[104]</w:t>
      </w:r>
      <w:r>
        <w:tab/>
        <w:t xml:space="preserve">J. Vaičys, S. Gudžius, A. Jonaitis, R. Račkienė, A. Blinov, and D. Peftitsis, “A case study of optimising energy storage dispatch: Convex optimisation approach with degradation considerations,” </w:t>
      </w:r>
      <w:r>
        <w:rPr>
          <w:i/>
          <w:iCs/>
        </w:rPr>
        <w:t>J. Energy Storage</w:t>
      </w:r>
      <w:r>
        <w:t>, vol. 97, p. 112941, Sep. 2024, doi: 10.1016/j.est.2024.112941.</w:t>
      </w:r>
    </w:p>
    <w:p w14:paraId="270843DE" w14:textId="77777777" w:rsidR="00CD6F8E" w:rsidRDefault="00CD6F8E" w:rsidP="00CD6F8E">
      <w:pPr>
        <w:pStyle w:val="Bibliography"/>
      </w:pPr>
      <w:r>
        <w:t>[105]</w:t>
      </w:r>
      <w:r>
        <w:tab/>
        <w:t>D. Reber, S. Jarvis, and M. Marshak, “The role of energy density for grid-scale batteries,” Nov. 17, 2022. doi: 10.26434/chemrxiv-2022-5ddhs.</w:t>
      </w:r>
    </w:p>
    <w:p w14:paraId="03206D2D" w14:textId="77777777" w:rsidR="00CD6F8E" w:rsidRDefault="00CD6F8E" w:rsidP="00CD6F8E">
      <w:pPr>
        <w:pStyle w:val="Bibliography"/>
      </w:pPr>
      <w:r>
        <w:t>[106]</w:t>
      </w:r>
      <w:r>
        <w:tab/>
        <w:t xml:space="preserve">S. Rahman and T. A. Khan, “Energy Storage Systems for AI Data Centers: A Review of Technologies, Characteristics, and Applicability,” </w:t>
      </w:r>
      <w:r>
        <w:rPr>
          <w:i/>
          <w:iCs/>
        </w:rPr>
        <w:t>Energies</w:t>
      </w:r>
      <w:r>
        <w:t>, vol. 19, no. 3, p. 634, Jan. 2026, doi: 10.3390/en19030634.</w:t>
      </w:r>
    </w:p>
    <w:p w14:paraId="0E08FC71" w14:textId="77777777" w:rsidR="00CD6F8E" w:rsidRDefault="00CD6F8E" w:rsidP="00CD6F8E">
      <w:pPr>
        <w:pStyle w:val="Bibliography"/>
      </w:pPr>
      <w:r>
        <w:lastRenderedPageBreak/>
        <w:t>[107]</w:t>
      </w:r>
      <w:r>
        <w:tab/>
        <w:t xml:space="preserve">F. Yang, Z. Wang, and X. Tian, “Estimating future costs of hydrogen as long-duration energy storage based on a learning rate approach,” </w:t>
      </w:r>
      <w:r>
        <w:rPr>
          <w:i/>
          <w:iCs/>
        </w:rPr>
        <w:t>Clean Energy</w:t>
      </w:r>
      <w:r>
        <w:t>, vol. 10, no. 2, pp. 146–155, Mar. 2026, doi: 10.1093/ce/zkaf075.</w:t>
      </w:r>
    </w:p>
    <w:p w14:paraId="09C92B29" w14:textId="77777777" w:rsidR="00CD6F8E" w:rsidRDefault="00CD6F8E" w:rsidP="00CD6F8E">
      <w:pPr>
        <w:pStyle w:val="Bibliography"/>
      </w:pPr>
      <w:r>
        <w:t>[108]</w:t>
      </w:r>
      <w:r>
        <w:tab/>
        <w:t xml:space="preserve">X. Dong, Z. Yang, Q. Zhu, J. Li, B. Zhou, and J. Zhu, “Research on Reliability Evaluation Method of Distribution Network Considering the Temporal Characteristics of Distributed Power Sources,” </w:t>
      </w:r>
      <w:r>
        <w:rPr>
          <w:i/>
          <w:iCs/>
        </w:rPr>
        <w:t>Processes</w:t>
      </w:r>
      <w:r>
        <w:t>, vol. 14, no. 8, p. 1296, Apr. 2026, doi: 10.3390/pr14081296.</w:t>
      </w:r>
    </w:p>
    <w:p w14:paraId="05897F8B" w14:textId="77777777" w:rsidR="00CD6F8E" w:rsidRDefault="00CD6F8E" w:rsidP="00CD6F8E">
      <w:pPr>
        <w:pStyle w:val="Bibliography"/>
      </w:pPr>
      <w:r>
        <w:t>[109]</w:t>
      </w:r>
      <w:r>
        <w:tab/>
        <w:t xml:space="preserve">S. Babamohammadi, A. R. Birss, H. Pouran, J. Pandhal, and T. N. Borhani, “Emission control and carbon capture from diesel generators and engines: A decade-long perspective,” </w:t>
      </w:r>
      <w:r>
        <w:rPr>
          <w:i/>
          <w:iCs/>
        </w:rPr>
        <w:t>Carbon Capture Sci. Technol.</w:t>
      </w:r>
      <w:r>
        <w:t>, vol. 14, p. 100379, Mar. 2025, doi: 10.1016/j.ccst.2025.100379.</w:t>
      </w:r>
    </w:p>
    <w:p w14:paraId="06EE9B17" w14:textId="77777777" w:rsidR="00CD6F8E" w:rsidRDefault="00CD6F8E" w:rsidP="00CD6F8E">
      <w:pPr>
        <w:pStyle w:val="Bibliography"/>
      </w:pPr>
      <w:r>
        <w:t>[110]</w:t>
      </w:r>
      <w:r>
        <w:tab/>
        <w:t xml:space="preserve">S. Ghosh and J. Damodara, “Scalable data centers – Power generation and delivery challenges and solutions,” </w:t>
      </w:r>
      <w:r>
        <w:rPr>
          <w:i/>
          <w:iCs/>
        </w:rPr>
        <w:t>Energy Rep.</w:t>
      </w:r>
      <w:r>
        <w:t>, vol. 15, p. 109178, Jun. 2026, doi: 10.1016/j.egyr.2026.109178.</w:t>
      </w:r>
    </w:p>
    <w:p w14:paraId="0AC07F8D" w14:textId="77777777" w:rsidR="00CD6F8E" w:rsidRDefault="00CD6F8E" w:rsidP="00CD6F8E">
      <w:pPr>
        <w:pStyle w:val="Bibliography"/>
      </w:pPr>
      <w:r>
        <w:t>[111]</w:t>
      </w:r>
      <w:r>
        <w:tab/>
        <w:t>Idaho National Lab, “Powering Data Centers with Clean Energy.” [Online]. Available: https://gain.inl.gov/content/uploads/4/2024/11/INL-RPT-24-79307-Powering-Data-Cneters-with-Clean-Energy.pdf</w:t>
      </w:r>
    </w:p>
    <w:p w14:paraId="15E9EE8F" w14:textId="77777777" w:rsidR="00CD6F8E" w:rsidRDefault="00CD6F8E" w:rsidP="00CD6F8E">
      <w:pPr>
        <w:pStyle w:val="Bibliography"/>
      </w:pPr>
      <w:r>
        <w:t>[112]</w:t>
      </w:r>
      <w:r>
        <w:tab/>
        <w:t>EPRI, “Powering Data Centers in the AI Era.” [Online]. Available: https://energie.hec.ca/wp-content/uploads/2025/10/PPT_EPRI.pdf</w:t>
      </w:r>
    </w:p>
    <w:p w14:paraId="4A71AF7A" w14:textId="77777777" w:rsidR="00CD6F8E" w:rsidRDefault="00CD6F8E" w:rsidP="00CD6F8E">
      <w:pPr>
        <w:pStyle w:val="Bibliography"/>
      </w:pPr>
      <w:r>
        <w:t>[113]</w:t>
      </w:r>
      <w:r>
        <w:tab/>
        <w:t>EIA, “Electric Power Annual 2024.” [Online]. Available: https://www.eia.gov/electricity/annual/pdf/epa.pdf</w:t>
      </w:r>
    </w:p>
    <w:p w14:paraId="0665B8C2" w14:textId="77777777" w:rsidR="00CD6F8E" w:rsidRDefault="00CD6F8E" w:rsidP="00CD6F8E">
      <w:pPr>
        <w:pStyle w:val="Bibliography"/>
      </w:pPr>
      <w:r>
        <w:t>[114]</w:t>
      </w:r>
      <w:r>
        <w:tab/>
        <w:t xml:space="preserve">J. W. Zhang, Y. H. Wang, G. C. Liu, and G. Z. Tian, “A review of control strategies for flywheel energy storage system and a case study with matrix converter,” </w:t>
      </w:r>
      <w:r>
        <w:rPr>
          <w:i/>
          <w:iCs/>
        </w:rPr>
        <w:t>Energy Rep.</w:t>
      </w:r>
      <w:r>
        <w:t>, vol. 8, pp. 3948–3963, Nov. 2022, doi: 10.1016/j.egyr.2022.03.009.</w:t>
      </w:r>
    </w:p>
    <w:p w14:paraId="076DB15D" w14:textId="77777777" w:rsidR="00CD6F8E" w:rsidRDefault="00CD6F8E" w:rsidP="00CD6F8E">
      <w:pPr>
        <w:pStyle w:val="Bibliography"/>
      </w:pPr>
      <w:r>
        <w:t>[115]</w:t>
      </w:r>
      <w:r>
        <w:tab/>
        <w:t xml:space="preserve">Y. A. Sultan, S. S. Kaddah, and M. A. Elhosseini, “Enhancing smart grid transient performance using storage device‐based MPC controller,” </w:t>
      </w:r>
      <w:r>
        <w:rPr>
          <w:i/>
          <w:iCs/>
        </w:rPr>
        <w:t>IET Renew. Power Gener.</w:t>
      </w:r>
      <w:r>
        <w:t>, vol. 11, no. 10, pp. 1316–1324, Aug. 2017, doi: 10.1049/iet-rpg.2016.0892.</w:t>
      </w:r>
    </w:p>
    <w:p w14:paraId="1639E9D2" w14:textId="77777777" w:rsidR="00CD6F8E" w:rsidRDefault="00CD6F8E" w:rsidP="00CD6F8E">
      <w:pPr>
        <w:pStyle w:val="Bibliography"/>
      </w:pPr>
      <w:r>
        <w:t>[116]</w:t>
      </w:r>
      <w:r>
        <w:tab/>
        <w:t xml:space="preserve">Y. Hu, Z. Li, and J. Cui, “An economic model predictive control strategy for EV-integrated microgrids considering battery degradation,” </w:t>
      </w:r>
      <w:r>
        <w:rPr>
          <w:i/>
          <w:iCs/>
        </w:rPr>
        <w:t>Energy</w:t>
      </w:r>
      <w:r>
        <w:t>, vol. 335, p. 138205, Oct. 2025, doi: 10.1016/j.energy.2025.138205.</w:t>
      </w:r>
    </w:p>
    <w:p w14:paraId="46CBD722" w14:textId="77777777" w:rsidR="00CD6F8E" w:rsidRDefault="00CD6F8E" w:rsidP="00CD6F8E">
      <w:pPr>
        <w:pStyle w:val="Bibliography"/>
      </w:pPr>
      <w:r>
        <w:t>[117]</w:t>
      </w:r>
      <w:r>
        <w:tab/>
        <w:t xml:space="preserve">L. Bongini, R. A. Mastromauro, D. Sgrò, and F. Malvaldi, “Electrical Damping Assessment and Stability Considerations for a Highly Electrified Liquefied Natural Gas Plant,” </w:t>
      </w:r>
      <w:r>
        <w:rPr>
          <w:i/>
          <w:iCs/>
        </w:rPr>
        <w:t>Energies</w:t>
      </w:r>
      <w:r>
        <w:t>, vol. 13, no. 10, p. 2612, May 2020, doi: 10.3390/en13102612.</w:t>
      </w:r>
    </w:p>
    <w:p w14:paraId="150915E3" w14:textId="77777777" w:rsidR="00CD6F8E" w:rsidRDefault="00CD6F8E" w:rsidP="00CD6F8E">
      <w:pPr>
        <w:pStyle w:val="Bibliography"/>
      </w:pPr>
      <w:r>
        <w:t>[118]</w:t>
      </w:r>
      <w:r>
        <w:tab/>
        <w:t xml:space="preserve">R. D. Zimmerman, C. E. Murillo-Sanchez, and R. J. Thomas, “MATPOWER: Steady-State Operations, Planning, and Analysis Tools for Power Systems Research and Education,” </w:t>
      </w:r>
      <w:r>
        <w:rPr>
          <w:i/>
          <w:iCs/>
        </w:rPr>
        <w:t>IEEE Trans. Power Syst.</w:t>
      </w:r>
      <w:r>
        <w:t>, vol. 26, no. 1, pp. 12–19, Feb. 2011, doi: 10.1109/TPWRS.2010.2051168.</w:t>
      </w:r>
    </w:p>
    <w:p w14:paraId="18995379" w14:textId="77777777" w:rsidR="00CD6F8E" w:rsidRDefault="00CD6F8E" w:rsidP="00CD6F8E">
      <w:pPr>
        <w:pStyle w:val="Bibliography"/>
      </w:pPr>
      <w:r>
        <w:t>[119]</w:t>
      </w:r>
      <w:r>
        <w:tab/>
        <w:t xml:space="preserve">A. J. Monticelli, A. Garcia, and O. R. Saavedra, “Fast decoupled load flow: hypothesis, derivations, and testing,” </w:t>
      </w:r>
      <w:r>
        <w:rPr>
          <w:i/>
          <w:iCs/>
        </w:rPr>
        <w:t>IEEE Trans. Power Syst.</w:t>
      </w:r>
      <w:r>
        <w:t>, vol. 5, no. 4, pp. 1425–1431, Nov. 1990, doi: 10.1109/59.99396.</w:t>
      </w:r>
    </w:p>
    <w:p w14:paraId="4D2410AA" w14:textId="77777777" w:rsidR="00CD6F8E" w:rsidRDefault="00CD6F8E" w:rsidP="00CD6F8E">
      <w:pPr>
        <w:pStyle w:val="Bibliography"/>
      </w:pPr>
      <w:r>
        <w:t>[120]</w:t>
      </w:r>
      <w:r>
        <w:tab/>
        <w:t xml:space="preserve">M. Huneault and F. D. Galiana, “A survey of the optimal power flow literature,” </w:t>
      </w:r>
      <w:r>
        <w:rPr>
          <w:i/>
          <w:iCs/>
        </w:rPr>
        <w:t>IEEE Trans. Power Syst.</w:t>
      </w:r>
      <w:r>
        <w:t>, vol. 6, no. 2, pp. 762–770, May 1991, doi: 10.1109/59.76723.</w:t>
      </w:r>
    </w:p>
    <w:p w14:paraId="7BA01D13" w14:textId="77777777" w:rsidR="00CD6F8E" w:rsidRDefault="00CD6F8E" w:rsidP="00CD6F8E">
      <w:pPr>
        <w:pStyle w:val="Bibliography"/>
      </w:pPr>
      <w:r>
        <w:lastRenderedPageBreak/>
        <w:t>[121]</w:t>
      </w:r>
      <w:r>
        <w:tab/>
        <w:t xml:space="preserve">Xiaokang Xu, M. F. Kandlawala, and Ming Wu, “NERC TPL-001-4 transient voltage performance compliance study - criteria development, study methodology and case studies,” in </w:t>
      </w:r>
      <w:r>
        <w:rPr>
          <w:i/>
          <w:iCs/>
        </w:rPr>
        <w:t>2016 IEEE Power and Energy Society General Meeting (PESGM)</w:t>
      </w:r>
      <w:r>
        <w:t>, Boston, MA, USA: IEEE, Jul. 2016, pp. 1–5. doi: 10.1109/PESGM.2016.7741072.</w:t>
      </w:r>
    </w:p>
    <w:p w14:paraId="48886181" w14:textId="77777777" w:rsidR="00CD6F8E" w:rsidRDefault="00CD6F8E" w:rsidP="00CD6F8E">
      <w:pPr>
        <w:pStyle w:val="Bibliography"/>
      </w:pPr>
      <w:r>
        <w:t>[122]</w:t>
      </w:r>
      <w:r>
        <w:tab/>
        <w:t xml:space="preserve">A. Fernandez-Guillamon, A. Molina-Garcia, K. Das, and M. Altin, “Comparison of different tools for power flow analysis with high wind power integration,” in </w:t>
      </w:r>
      <w:r>
        <w:rPr>
          <w:i/>
          <w:iCs/>
        </w:rPr>
        <w:t>2019 International Conference on Clean Electrical Power (ICCEP)</w:t>
      </w:r>
      <w:r>
        <w:t>, Otranto, Italy: IEEE, Jul. 2019, pp. 82–86. doi: 10.1109/ICCEP.2019.8890163.</w:t>
      </w:r>
    </w:p>
    <w:p w14:paraId="33117897" w14:textId="77777777" w:rsidR="00CD6F8E" w:rsidRDefault="00CD6F8E" w:rsidP="00CD6F8E">
      <w:pPr>
        <w:pStyle w:val="Bibliography"/>
      </w:pPr>
      <w:r>
        <w:t>[123]</w:t>
      </w:r>
      <w:r>
        <w:tab/>
        <w:t xml:space="preserve">V. Geekiyanage and J. Seppänen, “Power System Stability Improvements Through Grid Forming Inverters for Systems with High Penetration of Grid Following Inverters,” in </w:t>
      </w:r>
      <w:r>
        <w:rPr>
          <w:i/>
          <w:iCs/>
        </w:rPr>
        <w:t>2024 IEEE PES Innovative Smart Grid Technologies Europe (ISGT EUROPE)</w:t>
      </w:r>
      <w:r>
        <w:t>, Dubrovnik, Croatia: IEEE, Oct. 2024, pp. 1–5. doi: 10.1109/ISGTEUROPE62998.2024.10863434.</w:t>
      </w:r>
    </w:p>
    <w:p w14:paraId="404C13D2" w14:textId="77777777" w:rsidR="00CD6F8E" w:rsidRDefault="00CD6F8E" w:rsidP="00CD6F8E">
      <w:pPr>
        <w:pStyle w:val="Bibliography"/>
      </w:pPr>
      <w:r>
        <w:t>[124]</w:t>
      </w:r>
      <w:r>
        <w:tab/>
      </w:r>
      <w:r>
        <w:rPr>
          <w:i/>
          <w:iCs/>
        </w:rPr>
        <w:t>IEEE Standard for the Specification of Microgrid Controllers</w:t>
      </w:r>
      <w:r>
        <w:t>. doi: 10.1109/IEEESTD.2018.8340204.</w:t>
      </w:r>
    </w:p>
    <w:p w14:paraId="41A12665" w14:textId="77777777" w:rsidR="00CD6F8E" w:rsidRDefault="00CD6F8E" w:rsidP="00CD6F8E">
      <w:pPr>
        <w:pStyle w:val="Bibliography"/>
      </w:pPr>
      <w:r>
        <w:t>[125]</w:t>
      </w:r>
      <w:r>
        <w:tab/>
        <w:t xml:space="preserve">J. S. Ali, Y. Qiblawey, A. Alassi, A. M. Massoud, S. M. Muyeen, and H. Abu-Rub, “Power System Stability With High Penetration of Renewable Energy Sources: Challenges, Assessment, and Mitigation Strategies,” </w:t>
      </w:r>
      <w:r>
        <w:rPr>
          <w:i/>
          <w:iCs/>
        </w:rPr>
        <w:t>IEEE Access</w:t>
      </w:r>
      <w:r>
        <w:t>, vol. 13, pp. 39912–39934, 2025, doi: 10.1109/ACCESS.2025.3546491.</w:t>
      </w:r>
    </w:p>
    <w:p w14:paraId="5E4AD8FD" w14:textId="77777777" w:rsidR="00CD6F8E" w:rsidRDefault="00CD6F8E" w:rsidP="00CD6F8E">
      <w:pPr>
        <w:pStyle w:val="Bibliography"/>
      </w:pPr>
      <w:r>
        <w:t>[126]</w:t>
      </w:r>
      <w:r>
        <w:tab/>
        <w:t>NERC, “Inverter-Based Resource Performance Issues.” [Online]. Available: https://www.nerc.com/globalassets/programs/bpsa/alerts/2023/nerc-alert-r-2023-03-14-01-level-2---inverter-based-resource-performance-issues.pdf</w:t>
      </w:r>
    </w:p>
    <w:p w14:paraId="78735C1D" w14:textId="77777777" w:rsidR="00CD6F8E" w:rsidRDefault="00CD6F8E" w:rsidP="00CD6F8E">
      <w:pPr>
        <w:pStyle w:val="Bibliography"/>
      </w:pPr>
      <w:r>
        <w:t>[127]</w:t>
      </w:r>
      <w:r>
        <w:tab/>
        <w:t xml:space="preserve">J. C. Das, </w:t>
      </w:r>
      <w:r>
        <w:rPr>
          <w:i/>
          <w:iCs/>
        </w:rPr>
        <w:t>Power System Harmonics and Passive Filter Designs</w:t>
      </w:r>
      <w:r>
        <w:t>, 1st ed. Wiley, 2015. doi: 10.1002/9781118887059.</w:t>
      </w:r>
    </w:p>
    <w:p w14:paraId="7CA1CE8D" w14:textId="77777777" w:rsidR="00CD6F8E" w:rsidRDefault="00CD6F8E" w:rsidP="00CD6F8E">
      <w:pPr>
        <w:pStyle w:val="Bibliography"/>
      </w:pPr>
      <w:r>
        <w:t>[128]</w:t>
      </w:r>
      <w:r>
        <w:tab/>
        <w:t xml:space="preserve">M. S. Anindya, F. Zaro, and M. Popescu, “Power Quality Improvement Using Active Power Filters in Industrial Systems,” </w:t>
      </w:r>
      <w:r>
        <w:rPr>
          <w:i/>
          <w:iCs/>
        </w:rPr>
        <w:t>RESWARA J. Ris. Ilmu Tek.</w:t>
      </w:r>
      <w:r>
        <w:t>, vol. 3, no. 2, pp. 44–50, Apr. 2025, doi: 10.70716/reswara.v3i2.404.</w:t>
      </w:r>
    </w:p>
    <w:p w14:paraId="667DE78A" w14:textId="77777777" w:rsidR="00CD6F8E" w:rsidRDefault="00CD6F8E" w:rsidP="00CD6F8E">
      <w:pPr>
        <w:pStyle w:val="Bibliography"/>
      </w:pPr>
      <w:r>
        <w:t>[129]</w:t>
      </w:r>
      <w:r>
        <w:tab/>
        <w:t>HOMER, “Microgrid and Hybrid Power Modeling.” [Online]. Available: https://homerenergy.com/</w:t>
      </w:r>
    </w:p>
    <w:p w14:paraId="07287DC4" w14:textId="77777777" w:rsidR="00CD6F8E" w:rsidRDefault="00CD6F8E" w:rsidP="00CD6F8E">
      <w:pPr>
        <w:pStyle w:val="Bibliography"/>
      </w:pPr>
      <w:r>
        <w:t>[130]</w:t>
      </w:r>
      <w:r>
        <w:tab/>
        <w:t xml:space="preserve">“MODELING, SIMULATION AND INTELLIGENT ALGORITHMS FOR SOLVING THE MACHINE-LOADING PROBLEM: A LITERATURE REVIEW,” in </w:t>
      </w:r>
      <w:r>
        <w:rPr>
          <w:i/>
          <w:iCs/>
        </w:rPr>
        <w:t>Proceedings of THE 22ND INTERNATIONAL CONFERENCE ON MODELING AND APPLIED SIMULATION</w:t>
      </w:r>
      <w:r>
        <w:t>, CAL-TEK srl, 2023. doi: 10.46354/i3m.2023.mas.013.</w:t>
      </w:r>
    </w:p>
    <w:p w14:paraId="376D7982" w14:textId="77777777" w:rsidR="00CD6F8E" w:rsidRDefault="00CD6F8E" w:rsidP="00CD6F8E">
      <w:pPr>
        <w:pStyle w:val="Bibliography"/>
      </w:pPr>
      <w:r>
        <w:t>[131]</w:t>
      </w:r>
      <w:r>
        <w:tab/>
        <w:t xml:space="preserve">R. Rogersten, L. Vanfretti, and W. Li, “Towards consistent model exchange and simulation of VSC-HVdc controls for EMT studies,” in </w:t>
      </w:r>
      <w:r>
        <w:rPr>
          <w:i/>
          <w:iCs/>
        </w:rPr>
        <w:t>2015 IEEE Power &amp; Energy Society General Meeting</w:t>
      </w:r>
      <w:r>
        <w:t>, Denver, CO, USA: IEEE, Jul. 2015, pp. 1–5. doi: 10.1109/PESGM.2015.7285986.</w:t>
      </w:r>
    </w:p>
    <w:p w14:paraId="7DDB37A1" w14:textId="77777777" w:rsidR="00CD6F8E" w:rsidRDefault="00CD6F8E" w:rsidP="00CD6F8E">
      <w:pPr>
        <w:pStyle w:val="Bibliography"/>
      </w:pPr>
      <w:r>
        <w:t>[132]</w:t>
      </w:r>
      <w:r>
        <w:tab/>
        <w:t xml:space="preserve">A. N. Rosli, S. H. Yusoff, H. Mansor, S. N. M. Sapihie, and M. A. M. M. Fahmi, “Using Model Predictive Control in Renewable Energy Sources,” in </w:t>
      </w:r>
      <w:r>
        <w:rPr>
          <w:i/>
          <w:iCs/>
        </w:rPr>
        <w:t>2023 IEEE 9th International Conference on Smart Instrumentation, Measurement and Applications (ICSIMA)</w:t>
      </w:r>
      <w:r>
        <w:t>, Kuala Lumpur, Malaysia: IEEE, Oct. 2023, pp. 263–268. doi: 10.1109/ICSIMA59853.2023.10373520.</w:t>
      </w:r>
    </w:p>
    <w:p w14:paraId="5DF21FA9" w14:textId="77777777" w:rsidR="00CD6F8E" w:rsidRDefault="00CD6F8E" w:rsidP="00CD6F8E">
      <w:pPr>
        <w:pStyle w:val="Bibliography"/>
      </w:pPr>
      <w:r>
        <w:lastRenderedPageBreak/>
        <w:t>[133]</w:t>
      </w:r>
      <w:r>
        <w:tab/>
        <w:t xml:space="preserve">J. M. Morales, A. J. Conejo, H. Madsen, P. Pinson, and M. Zugno, </w:t>
      </w:r>
      <w:r>
        <w:rPr>
          <w:i/>
          <w:iCs/>
        </w:rPr>
        <w:t>Integrating Renewables in Electricity Markets: Operational Problems</w:t>
      </w:r>
      <w:r>
        <w:t>, 1st ed. 2014. in International Series in Operations Research &amp; Management Science, no. 205. New York, NY: Springer US : Imprint: Springer, 2014. doi: 10.1007/978-1-4614-9411-9.</w:t>
      </w:r>
    </w:p>
    <w:p w14:paraId="2CB5801F" w14:textId="77777777" w:rsidR="00CD6F8E" w:rsidRDefault="00CD6F8E" w:rsidP="00CD6F8E">
      <w:pPr>
        <w:pStyle w:val="Bibliography"/>
      </w:pPr>
      <w:r>
        <w:t>[134]</w:t>
      </w:r>
      <w:r>
        <w:tab/>
        <w:t xml:space="preserve">R. H. Inman, H. T. C. Pedro, and C. F. M. Coimbra, “Solar forecasting methods for renewable energy integration,” </w:t>
      </w:r>
      <w:r>
        <w:rPr>
          <w:i/>
          <w:iCs/>
        </w:rPr>
        <w:t>Prog. Energy Combust. Sci.</w:t>
      </w:r>
      <w:r>
        <w:t>, vol. 39, no. 6, pp. 535–576, Dec. 2013, doi: 10.1016/j.pecs.2013.06.002.</w:t>
      </w:r>
    </w:p>
    <w:p w14:paraId="4A00E40D" w14:textId="77777777" w:rsidR="00CD6F8E" w:rsidRDefault="00CD6F8E" w:rsidP="00CD6F8E">
      <w:pPr>
        <w:pStyle w:val="Bibliography"/>
      </w:pPr>
      <w:r>
        <w:t>[135]</w:t>
      </w:r>
      <w:r>
        <w:tab/>
        <w:t xml:space="preserve">U. Cali </w:t>
      </w:r>
      <w:r>
        <w:rPr>
          <w:i/>
          <w:iCs/>
        </w:rPr>
        <w:t>et al.</w:t>
      </w:r>
      <w:r>
        <w:t xml:space="preserve">, “Generative AI and LLM applications in renewable energy and smart grids: a systematic review for the sustainable energy transition,” </w:t>
      </w:r>
      <w:r>
        <w:rPr>
          <w:i/>
          <w:iCs/>
        </w:rPr>
        <w:t>Artif. Intell. Rev.</w:t>
      </w:r>
      <w:r>
        <w:t>, Apr. 2026, doi: 10.1007/s10462-026-11545-2.</w:t>
      </w:r>
    </w:p>
    <w:p w14:paraId="1F39A8CE" w14:textId="77777777" w:rsidR="00CD6F8E" w:rsidRDefault="00CD6F8E" w:rsidP="00CD6F8E">
      <w:pPr>
        <w:pStyle w:val="Bibliography"/>
      </w:pPr>
      <w:r>
        <w:t>[136]</w:t>
      </w:r>
      <w:r>
        <w:tab/>
        <w:t xml:space="preserve">E. Hosseini </w:t>
      </w:r>
      <w:r>
        <w:rPr>
          <w:i/>
          <w:iCs/>
        </w:rPr>
        <w:t>et al.</w:t>
      </w:r>
      <w:r>
        <w:t xml:space="preserve">, “Reinforcement learning-based energy management system for lithium-ion battery storage in multilevel microgrid,” </w:t>
      </w:r>
      <w:r>
        <w:rPr>
          <w:i/>
          <w:iCs/>
        </w:rPr>
        <w:t>J. Energy Storage</w:t>
      </w:r>
      <w:r>
        <w:t>, vol. 109, p. 115114, Feb. 2025, doi: 10.1016/j.est.2024.115114.</w:t>
      </w:r>
    </w:p>
    <w:p w14:paraId="020DB7C3" w14:textId="77777777" w:rsidR="00CD6F8E" w:rsidRDefault="00CD6F8E" w:rsidP="00CD6F8E">
      <w:pPr>
        <w:pStyle w:val="Bibliography"/>
      </w:pPr>
      <w:r>
        <w:t>[137]</w:t>
      </w:r>
      <w:r>
        <w:tab/>
        <w:t xml:space="preserve">N. Subramanian and A. A. Stonier, “Digital twin applications and case studies in modern power grid management,” </w:t>
      </w:r>
      <w:r>
        <w:rPr>
          <w:i/>
          <w:iCs/>
        </w:rPr>
        <w:t>Energy Rep.</w:t>
      </w:r>
      <w:r>
        <w:t>, vol. 15, p. 109218, Jun. 2026, doi: 10.1016/j.egyr.2026.109218.</w:t>
      </w:r>
    </w:p>
    <w:p w14:paraId="634F6DE8" w14:textId="77777777" w:rsidR="00CD6F8E" w:rsidRDefault="00CD6F8E" w:rsidP="00CD6F8E">
      <w:pPr>
        <w:pStyle w:val="Bibliography"/>
      </w:pPr>
      <w:r>
        <w:t>[138]</w:t>
      </w:r>
      <w:r>
        <w:tab/>
        <w:t xml:space="preserve">H. Chen, X. Feng, Q. Chen, and R. Han, “The Application of Machine Learning in Power Grid,” in </w:t>
      </w:r>
      <w:r>
        <w:rPr>
          <w:i/>
          <w:iCs/>
        </w:rPr>
        <w:t>2024 Boao New Power System International Forum - Power System and New Energy Technology Innovation Forum (NPSIF)</w:t>
      </w:r>
      <w:r>
        <w:t>, Qionghai, China: IEEE, Dec. 2024, pp. 568–576. doi: 10.1109/NPSIF64134.2024.10883453.</w:t>
      </w:r>
    </w:p>
    <w:p w14:paraId="793854B7" w14:textId="77777777" w:rsidR="00CD6F8E" w:rsidRDefault="00CD6F8E" w:rsidP="00CD6F8E">
      <w:pPr>
        <w:pStyle w:val="Bibliography"/>
      </w:pPr>
      <w:r>
        <w:t>[139]</w:t>
      </w:r>
      <w:r>
        <w:tab/>
        <w:t xml:space="preserve">R. Schaeffer </w:t>
      </w:r>
      <w:r>
        <w:rPr>
          <w:i/>
          <w:iCs/>
        </w:rPr>
        <w:t>et al.</w:t>
      </w:r>
      <w:r>
        <w:t xml:space="preserve">, “Energy sector vulnerability to climate change: A review,” </w:t>
      </w:r>
      <w:r>
        <w:rPr>
          <w:i/>
          <w:iCs/>
        </w:rPr>
        <w:t>Energy</w:t>
      </w:r>
      <w:r>
        <w:t>, vol. 38, no. 1, pp. 1–12, Feb. 2012, doi: 10.1016/j.energy.2011.11.056.</w:t>
      </w:r>
    </w:p>
    <w:p w14:paraId="0116F5DB" w14:textId="77777777" w:rsidR="00CD6F8E" w:rsidRDefault="00CD6F8E" w:rsidP="00CD6F8E">
      <w:pPr>
        <w:pStyle w:val="Bibliography"/>
      </w:pPr>
      <w:r>
        <w:t>[140]</w:t>
      </w:r>
      <w:r>
        <w:tab/>
        <w:t xml:space="preserve">M. A. Bekhti, L. Ghomri, H. L. Beklaouz, and R. Bouddou, “Techno-economic and environmental optimization of standalone hybrid energy systems using advanced energy storage for remote electrification in Southern Algeria,” </w:t>
      </w:r>
      <w:r>
        <w:rPr>
          <w:i/>
          <w:iCs/>
        </w:rPr>
        <w:t>J. Renew. Sustain. Energy</w:t>
      </w:r>
      <w:r>
        <w:t>, vol. 17, no. 5, p. 056309, Sep. 2025, doi: 10.1063/5.0297401.</w:t>
      </w:r>
    </w:p>
    <w:p w14:paraId="68E29252" w14:textId="77777777" w:rsidR="00CD6F8E" w:rsidRDefault="00CD6F8E" w:rsidP="00CD6F8E">
      <w:pPr>
        <w:pStyle w:val="Bibliography"/>
      </w:pPr>
      <w:r>
        <w:t>[141]</w:t>
      </w:r>
      <w:r>
        <w:tab/>
        <w:t xml:space="preserve">M. T. Takci, M. Qadrdan, J. Summers, and J. Gustafsson, “Data centres as a source of flexibility for power systems,” </w:t>
      </w:r>
      <w:r>
        <w:rPr>
          <w:i/>
          <w:iCs/>
        </w:rPr>
        <w:t>Energy Rep.</w:t>
      </w:r>
      <w:r>
        <w:t>, vol. 13, pp. 3661–3671, Jun. 2025, doi: 10.1016/j.egyr.2025.03.020.</w:t>
      </w:r>
    </w:p>
    <w:p w14:paraId="571443BB" w14:textId="77777777" w:rsidR="00CD6F8E" w:rsidRDefault="00CD6F8E" w:rsidP="00CD6F8E">
      <w:pPr>
        <w:pStyle w:val="Bibliography"/>
      </w:pPr>
      <w:r>
        <w:t>[142]</w:t>
      </w:r>
      <w:r>
        <w:tab/>
        <w:t xml:space="preserve">X. Li, Z. Zhao, X. Jiang, Y. Chen, and R. He, “A Review on AI-Driven Optimization of Data Center Energy Efficiency and Thermal Management,” </w:t>
      </w:r>
      <w:r>
        <w:rPr>
          <w:i/>
          <w:iCs/>
        </w:rPr>
        <w:t>Int. J. Appl. Sci.</w:t>
      </w:r>
      <w:r>
        <w:t>, vol. 8, no. 3, p. p108, Sep. 2025, doi: 10.30560/ijas.v8n3p108.</w:t>
      </w:r>
    </w:p>
    <w:p w14:paraId="3F775079" w14:textId="77777777" w:rsidR="00CD6F8E" w:rsidRDefault="00CD6F8E" w:rsidP="00CD6F8E">
      <w:pPr>
        <w:pStyle w:val="Bibliography"/>
      </w:pPr>
      <w:r>
        <w:t>[143]</w:t>
      </w:r>
      <w:r>
        <w:tab/>
        <w:t xml:space="preserve">A. Radovanovic </w:t>
      </w:r>
      <w:r>
        <w:rPr>
          <w:i/>
          <w:iCs/>
        </w:rPr>
        <w:t>et al.</w:t>
      </w:r>
      <w:r>
        <w:t xml:space="preserve">, “Carbon-Aware Computing for Datacenters,” 2021, </w:t>
      </w:r>
      <w:r>
        <w:rPr>
          <w:i/>
          <w:iCs/>
        </w:rPr>
        <w:t>arXiv</w:t>
      </w:r>
      <w:r>
        <w:t>. doi: 10.48550/ARXIV.2106.11750.</w:t>
      </w:r>
    </w:p>
    <w:p w14:paraId="5F570F3E" w14:textId="77777777" w:rsidR="00CD6F8E" w:rsidRDefault="00CD6F8E" w:rsidP="00CD6F8E">
      <w:pPr>
        <w:pStyle w:val="Bibliography"/>
      </w:pPr>
      <w:r>
        <w:t>[144]</w:t>
      </w:r>
      <w:r>
        <w:tab/>
        <w:t xml:space="preserve">T. Sukprasert, A. Souza, N. Bashir, D. Irwin, and P. Shenoy, “On the Limitations of Carbon-Aware Temporal and Spatial Workload Shifting in the Cloud,” in </w:t>
      </w:r>
      <w:r>
        <w:rPr>
          <w:i/>
          <w:iCs/>
        </w:rPr>
        <w:t>Proceedings of the Nineteenth European Conference on Computer Systems</w:t>
      </w:r>
      <w:r>
        <w:t>, Athens Greece: ACM, Apr. 2024, pp. 924–941. doi: 10.1145/3627703.3650079.</w:t>
      </w:r>
    </w:p>
    <w:p w14:paraId="29F09CD5" w14:textId="77777777" w:rsidR="00CD6F8E" w:rsidRDefault="00CD6F8E" w:rsidP="00CD6F8E">
      <w:pPr>
        <w:pStyle w:val="Bibliography"/>
      </w:pPr>
      <w:r>
        <w:t>[145]</w:t>
      </w:r>
      <w:r>
        <w:tab/>
        <w:t xml:space="preserve">M. D. E. Gouaouri, M. Bagaa, S. Ouahouah, M. A. Ouameur, and A. Ksentini, “Enabling Power-Awareness for Kubernetes Scheduling Through Multi-Criteria Optimization,” in </w:t>
      </w:r>
      <w:r>
        <w:rPr>
          <w:i/>
          <w:iCs/>
        </w:rPr>
        <w:t>ICC 2025 - IEEE International Conference on Communications</w:t>
      </w:r>
      <w:r>
        <w:t>, Montreal, QC, Canada: IEEE, Jun. 2025, pp. 1500–1505. doi: 10.1109/ICC52391.2025.11160865.</w:t>
      </w:r>
    </w:p>
    <w:p w14:paraId="0EBD7305" w14:textId="77777777" w:rsidR="00CD6F8E" w:rsidRDefault="00CD6F8E" w:rsidP="00CD6F8E">
      <w:pPr>
        <w:pStyle w:val="Bibliography"/>
      </w:pPr>
      <w:r>
        <w:lastRenderedPageBreak/>
        <w:t>[146]</w:t>
      </w:r>
      <w:r>
        <w:tab/>
        <w:t xml:space="preserve">S. Sarkar </w:t>
      </w:r>
      <w:r>
        <w:rPr>
          <w:i/>
          <w:iCs/>
        </w:rPr>
        <w:t>et al.</w:t>
      </w:r>
      <w:r>
        <w:t xml:space="preserve">, “Carbon Footprint Reduction for Sustainable Data Centers in Real-Time,” 2024, </w:t>
      </w:r>
      <w:r>
        <w:rPr>
          <w:i/>
          <w:iCs/>
        </w:rPr>
        <w:t>arXiv</w:t>
      </w:r>
      <w:r>
        <w:t>. doi: 10.48550/ARXIV.2403.14092.</w:t>
      </w:r>
    </w:p>
    <w:p w14:paraId="14F23FEA" w14:textId="77777777" w:rsidR="00CD6F8E" w:rsidRDefault="00CD6F8E" w:rsidP="00CD6F8E">
      <w:pPr>
        <w:pStyle w:val="Bibliography"/>
      </w:pPr>
      <w:r>
        <w:t>[147]</w:t>
      </w:r>
      <w:r>
        <w:tab/>
        <w:t xml:space="preserve">J. Sefyrin, “Sustainable datacentres and eco-modernist frictions in Sweden,” </w:t>
      </w:r>
      <w:r>
        <w:rPr>
          <w:i/>
          <w:iCs/>
        </w:rPr>
        <w:t>Inf. Commun. Soc.</w:t>
      </w:r>
      <w:r>
        <w:t>, pp. 1–17, Dec. 2025, doi: 10.1080/1369118X.2025.2596872.</w:t>
      </w:r>
    </w:p>
    <w:p w14:paraId="2C8AB738" w14:textId="77777777" w:rsidR="00CD6F8E" w:rsidRDefault="00CD6F8E" w:rsidP="00CD6F8E">
      <w:pPr>
        <w:pStyle w:val="Bibliography"/>
      </w:pPr>
      <w:r>
        <w:t>[148]</w:t>
      </w:r>
      <w:r>
        <w:tab/>
        <w:t>Lazard, “Levelized Cost of Energy.” [Online]. Available: https://www.lazard.com/media/eijnqja3/lazards-lcoeplus-june-2025.pdf</w:t>
      </w:r>
    </w:p>
    <w:p w14:paraId="60A3B68F" w14:textId="77777777" w:rsidR="00CD6F8E" w:rsidRDefault="00CD6F8E" w:rsidP="00CD6F8E">
      <w:pPr>
        <w:pStyle w:val="Bibliography"/>
      </w:pPr>
      <w:r>
        <w:t>[149]</w:t>
      </w:r>
      <w:r>
        <w:tab/>
        <w:t>EPA, “Summary of Inflation Reduction Act provisions related to renewable energy.” [Online]. Available: https://www.epa.gov/green-power-markets/summary-inflation-reduction-act-provisions-related-renewable-energy</w:t>
      </w:r>
    </w:p>
    <w:p w14:paraId="039F7647" w14:textId="77777777" w:rsidR="00CD6F8E" w:rsidRDefault="00CD6F8E" w:rsidP="00CD6F8E">
      <w:pPr>
        <w:pStyle w:val="Bibliography"/>
      </w:pPr>
      <w:r>
        <w:t>[150]</w:t>
      </w:r>
      <w:r>
        <w:tab/>
        <w:t xml:space="preserve">J. Rand </w:t>
      </w:r>
      <w:r>
        <w:rPr>
          <w:i/>
          <w:iCs/>
        </w:rPr>
        <w:t>et al.</w:t>
      </w:r>
      <w:r>
        <w:t>, “Characteristics of Power Plants Seeking Transmission Interconnection As of the End of 2024”.</w:t>
      </w:r>
    </w:p>
    <w:p w14:paraId="17892B9B" w14:textId="77777777" w:rsidR="00CD6F8E" w:rsidRDefault="00CD6F8E" w:rsidP="00CD6F8E">
      <w:pPr>
        <w:pStyle w:val="Bibliography"/>
      </w:pPr>
      <w:r>
        <w:t>[151]</w:t>
      </w:r>
      <w:r>
        <w:tab/>
        <w:t xml:space="preserve">M. S. Hoosain, B. S. Paul, S. Kass, and S. Ramakrishna, “Tools Towards the Sustainability and Circularity of Data Centers,” </w:t>
      </w:r>
      <w:r>
        <w:rPr>
          <w:i/>
          <w:iCs/>
        </w:rPr>
        <w:t>Circ. Econ. Sustain.</w:t>
      </w:r>
      <w:r>
        <w:t>, vol. 3, no. 1, pp. 173–197, Mar. 2023, doi: 10.1007/s43615-022-00191-9.</w:t>
      </w:r>
    </w:p>
    <w:p w14:paraId="045A9A6D" w14:textId="77777777" w:rsidR="00CD6F8E" w:rsidRDefault="00CD6F8E" w:rsidP="00CD6F8E">
      <w:pPr>
        <w:pStyle w:val="Bibliography"/>
      </w:pPr>
      <w:r>
        <w:t>[152]</w:t>
      </w:r>
      <w:r>
        <w:tab/>
        <w:t>NFPA, “NFPA 110 Type 10 Requirements for Emergency Power Systems.” [Online]. Available: https://www.cummins.com/sites/default/files/2019-03/PowerHour_NFPA110.pdf</w:t>
      </w:r>
    </w:p>
    <w:p w14:paraId="22E2F528" w14:textId="77777777" w:rsidR="00CD6F8E" w:rsidRDefault="00CD6F8E" w:rsidP="00CD6F8E">
      <w:pPr>
        <w:pStyle w:val="Bibliography"/>
      </w:pPr>
      <w:r>
        <w:t>[153]</w:t>
      </w:r>
      <w:r>
        <w:tab/>
        <w:t xml:space="preserve">R. Kasperzak, M. Kureljusic, L. Reisch, and S. Thies, “Accounting for Carbon Emissions—Current State of Sustainability Reporting Practice under the GHG Protocol,” </w:t>
      </w:r>
      <w:r>
        <w:rPr>
          <w:i/>
          <w:iCs/>
        </w:rPr>
        <w:t>Sustainability</w:t>
      </w:r>
      <w:r>
        <w:t>, vol. 15, no. 2, p. 994, Jan. 2023, doi: 10.3390/su15020994.</w:t>
      </w:r>
    </w:p>
    <w:p w14:paraId="77E3C3CA" w14:textId="77777777" w:rsidR="00CD6F8E" w:rsidRDefault="00CD6F8E" w:rsidP="00CD6F8E">
      <w:pPr>
        <w:pStyle w:val="Bibliography"/>
      </w:pPr>
      <w:r>
        <w:t>[154]</w:t>
      </w:r>
      <w:r>
        <w:tab/>
        <w:t xml:space="preserve">J. Kim </w:t>
      </w:r>
      <w:r>
        <w:rPr>
          <w:i/>
          <w:iCs/>
        </w:rPr>
        <w:t>et al.</w:t>
      </w:r>
      <w:r>
        <w:t xml:space="preserve">, “Reviewing the socio-technical dynamics of AI, data centers and digitalization on energy and the environment,” </w:t>
      </w:r>
      <w:r>
        <w:rPr>
          <w:i/>
          <w:iCs/>
        </w:rPr>
        <w:t>Renew. Sustain. Energy Rev.</w:t>
      </w:r>
      <w:r>
        <w:t>, vol. 234, p. 116861, Jul. 2026, doi: 10.1016/j.rser.2026.116861.</w:t>
      </w:r>
    </w:p>
    <w:p w14:paraId="77DB086D" w14:textId="77777777" w:rsidR="00CD6F8E" w:rsidRDefault="00CD6F8E" w:rsidP="00CD6F8E">
      <w:pPr>
        <w:pStyle w:val="Bibliography"/>
      </w:pPr>
      <w:r>
        <w:t>[155]</w:t>
      </w:r>
      <w:r>
        <w:tab/>
        <w:t xml:space="preserve">G. Soyturk and O. Kizilkan, “Modeling and analysis of solid oxide fuel cell-based multigeneration system with supercritical and transcritical carbon dioxide power cycles, humidification-dehumidification system and hydrogen generation,” </w:t>
      </w:r>
      <w:r>
        <w:rPr>
          <w:i/>
          <w:iCs/>
        </w:rPr>
        <w:t>Energy Convers. Manag.</w:t>
      </w:r>
      <w:r>
        <w:t>, vol. 332, p. 119762, May 2025, doi: 10.1016/j.enconman.2025.119762.</w:t>
      </w:r>
    </w:p>
    <w:p w14:paraId="28DF3B1B" w14:textId="77777777" w:rsidR="00CD6F8E" w:rsidRDefault="00CD6F8E" w:rsidP="00CD6F8E">
      <w:pPr>
        <w:pStyle w:val="Bibliography"/>
      </w:pPr>
      <w:r>
        <w:t>[156]</w:t>
      </w:r>
      <w:r>
        <w:tab/>
        <w:t>Arthur D. Little, “U N L O C K I N G FUSION ENERGY.” [Online]. Available: https://www.adlittle.com/sites/default/files/reports/ADL_Unlocking_fusion_energy_2025%20%281%29.pdf</w:t>
      </w:r>
    </w:p>
    <w:p w14:paraId="16EB37E1" w14:textId="77777777" w:rsidR="00CD6F8E" w:rsidRDefault="00CD6F8E" w:rsidP="00CD6F8E">
      <w:pPr>
        <w:pStyle w:val="Bibliography"/>
      </w:pPr>
      <w:r>
        <w:t>[157]</w:t>
      </w:r>
      <w:r>
        <w:tab/>
        <w:t xml:space="preserve">F. M. A. Hadi, H. H. Aly, and T. Little, “Harmonics Forecasting of Wind and Solar Hybrid Model Based on Deep Machine Learning,” </w:t>
      </w:r>
      <w:r>
        <w:rPr>
          <w:i/>
          <w:iCs/>
        </w:rPr>
        <w:t>IEEE Access</w:t>
      </w:r>
      <w:r>
        <w:t>, vol. 11, pp. 100438–100457, 2023, doi: 10.1109/ACCESS.2023.3314742.</w:t>
      </w:r>
    </w:p>
    <w:p w14:paraId="58CB67A3" w14:textId="77777777" w:rsidR="00CD6F8E" w:rsidRDefault="00CD6F8E" w:rsidP="00CD6F8E">
      <w:pPr>
        <w:pStyle w:val="Bibliography"/>
      </w:pPr>
      <w:r>
        <w:t>[158]</w:t>
      </w:r>
      <w:r>
        <w:tab/>
        <w:t xml:space="preserve">M. I. Saleem, S. Saha, U. Izhar, and L. Ang, “Stability assessment of inverter‐based renewable energy sources integrated to weak grids,” </w:t>
      </w:r>
      <w:r>
        <w:rPr>
          <w:i/>
          <w:iCs/>
        </w:rPr>
        <w:t>IET Energy Syst. Integr.</w:t>
      </w:r>
      <w:r>
        <w:t>, vol. 6, no. 4, pp. 525–544, Dec. 2024, doi: 10.1049/esi2.12151.</w:t>
      </w:r>
    </w:p>
    <w:p w14:paraId="0E53BB33" w14:textId="77777777" w:rsidR="00CD6F8E" w:rsidRDefault="00CD6F8E" w:rsidP="00CD6F8E">
      <w:pPr>
        <w:pStyle w:val="Bibliography"/>
      </w:pPr>
      <w:r>
        <w:t>[159]</w:t>
      </w:r>
      <w:r>
        <w:tab/>
        <w:t>N. Institute, “Beyond FERC Order 2023: Considerations on Deep Interconnection Reform”, [Online]. Available: https://www.researchgate.net/publication/382074664_Beyond_FERC_Order_2023_Considerations_on_Deep_Interconnection_Reform</w:t>
      </w:r>
    </w:p>
    <w:p w14:paraId="3D4144FB" w14:textId="77777777" w:rsidR="00CD6F8E" w:rsidRDefault="00CD6F8E" w:rsidP="00CD6F8E">
      <w:pPr>
        <w:pStyle w:val="Bibliography"/>
      </w:pPr>
      <w:r>
        <w:t>[160]</w:t>
      </w:r>
      <w:r>
        <w:tab/>
        <w:t xml:space="preserve">S. Talebi and H. H. Aly, “Optimized Renewable Energy Integration: Advanced Modeling, Control, and Design of a Standalone Microgrid Using Hybrid FA-PSO,” </w:t>
      </w:r>
      <w:r>
        <w:rPr>
          <w:i/>
          <w:iCs/>
        </w:rPr>
        <w:t>IEEE Access</w:t>
      </w:r>
      <w:r>
        <w:t>, vol. 13, pp. 63486–63503, 2025, doi: 10.1109/ACCESS.2025.3559725.</w:t>
      </w:r>
    </w:p>
    <w:p w14:paraId="0C002688" w14:textId="77777777" w:rsidR="00CD6F8E" w:rsidRDefault="00CD6F8E" w:rsidP="00CD6F8E">
      <w:pPr>
        <w:pStyle w:val="Bibliography"/>
      </w:pPr>
      <w:r>
        <w:lastRenderedPageBreak/>
        <w:t>[161]</w:t>
      </w:r>
      <w:r>
        <w:tab/>
        <w:t xml:space="preserve">H. Chen, Z. Zhang, C. Guan, and H. Gao, “Optimization of sizing and frequency control in battery/supercapacitor hybrid energy storage system for fuel cell ship,” </w:t>
      </w:r>
      <w:r>
        <w:rPr>
          <w:i/>
          <w:iCs/>
        </w:rPr>
        <w:t>Energy</w:t>
      </w:r>
      <w:r>
        <w:t>, vol. 197, p. 117285, Apr. 2020, doi: 10.1016/j.energy.2020.117285.</w:t>
      </w:r>
    </w:p>
    <w:p w14:paraId="7CD2DE9C" w14:textId="77777777" w:rsidR="00CD6F8E" w:rsidRDefault="00CD6F8E" w:rsidP="00CD6F8E">
      <w:pPr>
        <w:pStyle w:val="Bibliography"/>
      </w:pPr>
      <w:r>
        <w:t>[162]</w:t>
      </w:r>
      <w:r>
        <w:tab/>
        <w:t xml:space="preserve">J. Lu, R. Xiong, J. Tian, C. Wang, and F. Sun, “Deep learning to estimate lithium-ion battery state of health without additional degradation experiments,” </w:t>
      </w:r>
      <w:r>
        <w:rPr>
          <w:i/>
          <w:iCs/>
        </w:rPr>
        <w:t>Nat. Commun.</w:t>
      </w:r>
      <w:r>
        <w:t>, vol. 14, no. 1, p. 2760, May 2023, doi: 10.1038/s41467-023-38458-w.</w:t>
      </w:r>
    </w:p>
    <w:p w14:paraId="40B2F125" w14:textId="77777777" w:rsidR="00CD6F8E" w:rsidRDefault="00CD6F8E" w:rsidP="00CD6F8E">
      <w:pPr>
        <w:pStyle w:val="Bibliography"/>
      </w:pPr>
      <w:r>
        <w:t>[163]</w:t>
      </w:r>
      <w:r>
        <w:tab/>
        <w:t>S. Chatterjee, “Mitigating Supply Chain Malware Risks in Operational Technology: Challenges and Solutions for the Oil and Gas Industry”.</w:t>
      </w:r>
    </w:p>
    <w:p w14:paraId="2BD9F6A1" w14:textId="77777777" w:rsidR="00CD6F8E" w:rsidRDefault="00CD6F8E" w:rsidP="00CD6F8E">
      <w:pPr>
        <w:pStyle w:val="Bibliography"/>
      </w:pPr>
      <w:r>
        <w:t>[164]</w:t>
      </w:r>
      <w:r>
        <w:tab/>
        <w:t>M. G. Todeschini, G. Dondossola, and R. Terruggia, “IMPACT EVALUATION OF IEC 62351 CYBER SECURITY ON IEC 61850 COMMUNICATIONS PERFORMANCE,” 2019.</w:t>
      </w:r>
    </w:p>
    <w:p w14:paraId="63D73E53" w14:textId="77777777" w:rsidR="00CD6F8E" w:rsidRDefault="00CD6F8E" w:rsidP="00CD6F8E">
      <w:pPr>
        <w:pStyle w:val="Bibliography"/>
      </w:pPr>
      <w:r>
        <w:t>[165]</w:t>
      </w:r>
      <w:r>
        <w:tab/>
        <w:t xml:space="preserve">A. Dimakopoulou and K. Rantos, “Comprehensive Analysis of Maritime Cybersecurity Landscape Based on the NIST CSF v2.0,” </w:t>
      </w:r>
      <w:r>
        <w:rPr>
          <w:i/>
          <w:iCs/>
        </w:rPr>
        <w:t>J. Mar. Sci. Eng.</w:t>
      </w:r>
      <w:r>
        <w:t>, vol. 12, no. 6, p. 919, May 2024, doi: 10.3390/jmse12060919.</w:t>
      </w:r>
    </w:p>
    <w:p w14:paraId="537EED10" w14:textId="77777777" w:rsidR="00CD6F8E" w:rsidRDefault="00CD6F8E" w:rsidP="00CD6F8E">
      <w:pPr>
        <w:pStyle w:val="Bibliography"/>
      </w:pPr>
      <w:r>
        <w:t>[166]</w:t>
      </w:r>
      <w:r>
        <w:tab/>
        <w:t>E. Chojkiewicz, A. Manocha, U. Paliwal, D. Callaway, and A. Phadke, “Utilizing Noncoincident Needs to Site Data Centers with Solar+Storage at Existing Gas Plants”.</w:t>
      </w:r>
    </w:p>
    <w:p w14:paraId="475962C4" w14:textId="77777777" w:rsidR="00CD6F8E" w:rsidRDefault="00CD6F8E" w:rsidP="00CD6F8E">
      <w:pPr>
        <w:pStyle w:val="Bibliography"/>
      </w:pPr>
      <w:r>
        <w:t>[167]</w:t>
      </w:r>
      <w:r>
        <w:tab/>
        <w:t xml:space="preserve">A. Jäger-Waldau, “Snapshot of photovoltaics—February 2026,” </w:t>
      </w:r>
      <w:r>
        <w:rPr>
          <w:i/>
          <w:iCs/>
        </w:rPr>
        <w:t>EPJ Photovolt.</w:t>
      </w:r>
      <w:r>
        <w:t>, vol. 17, p. 18, 2026, doi: 10.1051/epjpv/2026011.</w:t>
      </w:r>
    </w:p>
    <w:p w14:paraId="4B2EDEE1" w14:textId="77777777" w:rsidR="00CD6F8E" w:rsidRDefault="00CD6F8E" w:rsidP="00CD6F8E">
      <w:pPr>
        <w:pStyle w:val="Bibliography"/>
      </w:pPr>
      <w:r>
        <w:t>[168]</w:t>
      </w:r>
      <w:r>
        <w:tab/>
        <w:t xml:space="preserve">O. Kay, R. Reaser, and R. Taylor, “Processing Power: The Effect of Data Centers on Wholesale Electricity Markets,” </w:t>
      </w:r>
      <w:r>
        <w:rPr>
          <w:i/>
          <w:iCs/>
        </w:rPr>
        <w:t>Fed. Reserve Bank Dallas Work. Pap.</w:t>
      </w:r>
      <w:r>
        <w:t>, vol. 2026, no. 2606, Mar. 2026, doi: 10.24149/wp2606.</w:t>
      </w:r>
    </w:p>
    <w:p w14:paraId="60294A3C" w14:textId="77777777" w:rsidR="00CD6F8E" w:rsidRDefault="00CD6F8E" w:rsidP="00CD6F8E">
      <w:pPr>
        <w:pStyle w:val="Bibliography"/>
      </w:pPr>
      <w:r>
        <w:t>[169]</w:t>
      </w:r>
      <w:r>
        <w:tab/>
        <w:t>S. Clemmer, M. Chavez, S. Dotson, J. Gignac, S. Sattler, and L. Shaver, “Data Center Power Play: How Clean Energy Can Meet Rising Electricity Demand While Delivering Climate and Health Benefits,” Union of Concerned Scientists, Jan. 2026. doi: 10.47923/2026.16051.</w:t>
      </w:r>
    </w:p>
    <w:p w14:paraId="2B11BA3D" w14:textId="77777777" w:rsidR="00CD6F8E" w:rsidRDefault="00CD6F8E" w:rsidP="00CD6F8E">
      <w:pPr>
        <w:pStyle w:val="Bibliography"/>
      </w:pPr>
      <w:r>
        <w:t>[170]</w:t>
      </w:r>
      <w:r>
        <w:tab/>
        <w:t>Q. Yang, Y. Liu, T. Chen, and Y. Tong, “Federated Machine Learning: Concept and Applications,” 2019, doi: 10.48550/ARXIV.1902.04885.</w:t>
      </w:r>
    </w:p>
    <w:p w14:paraId="622272DA" w14:textId="77777777" w:rsidR="00CD6F8E" w:rsidRDefault="00CD6F8E" w:rsidP="00CD6F8E">
      <w:pPr>
        <w:pStyle w:val="Bibliography"/>
      </w:pPr>
      <w:r>
        <w:t>[171]</w:t>
      </w:r>
      <w:r>
        <w:tab/>
        <w:t xml:space="preserve">M. Dukan and B. Steffen, “Cost of capital for renewables and enabling technologies: Measuring the multidimensional heterogeneity in Switzerland,” 2024, </w:t>
      </w:r>
      <w:r>
        <w:rPr>
          <w:i/>
          <w:iCs/>
        </w:rPr>
        <w:t>SSRN</w:t>
      </w:r>
      <w:r>
        <w:t>. doi: 10.2139/ssrn.4926798.</w:t>
      </w:r>
    </w:p>
    <w:p w14:paraId="5E9CF3FA" w14:textId="77777777" w:rsidR="00CD6F8E" w:rsidRDefault="00CD6F8E" w:rsidP="00CD6F8E">
      <w:pPr>
        <w:pStyle w:val="Bibliography"/>
      </w:pPr>
      <w:r>
        <w:t>[172]</w:t>
      </w:r>
      <w:r>
        <w:tab/>
        <w:t>IESO, “2026 Annual Planning Outlook.” [Online]. Available: https://www.ieso.ca/-/media/Files/IESO/Document-Library/planning-forecasts/apo/2026/2026-APO-Demand-Forecast-Module.pdf</w:t>
      </w:r>
    </w:p>
    <w:p w14:paraId="4648B568" w14:textId="77777777" w:rsidR="00CD6F8E" w:rsidRDefault="00CD6F8E" w:rsidP="00CD6F8E">
      <w:pPr>
        <w:pStyle w:val="Bibliography"/>
      </w:pPr>
      <w:r>
        <w:t>[173]</w:t>
      </w:r>
      <w:r>
        <w:tab/>
        <w:t xml:space="preserve">“Assessing the Economic Impact of Artificial Intelligence,” </w:t>
      </w:r>
      <w:r>
        <w:rPr>
          <w:i/>
          <w:iCs/>
        </w:rPr>
        <w:t>ITU</w:t>
      </w:r>
      <w:r>
        <w:t>, [Online]. Available: https://www.itu.int/dms_pub/itu-s/opb/gen/S-gen-issuepaper-2018-1-pdf-e.pdf</w:t>
      </w:r>
    </w:p>
    <w:p w14:paraId="6E642CB9" w14:textId="77777777" w:rsidR="00CD6F8E" w:rsidRDefault="00CD6F8E" w:rsidP="00CD6F8E">
      <w:pPr>
        <w:pStyle w:val="Bibliography"/>
      </w:pPr>
      <w:r>
        <w:t>[174]</w:t>
      </w:r>
      <w:r>
        <w:tab/>
        <w:t xml:space="preserve">G. Duppati, “Carbon pricing and revenue growth valuation risk exposure,” </w:t>
      </w:r>
      <w:r>
        <w:rPr>
          <w:i/>
          <w:iCs/>
        </w:rPr>
        <w:t>Int. Rev. Econ. Finance</w:t>
      </w:r>
      <w:r>
        <w:t>, vol. 103, p. 104442, Oct. 2025, doi: 10.1016/j.iref.2025.104442.</w:t>
      </w:r>
    </w:p>
    <w:p w14:paraId="14149C29" w14:textId="77777777" w:rsidR="00CD6F8E" w:rsidRDefault="00CD6F8E" w:rsidP="00CD6F8E">
      <w:pPr>
        <w:pStyle w:val="Bibliography"/>
      </w:pPr>
      <w:r>
        <w:t>[175]</w:t>
      </w:r>
      <w:r>
        <w:tab/>
        <w:t>Daniel Yang, “Risk Structure and Financial Hedging in Nodal Electricity Markets.” [Online]. Available: https://www.oxfordenergy.org/wpcms/wp-content/uploads/2026/01/EL-61-Risk-Structure-and-Financial-Hedging.pdf</w:t>
      </w:r>
    </w:p>
    <w:p w14:paraId="75B79A8C" w14:textId="77777777" w:rsidR="00CD6F8E" w:rsidRDefault="00CD6F8E" w:rsidP="00CD6F8E">
      <w:pPr>
        <w:pStyle w:val="Bibliography"/>
      </w:pPr>
      <w:r>
        <w:t>[176]</w:t>
      </w:r>
      <w:r>
        <w:tab/>
        <w:t>S. Pillai and M. I. J. Nazir, “DemandLens: Enhancing Forecast Accuracy Through Product-Specific Hyperparameter Optimization”.</w:t>
      </w:r>
    </w:p>
    <w:p w14:paraId="1FB0DBE8" w14:textId="77777777" w:rsidR="00CD6F8E" w:rsidRDefault="00CD6F8E" w:rsidP="00CD6F8E">
      <w:pPr>
        <w:pStyle w:val="Bibliography"/>
      </w:pPr>
      <w:r>
        <w:lastRenderedPageBreak/>
        <w:t>[177]</w:t>
      </w:r>
      <w:r>
        <w:tab/>
        <w:t>PJM, “PJM State of the Market - 2025.” [Online]. Available: https://www.monitoringanalytics.com/reports/PJM_State_of_the_Market/2025.shtml</w:t>
      </w:r>
    </w:p>
    <w:p w14:paraId="5EF10E40" w14:textId="77777777" w:rsidR="00CD6F8E" w:rsidRDefault="00CD6F8E" w:rsidP="00CD6F8E">
      <w:pPr>
        <w:pStyle w:val="Bibliography"/>
      </w:pPr>
      <w:r>
        <w:t>[178]</w:t>
      </w:r>
      <w:r>
        <w:tab/>
        <w:t>Brooke Tanner, “Global energy demands within the AI regulatory landscape.” [Online]. Available: https://www.brookings.edu/articles/global-energy-demands-within-the-ai-regulatory-landscape/</w:t>
      </w:r>
    </w:p>
    <w:p w14:paraId="60BC8537" w14:textId="77777777" w:rsidR="00CD6F8E" w:rsidRDefault="00CD6F8E" w:rsidP="00CD6F8E">
      <w:pPr>
        <w:pStyle w:val="Bibliography"/>
      </w:pPr>
      <w:r>
        <w:t>[179]</w:t>
      </w:r>
      <w:r>
        <w:tab/>
        <w:t>Alistair Baker-Brian, “Data Centers in 2026: 5 Trends Reshaping Power, Cost, and Resilience.” [Online]. Available: https://www.enersys.com/en/blog-articles/data-centers-five-trends-reshaping-power-cost-and-resilience/</w:t>
      </w:r>
    </w:p>
    <w:p w14:paraId="3B4F7243" w14:textId="77777777" w:rsidR="00CD6F8E" w:rsidRDefault="00CD6F8E" w:rsidP="00CD6F8E">
      <w:pPr>
        <w:pStyle w:val="Bibliography"/>
      </w:pPr>
      <w:r>
        <w:t>[180]</w:t>
      </w:r>
      <w:r>
        <w:tab/>
        <w:t>F. Kahrl, J. H. Kim, A. Mills, R. Wiser, C. Montañés, and W. Gorman, “Variable Renewable Energy Participation in U.S. Ancillary Services Markets”.</w:t>
      </w:r>
    </w:p>
    <w:p w14:paraId="71DF41AA" w14:textId="77777777" w:rsidR="00CD6F8E" w:rsidRDefault="00CD6F8E" w:rsidP="00CD6F8E">
      <w:pPr>
        <w:pStyle w:val="Bibliography"/>
      </w:pPr>
      <w:r>
        <w:t>[181]</w:t>
      </w:r>
      <w:r>
        <w:tab/>
        <w:t xml:space="preserve">R. Abritta </w:t>
      </w:r>
      <w:r>
        <w:rPr>
          <w:i/>
          <w:iCs/>
        </w:rPr>
        <w:t>et al.</w:t>
      </w:r>
      <w:r>
        <w:t xml:space="preserve">, “Power Flow-Based Estimation of Short-Circuit Currents From Inverter-Based Resources,” </w:t>
      </w:r>
      <w:r>
        <w:rPr>
          <w:i/>
          <w:iCs/>
        </w:rPr>
        <w:t>IEEE Open Access J. Power Energy</w:t>
      </w:r>
      <w:r>
        <w:t>, vol. 13, pp. 229–239, 2026, doi: 10.1109/OAJPE.2026.3673646.</w:t>
      </w:r>
    </w:p>
    <w:p w14:paraId="1CE701FC" w14:textId="77777777" w:rsidR="00CD6F8E" w:rsidRDefault="00CD6F8E" w:rsidP="00CD6F8E">
      <w:pPr>
        <w:pStyle w:val="Bibliography"/>
      </w:pPr>
      <w:r>
        <w:t>[182]</w:t>
      </w:r>
      <w:r>
        <w:tab/>
        <w:t xml:space="preserve">J. Rand </w:t>
      </w:r>
      <w:r>
        <w:rPr>
          <w:i/>
          <w:iCs/>
        </w:rPr>
        <w:t>et al.</w:t>
      </w:r>
      <w:r>
        <w:t>, “Up: 2025 Edition, Characteristics of Power Plants Seeking Transmission Interconnection As of the End of 2024,” 2025, doi: 10.13140/RG.2.2.12274.67520.</w:t>
      </w:r>
    </w:p>
    <w:p w14:paraId="6543D153" w14:textId="77777777" w:rsidR="00CD6F8E" w:rsidRDefault="00CD6F8E" w:rsidP="00CD6F8E">
      <w:pPr>
        <w:pStyle w:val="Bibliography"/>
      </w:pPr>
      <w:r>
        <w:t>[183]</w:t>
      </w:r>
      <w:r>
        <w:tab/>
        <w:t xml:space="preserve">UN, “ENVIRONMENTAL COST OF AI’S ENERGY USE.” </w:t>
      </w:r>
    </w:p>
    <w:p w14:paraId="75C24081" w14:textId="77777777" w:rsidR="00CD6F8E" w:rsidRDefault="00CD6F8E" w:rsidP="00CD6F8E">
      <w:pPr>
        <w:pStyle w:val="Bibliography"/>
      </w:pPr>
      <w:r>
        <w:t>[184]</w:t>
      </w:r>
      <w:r>
        <w:tab/>
        <w:t>Alexander Heiss, Zacharias Sautner, and Zacharias Sautner, “Powering AI: How Do Data Centers Affect Renewable Energy Investment?” [Online]. Available: https://papers.ssrn.com/sol3/papers.cfm?abstract_id=6426079</w:t>
      </w:r>
    </w:p>
    <w:p w14:paraId="38318F86" w14:textId="77777777" w:rsidR="00CD6F8E" w:rsidRDefault="00CD6F8E" w:rsidP="00CD6F8E">
      <w:pPr>
        <w:pStyle w:val="Bibliography"/>
      </w:pPr>
      <w:r>
        <w:t>[185]</w:t>
      </w:r>
      <w:r>
        <w:tab/>
        <w:t xml:space="preserve">Q. Xu, W. Ricks, A. Manocha, N. Patankar, and J. D. Jenkins, “System-level impacts of voluntary carbon-free electricity procurement strategies,” </w:t>
      </w:r>
      <w:r>
        <w:rPr>
          <w:i/>
          <w:iCs/>
        </w:rPr>
        <w:t>Joule</w:t>
      </w:r>
      <w:r>
        <w:t>, vol. 8, no. 2, pp. 374–400, Feb. 2024, doi: 10.1016/j.joule.2023.12.007.</w:t>
      </w:r>
    </w:p>
    <w:p w14:paraId="605BC87E" w14:textId="77777777" w:rsidR="00CD6F8E" w:rsidRDefault="00CD6F8E" w:rsidP="00CD6F8E">
      <w:pPr>
        <w:pStyle w:val="Bibliography"/>
      </w:pPr>
      <w:r>
        <w:t>[186]</w:t>
      </w:r>
      <w:r>
        <w:tab/>
        <w:t>i2X, “Transmission Interconnection Roadmap.” [Online]. Available: https://www.energy.gov/sites/default/files/2024-04/i2X%20Transmission%20Interconnection%20Roadmap.pdf</w:t>
      </w:r>
    </w:p>
    <w:p w14:paraId="3C27682F" w14:textId="77777777" w:rsidR="00CD6F8E" w:rsidRDefault="00CD6F8E" w:rsidP="00CD6F8E">
      <w:pPr>
        <w:pStyle w:val="Bibliography"/>
      </w:pPr>
      <w:r>
        <w:t>[187]</w:t>
      </w:r>
      <w:r>
        <w:tab/>
        <w:t xml:space="preserve">P. A. Vilchez Olivares and B. J. Astorga De La Cruz, “AI and Data Analytics in Sustainable Financial Reporting and ESG Disclosure: A Systematic Literature Review,” </w:t>
      </w:r>
      <w:r>
        <w:rPr>
          <w:i/>
          <w:iCs/>
        </w:rPr>
        <w:t>Sustainability</w:t>
      </w:r>
      <w:r>
        <w:t>, vol. 18, no. 11, p. 5393, May 2026, doi: 10.3390/su18115393.</w:t>
      </w:r>
    </w:p>
    <w:p w14:paraId="4ED4A7D1" w14:textId="77777777" w:rsidR="00CD6F8E" w:rsidRDefault="00CD6F8E" w:rsidP="00CD6F8E">
      <w:pPr>
        <w:pStyle w:val="Bibliography"/>
      </w:pPr>
      <w:r>
        <w:t>[188]</w:t>
      </w:r>
      <w:r>
        <w:tab/>
        <w:t>Jessica Commins, “Towards Planet Proof Computing: Law and Policy of Data Centre Sustainability in the European Union.” [Online]. Available: file:///C:/Users/mtk17/Downloads/TechReg2025.001+Commins.pdf</w:t>
      </w:r>
    </w:p>
    <w:p w14:paraId="4F36E779" w14:textId="77777777" w:rsidR="00CD6F8E" w:rsidRDefault="00CD6F8E" w:rsidP="00CD6F8E">
      <w:pPr>
        <w:pStyle w:val="Bibliography"/>
      </w:pPr>
      <w:r>
        <w:t>[189]</w:t>
      </w:r>
      <w:r>
        <w:tab/>
        <w:t xml:space="preserve">M. A. Nielsen and I. L. Chuang, </w:t>
      </w:r>
      <w:r>
        <w:rPr>
          <w:i/>
          <w:iCs/>
        </w:rPr>
        <w:t>Quantum computation and quantum information</w:t>
      </w:r>
      <w:r>
        <w:t>, 10th anniversary ed. Cambridge ; New York: Cambridge University Press, 2010.</w:t>
      </w:r>
    </w:p>
    <w:p w14:paraId="085AF20A" w14:textId="77777777" w:rsidR="00CD6F8E" w:rsidRDefault="00CD6F8E" w:rsidP="00CD6F8E">
      <w:pPr>
        <w:pStyle w:val="Bibliography"/>
      </w:pPr>
      <w:r>
        <w:t>[190]</w:t>
      </w:r>
      <w:r>
        <w:tab/>
        <w:t xml:space="preserve">C. D. Schuman, S. R. Kulkarni, M. Parsa, J. P. Mitchell, P. Date, and B. Kay, “Opportunities for neuromorphic computing algorithms and applications,” </w:t>
      </w:r>
      <w:r>
        <w:rPr>
          <w:i/>
          <w:iCs/>
        </w:rPr>
        <w:t>Nat. Comput. Sci.</w:t>
      </w:r>
      <w:r>
        <w:t>, vol. 2, no. 1, pp. 10–19, Jan. 2022, doi: 10.1038/s43588-021-00184-y.</w:t>
      </w:r>
    </w:p>
    <w:p w14:paraId="24041E62" w14:textId="77777777" w:rsidR="00CD6F8E" w:rsidRDefault="00CD6F8E" w:rsidP="00CD6F8E">
      <w:pPr>
        <w:pStyle w:val="Bibliography"/>
      </w:pPr>
      <w:r>
        <w:t>[191]</w:t>
      </w:r>
      <w:r>
        <w:tab/>
        <w:t>T.-C. Hsueh, “Panel-Scale Reconfigurable Photonic Interconnects for Scalable AI Computation”.</w:t>
      </w:r>
    </w:p>
    <w:p w14:paraId="4D0E6AA5" w14:textId="77777777" w:rsidR="00CD6F8E" w:rsidRDefault="00CD6F8E" w:rsidP="00CD6F8E">
      <w:pPr>
        <w:pStyle w:val="Bibliography"/>
      </w:pPr>
      <w:r>
        <w:t>[192]</w:t>
      </w:r>
      <w:r>
        <w:tab/>
        <w:t xml:space="preserve">Y. Ding, Z. P. Cano, A. Yu, J. Lu, and Z. Chen, “Automotive Li-Ion Batteries: Current Status and Future Perspectives,” </w:t>
      </w:r>
      <w:r>
        <w:rPr>
          <w:i/>
          <w:iCs/>
        </w:rPr>
        <w:t>Electrochem. Energy Rev.</w:t>
      </w:r>
      <w:r>
        <w:t>, vol. 2, no. 1, pp. 1–28, Mar. 2019, doi: 10.1007/s41918-018-0022-z.</w:t>
      </w:r>
    </w:p>
    <w:p w14:paraId="3D1E1C00" w14:textId="77777777" w:rsidR="00CD6F8E" w:rsidRDefault="00CD6F8E" w:rsidP="00CD6F8E">
      <w:pPr>
        <w:pStyle w:val="Bibliography"/>
      </w:pPr>
      <w:r>
        <w:lastRenderedPageBreak/>
        <w:t>[193]</w:t>
      </w:r>
      <w:r>
        <w:tab/>
        <w:t xml:space="preserve">L. Friedel, J. Grenz, and C. Hagist, “A comparison of long duration energy storage technologies based on levelized cost of storage,” </w:t>
      </w:r>
      <w:r>
        <w:rPr>
          <w:i/>
          <w:iCs/>
        </w:rPr>
        <w:t>J. Energy Storage</w:t>
      </w:r>
      <w:r>
        <w:t>, vol. 153, p. 120679, Apr. 2026, doi: 10.1016/j.est.2026.120679.</w:t>
      </w:r>
    </w:p>
    <w:p w14:paraId="47250098" w14:textId="77777777" w:rsidR="00CD6F8E" w:rsidRDefault="00CD6F8E" w:rsidP="00CD6F8E">
      <w:pPr>
        <w:pStyle w:val="Bibliography"/>
      </w:pPr>
      <w:r>
        <w:t>[194]</w:t>
      </w:r>
      <w:r>
        <w:tab/>
        <w:t xml:space="preserve">A. Kushwaha, K. Ravish, P. Lamba, and P. Kumar, “A Survey of Safe Reinforcement Learning and Constrained MDPs: A Technical Survey on Single-Agent and Multi-Agent Safety,” Apr. 29, 2026, </w:t>
      </w:r>
      <w:r>
        <w:rPr>
          <w:i/>
          <w:iCs/>
        </w:rPr>
        <w:t>arXiv</w:t>
      </w:r>
      <w:r>
        <w:t>: arXiv:2505.17342. doi: 10.48550/arXiv.2505.17342.</w:t>
      </w:r>
    </w:p>
    <w:p w14:paraId="7194A3D4" w14:textId="77777777" w:rsidR="00CD6F8E" w:rsidRDefault="00CD6F8E" w:rsidP="00CD6F8E">
      <w:pPr>
        <w:pStyle w:val="Bibliography"/>
      </w:pPr>
      <w:r>
        <w:t>[195]</w:t>
      </w:r>
      <w:r>
        <w:tab/>
        <w:t xml:space="preserve">R. Eriksson, N. Modig, and K. Elkington, “Synthetic inertia versus fast frequency response: a definition,” </w:t>
      </w:r>
      <w:r>
        <w:rPr>
          <w:i/>
          <w:iCs/>
        </w:rPr>
        <w:t>IET Renew. Power Gener.</w:t>
      </w:r>
      <w:r>
        <w:t>, vol. 12, no. 5, pp. 507–514, Apr. 2018, doi: 10.1049/iet-rpg.2017.0370.</w:t>
      </w:r>
    </w:p>
    <w:p w14:paraId="6E5DE955" w14:textId="77777777" w:rsidR="00CD6F8E" w:rsidRDefault="00CD6F8E" w:rsidP="00CD6F8E">
      <w:pPr>
        <w:pStyle w:val="Bibliography"/>
      </w:pPr>
      <w:r>
        <w:t>[196]</w:t>
      </w:r>
      <w:r>
        <w:tab/>
        <w:t xml:space="preserve">H. H. H. Mousa, K. Mahmoud, and M. Lehtonen, “Recent developments of demand‐side management towards flexible DER‐rich power systems: A systematic review,” </w:t>
      </w:r>
      <w:r>
        <w:rPr>
          <w:i/>
          <w:iCs/>
        </w:rPr>
        <w:t>IET Gener. Transm. Distrib.</w:t>
      </w:r>
      <w:r>
        <w:t>, vol. 18, no. 13, pp. 2259–2300, Jul. 2024, doi: 10.1049/gtd2.13204.</w:t>
      </w:r>
    </w:p>
    <w:p w14:paraId="23CD62AF" w14:textId="77777777" w:rsidR="00CD6F8E" w:rsidRDefault="00CD6F8E" w:rsidP="00CD6F8E">
      <w:pPr>
        <w:pStyle w:val="Bibliography"/>
      </w:pPr>
      <w:r>
        <w:t>[197]</w:t>
      </w:r>
      <w:r>
        <w:tab/>
        <w:t xml:space="preserve">H. Nikafshan Rad, A. Ghasemi, and M. Marefati, “Cost and environmental analysis and optimization of a new and green three-level waste heat recovery-based cogeneration cycle: A comparative study,” </w:t>
      </w:r>
      <w:r>
        <w:rPr>
          <w:i/>
          <w:iCs/>
        </w:rPr>
        <w:t>Heliyon</w:t>
      </w:r>
      <w:r>
        <w:t>, vol. 10, no. 7, p. e29087, Apr. 2024, doi: 10.1016/j.heliyon.2024.e29087.</w:t>
      </w:r>
    </w:p>
    <w:p w14:paraId="6973CD59" w14:textId="1C613F5C" w:rsidR="0062701F" w:rsidRDefault="000F2608">
      <w:pPr>
        <w:pStyle w:val="Acknowledgments"/>
        <w:rPr>
          <w:color w:val="auto"/>
        </w:rPr>
      </w:pPr>
      <w:r>
        <w:rPr>
          <w:color w:val="auto"/>
        </w:rPr>
        <w:fldChar w:fldCharType="end"/>
      </w:r>
    </w:p>
    <w:sectPr w:rsidR="0062701F" w:rsidSect="00962BDF">
      <w:headerReference w:type="even" r:id="rId17"/>
      <w:headerReference w:type="default" r:id="rId18"/>
      <w:footerReference w:type="default" r:id="rId19"/>
      <w:headerReference w:type="first" r:id="rId20"/>
      <w:footerReference w:type="first" r:id="rId21"/>
      <w:pgSz w:w="11906" w:h="16838" w:code="9"/>
      <w:pgMar w:top="1417" w:right="1531" w:bottom="1077" w:left="1531" w:header="1020" w:footer="850" w:gutter="0"/>
      <w:pgNumType w:start="1"/>
      <w:cols w:space="425"/>
      <w:titlePg/>
      <w:docGrid w:type="lines"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ili Gong" w:date="2023-05-17T17:18:00Z" w:initials="LG">
    <w:p w14:paraId="00000001" w14:textId="77777777" w:rsidR="0062701F" w:rsidRDefault="008E6F28">
      <w:pPr>
        <w:pStyle w:val="CommentText"/>
        <w:rPr>
          <w:rFonts w:eastAsia="SimSun"/>
          <w:lang w:eastAsia="zh-CN"/>
        </w:rPr>
      </w:pPr>
      <w:r>
        <w:rPr>
          <w:rStyle w:val="CommentReference"/>
        </w:rPr>
        <w:annotationRef/>
      </w:r>
      <w:r>
        <w:rPr>
          <w:rFonts w:eastAsia="SimSun" w:hint="eastAsia"/>
          <w:lang w:eastAsia="zh-CN"/>
        </w:rPr>
        <w:t>Please choose the type of your p</w:t>
      </w:r>
      <w:r>
        <w:rPr>
          <w:rFonts w:eastAsia="SimSun"/>
          <w:lang w:eastAsia="zh-CN"/>
        </w:rPr>
        <w:t>aper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000001"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000001" w16cid:durableId="0000000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07E929" w14:textId="77777777" w:rsidR="00AE3245" w:rsidRDefault="00AE3245">
      <w:r>
        <w:separator/>
      </w:r>
    </w:p>
  </w:endnote>
  <w:endnote w:type="continuationSeparator" w:id="0">
    <w:p w14:paraId="6CC15527" w14:textId="77777777" w:rsidR="00AE3245" w:rsidRDefault="00AE32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 w:name="Segoe UI Light">
    <w:panose1 w:val="020B0502040204020203"/>
    <w:charset w:val="00"/>
    <w:family w:val="swiss"/>
    <w:pitch w:val="variable"/>
    <w:sig w:usb0="E4002EFF" w:usb1="C000E47F" w:usb2="00000009" w:usb3="00000000" w:csb0="000001FF" w:csb1="00000000"/>
  </w:font>
  <w:font w:name="Times">
    <w:altName w:val="Times"/>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6F899F" w14:textId="77777777" w:rsidR="0062701F" w:rsidRDefault="0062701F">
    <w:pPr>
      <w:pStyle w:val="Footer"/>
      <w:spacing w:line="240"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8EAA3" w14:textId="77777777" w:rsidR="0062701F" w:rsidRDefault="008E6F28">
    <w:pPr>
      <w:pStyle w:val="Footer"/>
      <w:rPr>
        <w:rFonts w:ascii="Palatino Linotype" w:hAnsi="Palatino Linotype"/>
        <w:i/>
        <w:sz w:val="16"/>
        <w:szCs w:val="16"/>
      </w:rPr>
    </w:pPr>
    <w:r>
      <w:rPr>
        <w:rFonts w:ascii="Palatino Linotype" w:hAnsi="Palatino Linotype"/>
        <w:i/>
        <w:sz w:val="16"/>
        <w:szCs w:val="16"/>
      </w:rPr>
      <w:t>https://www.keaipublishing.com/en/journals/space-solar-power-and-wireless-transmission/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351682" w14:textId="77777777" w:rsidR="00AE3245" w:rsidRDefault="00AE3245">
      <w:r>
        <w:separator/>
      </w:r>
    </w:p>
  </w:footnote>
  <w:footnote w:type="continuationSeparator" w:id="0">
    <w:p w14:paraId="20B480B6" w14:textId="77777777" w:rsidR="00AE3245" w:rsidRDefault="00AE32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128D4" w14:textId="77777777" w:rsidR="0062701F" w:rsidRDefault="0062701F">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B8C13" w14:textId="6A593B26" w:rsidR="0062701F" w:rsidRDefault="008E6F28">
    <w:pPr>
      <w:tabs>
        <w:tab w:val="right" w:pos="8844"/>
      </w:tabs>
      <w:adjustRightInd w:val="0"/>
      <w:snapToGrid w:val="0"/>
      <w:spacing w:after="240"/>
      <w:rPr>
        <w:rFonts w:ascii="Palatino Linotype" w:hAnsi="Palatino Linotype"/>
        <w:sz w:val="16"/>
      </w:rPr>
    </w:pPr>
    <w:r>
      <w:rPr>
        <w:rFonts w:ascii="Palatino Linotype" w:hAnsi="Palatino Linotype"/>
        <w:i/>
        <w:sz w:val="16"/>
      </w:rPr>
      <w:t>https://www.keaipublishing.com/en/journals/space-solar-power-and-wireless-transmission/</w:t>
    </w:r>
    <w:r>
      <w:rPr>
        <w:rFonts w:ascii="Palatino Linotype" w:hAnsi="Palatino Linotype"/>
        <w:sz w:val="16"/>
      </w:rPr>
      <w:tab/>
    </w:r>
    <w:r>
      <w:rPr>
        <w:rFonts w:ascii="Palatino Linotype" w:hAnsi="Palatino Linotype"/>
        <w:sz w:val="16"/>
      </w:rPr>
      <w:fldChar w:fldCharType="begin"/>
    </w:r>
    <w:r>
      <w:rPr>
        <w:rFonts w:ascii="Palatino Linotype" w:hAnsi="Palatino Linotype"/>
        <w:sz w:val="16"/>
      </w:rPr>
      <w:instrText xml:space="preserve"> PAGE   \* MERGEFORMAT </w:instrText>
    </w:r>
    <w:r>
      <w:rPr>
        <w:rFonts w:ascii="Palatino Linotype" w:hAnsi="Palatino Linotype"/>
        <w:sz w:val="16"/>
      </w:rPr>
      <w:fldChar w:fldCharType="separate"/>
    </w:r>
    <w:r w:rsidR="00FE61B7">
      <w:rPr>
        <w:rFonts w:ascii="Palatino Linotype" w:hAnsi="Palatino Linotype"/>
        <w:noProof/>
        <w:sz w:val="16"/>
      </w:rPr>
      <w:t>3</w:t>
    </w:r>
    <w:r>
      <w:rPr>
        <w:rFonts w:ascii="Palatino Linotype" w:hAnsi="Palatino Linotype"/>
        <w:sz w:val="16"/>
      </w:rPr>
      <w:fldChar w:fldCharType="end"/>
    </w:r>
    <w:r>
      <w:rPr>
        <w:rFonts w:ascii="Palatino Linotype" w:hAnsi="Palatino Linotype"/>
        <w:sz w:val="16"/>
      </w:rPr>
      <w:t xml:space="preserve"> of </w:t>
    </w:r>
    <w:r>
      <w:rPr>
        <w:rFonts w:ascii="Palatino Linotype" w:hAnsi="Palatino Linotype"/>
        <w:sz w:val="16"/>
      </w:rPr>
      <w:fldChar w:fldCharType="begin"/>
    </w:r>
    <w:r>
      <w:rPr>
        <w:rFonts w:ascii="Palatino Linotype" w:hAnsi="Palatino Linotype"/>
        <w:sz w:val="16"/>
      </w:rPr>
      <w:instrText xml:space="preserve"> NUMPAGES   \* MERGEFORMAT </w:instrText>
    </w:r>
    <w:r>
      <w:rPr>
        <w:rFonts w:ascii="Palatino Linotype" w:hAnsi="Palatino Linotype"/>
        <w:sz w:val="16"/>
      </w:rPr>
      <w:fldChar w:fldCharType="separate"/>
    </w:r>
    <w:r w:rsidR="00FE61B7">
      <w:rPr>
        <w:rFonts w:ascii="Palatino Linotype" w:hAnsi="Palatino Linotype"/>
        <w:noProof/>
        <w:sz w:val="16"/>
      </w:rPr>
      <w:t>4</w:t>
    </w:r>
    <w:r>
      <w:rPr>
        <w:rFonts w:ascii="Palatino Linotype" w:hAnsi="Palatino Linotype"/>
        <w:sz w:val="16"/>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CB730" w14:textId="5E932E4C" w:rsidR="0062701F" w:rsidRDefault="008E6F28">
    <w:pPr>
      <w:tabs>
        <w:tab w:val="right" w:pos="8844"/>
      </w:tabs>
      <w:adjustRightInd w:val="0"/>
      <w:snapToGrid w:val="0"/>
      <w:spacing w:after="240"/>
      <w:rPr>
        <w:rFonts w:ascii="Palatino Linotype" w:hAnsi="Palatino Linotype"/>
        <w:sz w:val="16"/>
      </w:rPr>
    </w:pPr>
    <w:r>
      <w:rPr>
        <w:rFonts w:eastAsia="SimSun"/>
        <w:lang w:eastAsia="zh-CN"/>
      </w:rPr>
      <w:t>Instructions for preparing papers for S</w:t>
    </w:r>
    <w:r>
      <w:rPr>
        <w:rFonts w:eastAsia="SimSun" w:hint="eastAsia"/>
        <w:lang w:eastAsia="zh-CN"/>
      </w:rPr>
      <w:t>pa</w:t>
    </w:r>
    <w:r>
      <w:rPr>
        <w:rFonts w:eastAsia="SimSun"/>
        <w:lang w:eastAsia="zh-CN"/>
      </w:rPr>
      <w:t>ce Solar Power &amp; Wireless Transmission</w:t>
    </w:r>
    <w:r>
      <w:rPr>
        <w:rFonts w:eastAsia="SimSun"/>
        <w:lang w:eastAsia="zh-CN"/>
      </w:rPr>
      <w:tab/>
    </w:r>
    <w:r>
      <w:rPr>
        <w:rFonts w:ascii="Palatino Linotype" w:hAnsi="Palatino Linotype"/>
        <w:sz w:val="16"/>
      </w:rPr>
      <w:fldChar w:fldCharType="begin"/>
    </w:r>
    <w:r>
      <w:rPr>
        <w:rFonts w:ascii="Palatino Linotype" w:hAnsi="Palatino Linotype"/>
        <w:sz w:val="16"/>
      </w:rPr>
      <w:instrText xml:space="preserve"> PAGE   \* MERGEFORMAT </w:instrText>
    </w:r>
    <w:r>
      <w:rPr>
        <w:rFonts w:ascii="Palatino Linotype" w:hAnsi="Palatino Linotype"/>
        <w:sz w:val="16"/>
      </w:rPr>
      <w:fldChar w:fldCharType="separate"/>
    </w:r>
    <w:r w:rsidR="00FE61B7">
      <w:rPr>
        <w:rFonts w:ascii="Palatino Linotype" w:hAnsi="Palatino Linotype"/>
        <w:noProof/>
        <w:sz w:val="16"/>
      </w:rPr>
      <w:t>1</w:t>
    </w:r>
    <w:r>
      <w:rPr>
        <w:rFonts w:ascii="Palatino Linotype" w:hAnsi="Palatino Linotype"/>
        <w:sz w:val="16"/>
      </w:rPr>
      <w:fldChar w:fldCharType="end"/>
    </w:r>
    <w:r>
      <w:rPr>
        <w:rFonts w:ascii="Palatino Linotype" w:hAnsi="Palatino Linotype"/>
        <w:sz w:val="16"/>
      </w:rPr>
      <w:t xml:space="preserve"> of </w:t>
    </w:r>
    <w:r>
      <w:rPr>
        <w:rFonts w:ascii="Palatino Linotype" w:hAnsi="Palatino Linotype"/>
        <w:sz w:val="16"/>
      </w:rPr>
      <w:fldChar w:fldCharType="begin"/>
    </w:r>
    <w:r>
      <w:rPr>
        <w:rFonts w:ascii="Palatino Linotype" w:hAnsi="Palatino Linotype"/>
        <w:sz w:val="16"/>
      </w:rPr>
      <w:instrText xml:space="preserve"> NUMPAGES   \* MERGEFORMAT </w:instrText>
    </w:r>
    <w:r>
      <w:rPr>
        <w:rFonts w:ascii="Palatino Linotype" w:hAnsi="Palatino Linotype"/>
        <w:sz w:val="16"/>
      </w:rPr>
      <w:fldChar w:fldCharType="separate"/>
    </w:r>
    <w:r w:rsidR="00FE61B7">
      <w:rPr>
        <w:rFonts w:ascii="Palatino Linotype" w:hAnsi="Palatino Linotype"/>
        <w:noProof/>
        <w:sz w:val="16"/>
      </w:rPr>
      <w:t>4</w:t>
    </w:r>
    <w:r>
      <w:rPr>
        <w:rFonts w:ascii="Palatino Linotype" w:hAnsi="Palatino Linotype"/>
        <w:sz w:val="1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D6480D34"/>
    <w:lvl w:ilvl="0" w:tplc="CDCEE7DA">
      <w:start w:val="1"/>
      <w:numFmt w:val="decimal"/>
      <w:pStyle w:val="SSPWT37itemize"/>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1" w15:restartNumberingAfterBreak="0">
    <w:nsid w:val="00000002"/>
    <w:multiLevelType w:val="hybridMultilevel"/>
    <w:tmpl w:val="534CEB7C"/>
    <w:lvl w:ilvl="0" w:tplc="7B0628CE">
      <w:start w:val="1"/>
      <w:numFmt w:val="bullet"/>
      <w:pStyle w:val="SSPWT38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2" w15:restartNumberingAfterBreak="0">
    <w:nsid w:val="02FF2BF0"/>
    <w:multiLevelType w:val="hybridMultilevel"/>
    <w:tmpl w:val="8B9E9210"/>
    <w:lvl w:ilvl="0" w:tplc="10090001">
      <w:start w:val="1"/>
      <w:numFmt w:val="bullet"/>
      <w:lvlText w:val=""/>
      <w:lvlJc w:val="left"/>
      <w:pPr>
        <w:ind w:left="1200" w:hanging="360"/>
      </w:pPr>
      <w:rPr>
        <w:rFonts w:ascii="Symbol" w:hAnsi="Symbol" w:hint="default"/>
      </w:rPr>
    </w:lvl>
    <w:lvl w:ilvl="1" w:tplc="10090003" w:tentative="1">
      <w:start w:val="1"/>
      <w:numFmt w:val="bullet"/>
      <w:lvlText w:val="o"/>
      <w:lvlJc w:val="left"/>
      <w:pPr>
        <w:ind w:left="1920" w:hanging="360"/>
      </w:pPr>
      <w:rPr>
        <w:rFonts w:ascii="Courier New" w:hAnsi="Courier New" w:cs="Courier New" w:hint="default"/>
      </w:rPr>
    </w:lvl>
    <w:lvl w:ilvl="2" w:tplc="10090005" w:tentative="1">
      <w:start w:val="1"/>
      <w:numFmt w:val="bullet"/>
      <w:lvlText w:val=""/>
      <w:lvlJc w:val="left"/>
      <w:pPr>
        <w:ind w:left="2640" w:hanging="360"/>
      </w:pPr>
      <w:rPr>
        <w:rFonts w:ascii="Wingdings" w:hAnsi="Wingdings" w:hint="default"/>
      </w:rPr>
    </w:lvl>
    <w:lvl w:ilvl="3" w:tplc="10090001" w:tentative="1">
      <w:start w:val="1"/>
      <w:numFmt w:val="bullet"/>
      <w:lvlText w:val=""/>
      <w:lvlJc w:val="left"/>
      <w:pPr>
        <w:ind w:left="3360" w:hanging="360"/>
      </w:pPr>
      <w:rPr>
        <w:rFonts w:ascii="Symbol" w:hAnsi="Symbol" w:hint="default"/>
      </w:rPr>
    </w:lvl>
    <w:lvl w:ilvl="4" w:tplc="10090003" w:tentative="1">
      <w:start w:val="1"/>
      <w:numFmt w:val="bullet"/>
      <w:lvlText w:val="o"/>
      <w:lvlJc w:val="left"/>
      <w:pPr>
        <w:ind w:left="4080" w:hanging="360"/>
      </w:pPr>
      <w:rPr>
        <w:rFonts w:ascii="Courier New" w:hAnsi="Courier New" w:cs="Courier New" w:hint="default"/>
      </w:rPr>
    </w:lvl>
    <w:lvl w:ilvl="5" w:tplc="10090005" w:tentative="1">
      <w:start w:val="1"/>
      <w:numFmt w:val="bullet"/>
      <w:lvlText w:val=""/>
      <w:lvlJc w:val="left"/>
      <w:pPr>
        <w:ind w:left="4800" w:hanging="360"/>
      </w:pPr>
      <w:rPr>
        <w:rFonts w:ascii="Wingdings" w:hAnsi="Wingdings" w:hint="default"/>
      </w:rPr>
    </w:lvl>
    <w:lvl w:ilvl="6" w:tplc="10090001" w:tentative="1">
      <w:start w:val="1"/>
      <w:numFmt w:val="bullet"/>
      <w:lvlText w:val=""/>
      <w:lvlJc w:val="left"/>
      <w:pPr>
        <w:ind w:left="5520" w:hanging="360"/>
      </w:pPr>
      <w:rPr>
        <w:rFonts w:ascii="Symbol" w:hAnsi="Symbol" w:hint="default"/>
      </w:rPr>
    </w:lvl>
    <w:lvl w:ilvl="7" w:tplc="10090003" w:tentative="1">
      <w:start w:val="1"/>
      <w:numFmt w:val="bullet"/>
      <w:lvlText w:val="o"/>
      <w:lvlJc w:val="left"/>
      <w:pPr>
        <w:ind w:left="6240" w:hanging="360"/>
      </w:pPr>
      <w:rPr>
        <w:rFonts w:ascii="Courier New" w:hAnsi="Courier New" w:cs="Courier New" w:hint="default"/>
      </w:rPr>
    </w:lvl>
    <w:lvl w:ilvl="8" w:tplc="10090005" w:tentative="1">
      <w:start w:val="1"/>
      <w:numFmt w:val="bullet"/>
      <w:lvlText w:val=""/>
      <w:lvlJc w:val="left"/>
      <w:pPr>
        <w:ind w:left="6960" w:hanging="360"/>
      </w:pPr>
      <w:rPr>
        <w:rFonts w:ascii="Wingdings" w:hAnsi="Wingdings" w:hint="default"/>
      </w:rPr>
    </w:lvl>
  </w:abstractNum>
  <w:abstractNum w:abstractNumId="3" w15:restartNumberingAfterBreak="0">
    <w:nsid w:val="2AA6681E"/>
    <w:multiLevelType w:val="hybridMultilevel"/>
    <w:tmpl w:val="4844E82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46206F8F"/>
    <w:multiLevelType w:val="hybridMultilevel"/>
    <w:tmpl w:val="0E36806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7AE74939"/>
    <w:multiLevelType w:val="hybridMultilevel"/>
    <w:tmpl w:val="C3402338"/>
    <w:lvl w:ilvl="0" w:tplc="71D0B74A">
      <w:start w:val="1"/>
      <w:numFmt w:val="decimal"/>
      <w:pStyle w:val="References"/>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7D1A301E"/>
    <w:multiLevelType w:val="multilevel"/>
    <w:tmpl w:val="34529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6089424">
    <w:abstractNumId w:val="0"/>
  </w:num>
  <w:num w:numId="2" w16cid:durableId="1612470030">
    <w:abstractNumId w:val="1"/>
  </w:num>
  <w:num w:numId="3" w16cid:durableId="241839649">
    <w:abstractNumId w:val="5"/>
  </w:num>
  <w:num w:numId="4" w16cid:durableId="1280408060">
    <w:abstractNumId w:val="6"/>
  </w:num>
  <w:num w:numId="5" w16cid:durableId="451441336">
    <w:abstractNumId w:val="4"/>
  </w:num>
  <w:num w:numId="6" w16cid:durableId="2038002810">
    <w:abstractNumId w:val="3"/>
  </w:num>
  <w:num w:numId="7" w16cid:durableId="618532243">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ili Gong">
    <w15:presenceInfo w15:providerId="Windows Live" w15:userId="08fdb598b63638c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attachedTemplate r:id="rId1"/>
  <w:defaultTabStop w:val="420"/>
  <w:drawingGridHorizontalSpacing w:val="120"/>
  <w:drawingGridVerticalSpacing w:val="163"/>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701F"/>
    <w:rsid w:val="00000CC0"/>
    <w:rsid w:val="00004098"/>
    <w:rsid w:val="00004DA8"/>
    <w:rsid w:val="00021D4C"/>
    <w:rsid w:val="0002304C"/>
    <w:rsid w:val="000321B5"/>
    <w:rsid w:val="00035D77"/>
    <w:rsid w:val="00040480"/>
    <w:rsid w:val="00044C5D"/>
    <w:rsid w:val="000642A3"/>
    <w:rsid w:val="00070841"/>
    <w:rsid w:val="000717F7"/>
    <w:rsid w:val="00080FE2"/>
    <w:rsid w:val="000812E0"/>
    <w:rsid w:val="00081E76"/>
    <w:rsid w:val="0008622D"/>
    <w:rsid w:val="0008678B"/>
    <w:rsid w:val="00095528"/>
    <w:rsid w:val="00095712"/>
    <w:rsid w:val="00095E8E"/>
    <w:rsid w:val="000973F7"/>
    <w:rsid w:val="000A408E"/>
    <w:rsid w:val="000A5126"/>
    <w:rsid w:val="000B39AB"/>
    <w:rsid w:val="000C0A5A"/>
    <w:rsid w:val="000C1B14"/>
    <w:rsid w:val="000C2F0C"/>
    <w:rsid w:val="000C3F0F"/>
    <w:rsid w:val="000D010A"/>
    <w:rsid w:val="000D6850"/>
    <w:rsid w:val="000E3C80"/>
    <w:rsid w:val="000E4885"/>
    <w:rsid w:val="000E77FA"/>
    <w:rsid w:val="000F2608"/>
    <w:rsid w:val="000F592A"/>
    <w:rsid w:val="0010384E"/>
    <w:rsid w:val="00104D7D"/>
    <w:rsid w:val="001109A6"/>
    <w:rsid w:val="00114F15"/>
    <w:rsid w:val="001161F2"/>
    <w:rsid w:val="00116D36"/>
    <w:rsid w:val="00131821"/>
    <w:rsid w:val="001329E8"/>
    <w:rsid w:val="00137E95"/>
    <w:rsid w:val="0014185D"/>
    <w:rsid w:val="00145C6F"/>
    <w:rsid w:val="0014625D"/>
    <w:rsid w:val="00147ED5"/>
    <w:rsid w:val="001530DD"/>
    <w:rsid w:val="001623F2"/>
    <w:rsid w:val="00163578"/>
    <w:rsid w:val="0017147F"/>
    <w:rsid w:val="00172115"/>
    <w:rsid w:val="0017345A"/>
    <w:rsid w:val="00173D97"/>
    <w:rsid w:val="001751D4"/>
    <w:rsid w:val="0017669A"/>
    <w:rsid w:val="001772C5"/>
    <w:rsid w:val="00180502"/>
    <w:rsid w:val="001850C1"/>
    <w:rsid w:val="0019198D"/>
    <w:rsid w:val="00194936"/>
    <w:rsid w:val="0019592A"/>
    <w:rsid w:val="00195B91"/>
    <w:rsid w:val="001A3F06"/>
    <w:rsid w:val="001A5343"/>
    <w:rsid w:val="001A6DB0"/>
    <w:rsid w:val="001A7127"/>
    <w:rsid w:val="001B2A37"/>
    <w:rsid w:val="001B3304"/>
    <w:rsid w:val="001B70F9"/>
    <w:rsid w:val="001B7512"/>
    <w:rsid w:val="001C0F6D"/>
    <w:rsid w:val="001C1DB8"/>
    <w:rsid w:val="001C2BF8"/>
    <w:rsid w:val="001D0BAC"/>
    <w:rsid w:val="001E0AAE"/>
    <w:rsid w:val="001E162E"/>
    <w:rsid w:val="001E2527"/>
    <w:rsid w:val="001E32DD"/>
    <w:rsid w:val="001F0361"/>
    <w:rsid w:val="002108A4"/>
    <w:rsid w:val="0021274D"/>
    <w:rsid w:val="00215994"/>
    <w:rsid w:val="00217AE8"/>
    <w:rsid w:val="00217ECC"/>
    <w:rsid w:val="00220493"/>
    <w:rsid w:val="00227113"/>
    <w:rsid w:val="002272B2"/>
    <w:rsid w:val="002306B5"/>
    <w:rsid w:val="002462C2"/>
    <w:rsid w:val="00251236"/>
    <w:rsid w:val="00253CAD"/>
    <w:rsid w:val="002641B9"/>
    <w:rsid w:val="00266077"/>
    <w:rsid w:val="00266ECA"/>
    <w:rsid w:val="00272BD0"/>
    <w:rsid w:val="00282103"/>
    <w:rsid w:val="0028220C"/>
    <w:rsid w:val="00286D4E"/>
    <w:rsid w:val="00291800"/>
    <w:rsid w:val="002951E4"/>
    <w:rsid w:val="0029629A"/>
    <w:rsid w:val="002A05B5"/>
    <w:rsid w:val="002A0616"/>
    <w:rsid w:val="002A1396"/>
    <w:rsid w:val="002A4526"/>
    <w:rsid w:val="002B35CB"/>
    <w:rsid w:val="002B39C3"/>
    <w:rsid w:val="002C06D9"/>
    <w:rsid w:val="002C0878"/>
    <w:rsid w:val="002C0C00"/>
    <w:rsid w:val="002C20E4"/>
    <w:rsid w:val="002C35E0"/>
    <w:rsid w:val="002C38FF"/>
    <w:rsid w:val="002C3CD7"/>
    <w:rsid w:val="002C45A5"/>
    <w:rsid w:val="002C5687"/>
    <w:rsid w:val="002C5CB3"/>
    <w:rsid w:val="002E0101"/>
    <w:rsid w:val="002E0505"/>
    <w:rsid w:val="002E2886"/>
    <w:rsid w:val="002E5A5D"/>
    <w:rsid w:val="002E772B"/>
    <w:rsid w:val="002F4FBC"/>
    <w:rsid w:val="00301AC3"/>
    <w:rsid w:val="00303C61"/>
    <w:rsid w:val="00310653"/>
    <w:rsid w:val="00314B47"/>
    <w:rsid w:val="00322C79"/>
    <w:rsid w:val="00323DD0"/>
    <w:rsid w:val="003265AE"/>
    <w:rsid w:val="00330029"/>
    <w:rsid w:val="00332576"/>
    <w:rsid w:val="00332F17"/>
    <w:rsid w:val="00337DE9"/>
    <w:rsid w:val="00341A95"/>
    <w:rsid w:val="00341E54"/>
    <w:rsid w:val="0035074E"/>
    <w:rsid w:val="00350D1E"/>
    <w:rsid w:val="00352CE2"/>
    <w:rsid w:val="003546AC"/>
    <w:rsid w:val="00354B1B"/>
    <w:rsid w:val="00355C72"/>
    <w:rsid w:val="00361F8B"/>
    <w:rsid w:val="003625E3"/>
    <w:rsid w:val="00363763"/>
    <w:rsid w:val="00363AE3"/>
    <w:rsid w:val="00365172"/>
    <w:rsid w:val="00365B2C"/>
    <w:rsid w:val="00367A03"/>
    <w:rsid w:val="00367B33"/>
    <w:rsid w:val="003728B2"/>
    <w:rsid w:val="00373AC1"/>
    <w:rsid w:val="00373B58"/>
    <w:rsid w:val="00380693"/>
    <w:rsid w:val="00380ED5"/>
    <w:rsid w:val="00383E7D"/>
    <w:rsid w:val="00392B15"/>
    <w:rsid w:val="00392C53"/>
    <w:rsid w:val="00394AF8"/>
    <w:rsid w:val="003A6352"/>
    <w:rsid w:val="003B1D88"/>
    <w:rsid w:val="003B30CC"/>
    <w:rsid w:val="003B33E0"/>
    <w:rsid w:val="003B44B7"/>
    <w:rsid w:val="003B53B0"/>
    <w:rsid w:val="003B7EEF"/>
    <w:rsid w:val="003C05F8"/>
    <w:rsid w:val="003C4670"/>
    <w:rsid w:val="003D3FE4"/>
    <w:rsid w:val="003E3E28"/>
    <w:rsid w:val="003E44F5"/>
    <w:rsid w:val="003F24D0"/>
    <w:rsid w:val="003F4876"/>
    <w:rsid w:val="003F5F56"/>
    <w:rsid w:val="00405F8F"/>
    <w:rsid w:val="0040687D"/>
    <w:rsid w:val="0041565E"/>
    <w:rsid w:val="00416183"/>
    <w:rsid w:val="004172B4"/>
    <w:rsid w:val="004211F1"/>
    <w:rsid w:val="004246FC"/>
    <w:rsid w:val="0042671C"/>
    <w:rsid w:val="00426773"/>
    <w:rsid w:val="00426A09"/>
    <w:rsid w:val="0043037D"/>
    <w:rsid w:val="00430A84"/>
    <w:rsid w:val="0043558A"/>
    <w:rsid w:val="00436A2E"/>
    <w:rsid w:val="00436DD1"/>
    <w:rsid w:val="00444FE2"/>
    <w:rsid w:val="004450CF"/>
    <w:rsid w:val="00452A11"/>
    <w:rsid w:val="00462752"/>
    <w:rsid w:val="00465E05"/>
    <w:rsid w:val="00466451"/>
    <w:rsid w:val="00483956"/>
    <w:rsid w:val="00491686"/>
    <w:rsid w:val="00493D72"/>
    <w:rsid w:val="00494A61"/>
    <w:rsid w:val="00495A80"/>
    <w:rsid w:val="004A0F17"/>
    <w:rsid w:val="004A4722"/>
    <w:rsid w:val="004A6040"/>
    <w:rsid w:val="004B221A"/>
    <w:rsid w:val="004B2C96"/>
    <w:rsid w:val="004B2DB1"/>
    <w:rsid w:val="004C48CC"/>
    <w:rsid w:val="004C5D3A"/>
    <w:rsid w:val="004D4343"/>
    <w:rsid w:val="004E2572"/>
    <w:rsid w:val="004E5D29"/>
    <w:rsid w:val="004E7936"/>
    <w:rsid w:val="004F700D"/>
    <w:rsid w:val="005022CC"/>
    <w:rsid w:val="00510160"/>
    <w:rsid w:val="005108FD"/>
    <w:rsid w:val="005117D6"/>
    <w:rsid w:val="005150B5"/>
    <w:rsid w:val="00516167"/>
    <w:rsid w:val="00525D68"/>
    <w:rsid w:val="00527876"/>
    <w:rsid w:val="00530654"/>
    <w:rsid w:val="00531B55"/>
    <w:rsid w:val="00533059"/>
    <w:rsid w:val="00540990"/>
    <w:rsid w:val="00555CCB"/>
    <w:rsid w:val="00556DF7"/>
    <w:rsid w:val="00561FEA"/>
    <w:rsid w:val="00566296"/>
    <w:rsid w:val="005705A5"/>
    <w:rsid w:val="00571D9E"/>
    <w:rsid w:val="00572140"/>
    <w:rsid w:val="0057330A"/>
    <w:rsid w:val="00581E8E"/>
    <w:rsid w:val="00593464"/>
    <w:rsid w:val="00593A3C"/>
    <w:rsid w:val="005957BD"/>
    <w:rsid w:val="00596679"/>
    <w:rsid w:val="005A2E15"/>
    <w:rsid w:val="005A4C37"/>
    <w:rsid w:val="005B0229"/>
    <w:rsid w:val="005B1FF5"/>
    <w:rsid w:val="005B20EC"/>
    <w:rsid w:val="005B3B34"/>
    <w:rsid w:val="005B5BA4"/>
    <w:rsid w:val="005B6395"/>
    <w:rsid w:val="005C1A2E"/>
    <w:rsid w:val="005C44F5"/>
    <w:rsid w:val="005C58DC"/>
    <w:rsid w:val="005C62D0"/>
    <w:rsid w:val="005D3F4C"/>
    <w:rsid w:val="005D66E7"/>
    <w:rsid w:val="005E1042"/>
    <w:rsid w:val="005F31AA"/>
    <w:rsid w:val="00604139"/>
    <w:rsid w:val="00607AA0"/>
    <w:rsid w:val="00612AA0"/>
    <w:rsid w:val="00613288"/>
    <w:rsid w:val="00614114"/>
    <w:rsid w:val="00617F77"/>
    <w:rsid w:val="00621DDC"/>
    <w:rsid w:val="006236BD"/>
    <w:rsid w:val="00624913"/>
    <w:rsid w:val="0062701F"/>
    <w:rsid w:val="00634212"/>
    <w:rsid w:val="00637E25"/>
    <w:rsid w:val="00640B1F"/>
    <w:rsid w:val="00642719"/>
    <w:rsid w:val="00642763"/>
    <w:rsid w:val="006456FF"/>
    <w:rsid w:val="00646205"/>
    <w:rsid w:val="00646C76"/>
    <w:rsid w:val="006512AA"/>
    <w:rsid w:val="00651340"/>
    <w:rsid w:val="00653055"/>
    <w:rsid w:val="00653A57"/>
    <w:rsid w:val="006541C1"/>
    <w:rsid w:val="00654C5B"/>
    <w:rsid w:val="00655A07"/>
    <w:rsid w:val="0065715D"/>
    <w:rsid w:val="00657990"/>
    <w:rsid w:val="00665F0B"/>
    <w:rsid w:val="00666BB6"/>
    <w:rsid w:val="0066721E"/>
    <w:rsid w:val="006701FD"/>
    <w:rsid w:val="00670E8A"/>
    <w:rsid w:val="006751FE"/>
    <w:rsid w:val="006843AB"/>
    <w:rsid w:val="00684620"/>
    <w:rsid w:val="0068505A"/>
    <w:rsid w:val="00685D20"/>
    <w:rsid w:val="0069673B"/>
    <w:rsid w:val="006A6861"/>
    <w:rsid w:val="006B708C"/>
    <w:rsid w:val="006C04AA"/>
    <w:rsid w:val="006C5722"/>
    <w:rsid w:val="006D0E83"/>
    <w:rsid w:val="006D1510"/>
    <w:rsid w:val="006D435C"/>
    <w:rsid w:val="006E1A39"/>
    <w:rsid w:val="006E21DA"/>
    <w:rsid w:val="006E3CEE"/>
    <w:rsid w:val="006E439E"/>
    <w:rsid w:val="006F0E97"/>
    <w:rsid w:val="006F51CB"/>
    <w:rsid w:val="006F5703"/>
    <w:rsid w:val="0070515F"/>
    <w:rsid w:val="0070582C"/>
    <w:rsid w:val="00711AA9"/>
    <w:rsid w:val="00721E74"/>
    <w:rsid w:val="0072287A"/>
    <w:rsid w:val="0072648C"/>
    <w:rsid w:val="00730D0A"/>
    <w:rsid w:val="0073662B"/>
    <w:rsid w:val="007504E5"/>
    <w:rsid w:val="00760EDA"/>
    <w:rsid w:val="00762428"/>
    <w:rsid w:val="00762DCD"/>
    <w:rsid w:val="00770843"/>
    <w:rsid w:val="00770EE9"/>
    <w:rsid w:val="007711F0"/>
    <w:rsid w:val="00771877"/>
    <w:rsid w:val="00772C6B"/>
    <w:rsid w:val="00775467"/>
    <w:rsid w:val="007803A3"/>
    <w:rsid w:val="00784DD3"/>
    <w:rsid w:val="00786534"/>
    <w:rsid w:val="0079480E"/>
    <w:rsid w:val="00797947"/>
    <w:rsid w:val="007A48E6"/>
    <w:rsid w:val="007B5EF9"/>
    <w:rsid w:val="007B720C"/>
    <w:rsid w:val="007B76FF"/>
    <w:rsid w:val="007C1DA5"/>
    <w:rsid w:val="007C4483"/>
    <w:rsid w:val="007C4CD9"/>
    <w:rsid w:val="007D006A"/>
    <w:rsid w:val="007D0685"/>
    <w:rsid w:val="007D08DE"/>
    <w:rsid w:val="007D315D"/>
    <w:rsid w:val="007D4972"/>
    <w:rsid w:val="007D5C38"/>
    <w:rsid w:val="007D6A70"/>
    <w:rsid w:val="007D7825"/>
    <w:rsid w:val="007E0119"/>
    <w:rsid w:val="007E1BC7"/>
    <w:rsid w:val="007E2AA2"/>
    <w:rsid w:val="007E5970"/>
    <w:rsid w:val="007F14EA"/>
    <w:rsid w:val="007F2B99"/>
    <w:rsid w:val="007F3A9E"/>
    <w:rsid w:val="007F4093"/>
    <w:rsid w:val="007F7AF6"/>
    <w:rsid w:val="007F7CDC"/>
    <w:rsid w:val="0080266D"/>
    <w:rsid w:val="00803B94"/>
    <w:rsid w:val="008051DD"/>
    <w:rsid w:val="008130CA"/>
    <w:rsid w:val="00817CAF"/>
    <w:rsid w:val="00820A59"/>
    <w:rsid w:val="00824393"/>
    <w:rsid w:val="008257C1"/>
    <w:rsid w:val="00831A6A"/>
    <w:rsid w:val="00832063"/>
    <w:rsid w:val="00832BD4"/>
    <w:rsid w:val="00833F3E"/>
    <w:rsid w:val="00836B83"/>
    <w:rsid w:val="00843609"/>
    <w:rsid w:val="008513ED"/>
    <w:rsid w:val="00866BB5"/>
    <w:rsid w:val="008729A6"/>
    <w:rsid w:val="00874C62"/>
    <w:rsid w:val="00875489"/>
    <w:rsid w:val="00877478"/>
    <w:rsid w:val="0089615F"/>
    <w:rsid w:val="008A1C61"/>
    <w:rsid w:val="008A2F4C"/>
    <w:rsid w:val="008B1FE8"/>
    <w:rsid w:val="008B333D"/>
    <w:rsid w:val="008B5AA3"/>
    <w:rsid w:val="008B7997"/>
    <w:rsid w:val="008C1D8C"/>
    <w:rsid w:val="008D67D3"/>
    <w:rsid w:val="008D6D76"/>
    <w:rsid w:val="008E07DE"/>
    <w:rsid w:val="008E350C"/>
    <w:rsid w:val="008E5F30"/>
    <w:rsid w:val="008E68EC"/>
    <w:rsid w:val="008E6980"/>
    <w:rsid w:val="008E6F28"/>
    <w:rsid w:val="008E7870"/>
    <w:rsid w:val="008F2267"/>
    <w:rsid w:val="008F410C"/>
    <w:rsid w:val="00901B02"/>
    <w:rsid w:val="00901B3D"/>
    <w:rsid w:val="009035F8"/>
    <w:rsid w:val="00905B51"/>
    <w:rsid w:val="009068CF"/>
    <w:rsid w:val="00925F1B"/>
    <w:rsid w:val="00931E05"/>
    <w:rsid w:val="00941682"/>
    <w:rsid w:val="009429B7"/>
    <w:rsid w:val="00962BDF"/>
    <w:rsid w:val="00965B5C"/>
    <w:rsid w:val="00967457"/>
    <w:rsid w:val="00970159"/>
    <w:rsid w:val="00977FE8"/>
    <w:rsid w:val="00984CA9"/>
    <w:rsid w:val="00994384"/>
    <w:rsid w:val="0099465F"/>
    <w:rsid w:val="009948A0"/>
    <w:rsid w:val="0099741A"/>
    <w:rsid w:val="009B3274"/>
    <w:rsid w:val="009B372B"/>
    <w:rsid w:val="009B3EC2"/>
    <w:rsid w:val="009C1130"/>
    <w:rsid w:val="009C3032"/>
    <w:rsid w:val="009C5A33"/>
    <w:rsid w:val="009C775C"/>
    <w:rsid w:val="009D69B5"/>
    <w:rsid w:val="009E0A0D"/>
    <w:rsid w:val="009E3649"/>
    <w:rsid w:val="009E64DF"/>
    <w:rsid w:val="009F5E9B"/>
    <w:rsid w:val="00A02978"/>
    <w:rsid w:val="00A0306E"/>
    <w:rsid w:val="00A0692C"/>
    <w:rsid w:val="00A1253B"/>
    <w:rsid w:val="00A13CFF"/>
    <w:rsid w:val="00A155CD"/>
    <w:rsid w:val="00A16B49"/>
    <w:rsid w:val="00A20371"/>
    <w:rsid w:val="00A23247"/>
    <w:rsid w:val="00A3022C"/>
    <w:rsid w:val="00A32DE7"/>
    <w:rsid w:val="00A34E8F"/>
    <w:rsid w:val="00A42F34"/>
    <w:rsid w:val="00A44D61"/>
    <w:rsid w:val="00A4549A"/>
    <w:rsid w:val="00A47543"/>
    <w:rsid w:val="00A63ABE"/>
    <w:rsid w:val="00A675D8"/>
    <w:rsid w:val="00A72334"/>
    <w:rsid w:val="00A75EF8"/>
    <w:rsid w:val="00A8352A"/>
    <w:rsid w:val="00A85F9E"/>
    <w:rsid w:val="00A8646E"/>
    <w:rsid w:val="00A91417"/>
    <w:rsid w:val="00A9262B"/>
    <w:rsid w:val="00A9395C"/>
    <w:rsid w:val="00A95E3D"/>
    <w:rsid w:val="00AA35E2"/>
    <w:rsid w:val="00AA4A79"/>
    <w:rsid w:val="00AA4E78"/>
    <w:rsid w:val="00AA52FF"/>
    <w:rsid w:val="00AA7BA7"/>
    <w:rsid w:val="00AB2163"/>
    <w:rsid w:val="00AB503F"/>
    <w:rsid w:val="00AB5408"/>
    <w:rsid w:val="00AB6923"/>
    <w:rsid w:val="00AC2F22"/>
    <w:rsid w:val="00AC40BA"/>
    <w:rsid w:val="00AC5FC4"/>
    <w:rsid w:val="00AD1F07"/>
    <w:rsid w:val="00AD7656"/>
    <w:rsid w:val="00AD7884"/>
    <w:rsid w:val="00AD7BFD"/>
    <w:rsid w:val="00AE0C9B"/>
    <w:rsid w:val="00AE143F"/>
    <w:rsid w:val="00AE3245"/>
    <w:rsid w:val="00AE36CD"/>
    <w:rsid w:val="00AE55E1"/>
    <w:rsid w:val="00AE6A99"/>
    <w:rsid w:val="00AE74B4"/>
    <w:rsid w:val="00AF1505"/>
    <w:rsid w:val="00AF40CE"/>
    <w:rsid w:val="00AF6E46"/>
    <w:rsid w:val="00B0261C"/>
    <w:rsid w:val="00B05FA0"/>
    <w:rsid w:val="00B11F1D"/>
    <w:rsid w:val="00B138D4"/>
    <w:rsid w:val="00B177C4"/>
    <w:rsid w:val="00B2096E"/>
    <w:rsid w:val="00B23B6D"/>
    <w:rsid w:val="00B34AEE"/>
    <w:rsid w:val="00B40CF9"/>
    <w:rsid w:val="00B42475"/>
    <w:rsid w:val="00B42D4C"/>
    <w:rsid w:val="00B4497F"/>
    <w:rsid w:val="00B55BC9"/>
    <w:rsid w:val="00B56A24"/>
    <w:rsid w:val="00B71BA8"/>
    <w:rsid w:val="00B72506"/>
    <w:rsid w:val="00B73E41"/>
    <w:rsid w:val="00B8030A"/>
    <w:rsid w:val="00B83856"/>
    <w:rsid w:val="00B85EB2"/>
    <w:rsid w:val="00B92CC3"/>
    <w:rsid w:val="00B93B28"/>
    <w:rsid w:val="00B9789E"/>
    <w:rsid w:val="00BA2BA6"/>
    <w:rsid w:val="00BB1439"/>
    <w:rsid w:val="00BC0335"/>
    <w:rsid w:val="00BC0E93"/>
    <w:rsid w:val="00BC16C4"/>
    <w:rsid w:val="00BC4945"/>
    <w:rsid w:val="00BC59F2"/>
    <w:rsid w:val="00BC5EE1"/>
    <w:rsid w:val="00BD018A"/>
    <w:rsid w:val="00BD2299"/>
    <w:rsid w:val="00BD4B33"/>
    <w:rsid w:val="00BE03AE"/>
    <w:rsid w:val="00BE0A60"/>
    <w:rsid w:val="00BE3B0C"/>
    <w:rsid w:val="00BE4166"/>
    <w:rsid w:val="00BE55EA"/>
    <w:rsid w:val="00BE6E41"/>
    <w:rsid w:val="00BF1056"/>
    <w:rsid w:val="00BF4946"/>
    <w:rsid w:val="00C04593"/>
    <w:rsid w:val="00C071A1"/>
    <w:rsid w:val="00C127D3"/>
    <w:rsid w:val="00C161EC"/>
    <w:rsid w:val="00C16D07"/>
    <w:rsid w:val="00C2010E"/>
    <w:rsid w:val="00C218A6"/>
    <w:rsid w:val="00C24F3F"/>
    <w:rsid w:val="00C33AC1"/>
    <w:rsid w:val="00C3415F"/>
    <w:rsid w:val="00C34C89"/>
    <w:rsid w:val="00C355CA"/>
    <w:rsid w:val="00C44659"/>
    <w:rsid w:val="00C45362"/>
    <w:rsid w:val="00C45569"/>
    <w:rsid w:val="00C52C71"/>
    <w:rsid w:val="00C55716"/>
    <w:rsid w:val="00C57541"/>
    <w:rsid w:val="00C57C71"/>
    <w:rsid w:val="00C6437B"/>
    <w:rsid w:val="00C71CA7"/>
    <w:rsid w:val="00C72DDD"/>
    <w:rsid w:val="00C74BA1"/>
    <w:rsid w:val="00C80B29"/>
    <w:rsid w:val="00C8356E"/>
    <w:rsid w:val="00C84E30"/>
    <w:rsid w:val="00C901E2"/>
    <w:rsid w:val="00C90ABC"/>
    <w:rsid w:val="00C92131"/>
    <w:rsid w:val="00CA49D7"/>
    <w:rsid w:val="00CA4C67"/>
    <w:rsid w:val="00CB0BDB"/>
    <w:rsid w:val="00CC570B"/>
    <w:rsid w:val="00CC5EED"/>
    <w:rsid w:val="00CC7EAF"/>
    <w:rsid w:val="00CD0542"/>
    <w:rsid w:val="00CD6F8E"/>
    <w:rsid w:val="00CE10B6"/>
    <w:rsid w:val="00CE1B1C"/>
    <w:rsid w:val="00CE5CEE"/>
    <w:rsid w:val="00CF09BC"/>
    <w:rsid w:val="00CF6F72"/>
    <w:rsid w:val="00D0205A"/>
    <w:rsid w:val="00D04786"/>
    <w:rsid w:val="00D079A2"/>
    <w:rsid w:val="00D17DBD"/>
    <w:rsid w:val="00D21173"/>
    <w:rsid w:val="00D221DC"/>
    <w:rsid w:val="00D233EF"/>
    <w:rsid w:val="00D27B11"/>
    <w:rsid w:val="00D34D14"/>
    <w:rsid w:val="00D40A09"/>
    <w:rsid w:val="00D41ABC"/>
    <w:rsid w:val="00D43001"/>
    <w:rsid w:val="00D478C8"/>
    <w:rsid w:val="00D47CF5"/>
    <w:rsid w:val="00D5023F"/>
    <w:rsid w:val="00D52CC4"/>
    <w:rsid w:val="00D546F1"/>
    <w:rsid w:val="00D572C0"/>
    <w:rsid w:val="00D600DA"/>
    <w:rsid w:val="00D61687"/>
    <w:rsid w:val="00D6323E"/>
    <w:rsid w:val="00D64775"/>
    <w:rsid w:val="00D65F06"/>
    <w:rsid w:val="00D67F5B"/>
    <w:rsid w:val="00D70EF1"/>
    <w:rsid w:val="00D71FCA"/>
    <w:rsid w:val="00D73303"/>
    <w:rsid w:val="00D734F8"/>
    <w:rsid w:val="00D746B6"/>
    <w:rsid w:val="00D85E14"/>
    <w:rsid w:val="00D904C4"/>
    <w:rsid w:val="00D9450C"/>
    <w:rsid w:val="00D968E8"/>
    <w:rsid w:val="00DA4899"/>
    <w:rsid w:val="00DA4C8D"/>
    <w:rsid w:val="00DB0B99"/>
    <w:rsid w:val="00DB1FD5"/>
    <w:rsid w:val="00DB24DF"/>
    <w:rsid w:val="00DB6901"/>
    <w:rsid w:val="00DC09E9"/>
    <w:rsid w:val="00DC1A35"/>
    <w:rsid w:val="00DC3063"/>
    <w:rsid w:val="00DC4828"/>
    <w:rsid w:val="00DC6319"/>
    <w:rsid w:val="00DD6FC7"/>
    <w:rsid w:val="00DE27F0"/>
    <w:rsid w:val="00DE2AF5"/>
    <w:rsid w:val="00DE3070"/>
    <w:rsid w:val="00DE6321"/>
    <w:rsid w:val="00DE6A2A"/>
    <w:rsid w:val="00DF0C2F"/>
    <w:rsid w:val="00DF2596"/>
    <w:rsid w:val="00DF58DF"/>
    <w:rsid w:val="00DF6659"/>
    <w:rsid w:val="00DF7526"/>
    <w:rsid w:val="00E02F2D"/>
    <w:rsid w:val="00E07028"/>
    <w:rsid w:val="00E07F2C"/>
    <w:rsid w:val="00E14DE0"/>
    <w:rsid w:val="00E20CA4"/>
    <w:rsid w:val="00E2506A"/>
    <w:rsid w:val="00E26484"/>
    <w:rsid w:val="00E27421"/>
    <w:rsid w:val="00E3235C"/>
    <w:rsid w:val="00E342F7"/>
    <w:rsid w:val="00E47D1C"/>
    <w:rsid w:val="00E56DF3"/>
    <w:rsid w:val="00E61F85"/>
    <w:rsid w:val="00E66E1D"/>
    <w:rsid w:val="00E74A80"/>
    <w:rsid w:val="00E75DCC"/>
    <w:rsid w:val="00E75DEE"/>
    <w:rsid w:val="00E87A9C"/>
    <w:rsid w:val="00E92130"/>
    <w:rsid w:val="00EA3B7C"/>
    <w:rsid w:val="00EA6137"/>
    <w:rsid w:val="00EA67DF"/>
    <w:rsid w:val="00EB1FF0"/>
    <w:rsid w:val="00EB3CAD"/>
    <w:rsid w:val="00EB4F97"/>
    <w:rsid w:val="00EB5E56"/>
    <w:rsid w:val="00EB7271"/>
    <w:rsid w:val="00EB77FB"/>
    <w:rsid w:val="00EC024C"/>
    <w:rsid w:val="00EC0439"/>
    <w:rsid w:val="00EC11D5"/>
    <w:rsid w:val="00ED0153"/>
    <w:rsid w:val="00ED11B4"/>
    <w:rsid w:val="00ED2C1B"/>
    <w:rsid w:val="00ED5900"/>
    <w:rsid w:val="00EE0471"/>
    <w:rsid w:val="00EE5514"/>
    <w:rsid w:val="00EE6C9C"/>
    <w:rsid w:val="00EF0A8C"/>
    <w:rsid w:val="00EF17CB"/>
    <w:rsid w:val="00EF1B88"/>
    <w:rsid w:val="00EF54E4"/>
    <w:rsid w:val="00F0303A"/>
    <w:rsid w:val="00F03B21"/>
    <w:rsid w:val="00F04E69"/>
    <w:rsid w:val="00F07242"/>
    <w:rsid w:val="00F07E08"/>
    <w:rsid w:val="00F1013B"/>
    <w:rsid w:val="00F11272"/>
    <w:rsid w:val="00F12DCF"/>
    <w:rsid w:val="00F14FD4"/>
    <w:rsid w:val="00F166F8"/>
    <w:rsid w:val="00F17FC4"/>
    <w:rsid w:val="00F20B6D"/>
    <w:rsid w:val="00F20E8C"/>
    <w:rsid w:val="00F23251"/>
    <w:rsid w:val="00F30983"/>
    <w:rsid w:val="00F30DD8"/>
    <w:rsid w:val="00F31A23"/>
    <w:rsid w:val="00F36463"/>
    <w:rsid w:val="00F37B6C"/>
    <w:rsid w:val="00F417EF"/>
    <w:rsid w:val="00F432AD"/>
    <w:rsid w:val="00F44B4B"/>
    <w:rsid w:val="00F50509"/>
    <w:rsid w:val="00F56D3B"/>
    <w:rsid w:val="00F61006"/>
    <w:rsid w:val="00F65F01"/>
    <w:rsid w:val="00F66B81"/>
    <w:rsid w:val="00F70DBD"/>
    <w:rsid w:val="00F71164"/>
    <w:rsid w:val="00F72FC8"/>
    <w:rsid w:val="00F76513"/>
    <w:rsid w:val="00F7716E"/>
    <w:rsid w:val="00F81B79"/>
    <w:rsid w:val="00F85C33"/>
    <w:rsid w:val="00F9103B"/>
    <w:rsid w:val="00F914E9"/>
    <w:rsid w:val="00F9303E"/>
    <w:rsid w:val="00F9340C"/>
    <w:rsid w:val="00F93504"/>
    <w:rsid w:val="00F93C13"/>
    <w:rsid w:val="00FA4627"/>
    <w:rsid w:val="00FB1BE5"/>
    <w:rsid w:val="00FB44CF"/>
    <w:rsid w:val="00FB732E"/>
    <w:rsid w:val="00FC26B6"/>
    <w:rsid w:val="00FC528D"/>
    <w:rsid w:val="00FC638D"/>
    <w:rsid w:val="00FD5E90"/>
    <w:rsid w:val="00FD76F5"/>
    <w:rsid w:val="00FE141F"/>
    <w:rsid w:val="00FE2248"/>
    <w:rsid w:val="00FE61B7"/>
    <w:rsid w:val="00FE7955"/>
    <w:rsid w:val="00FF26BE"/>
    <w:rsid w:val="00FF659B"/>
    <w:rsid w:val="00FF79A5"/>
    <w:rsid w:val="2F2ED697"/>
    <w:rsid w:val="5A4BC1A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254BD"/>
  <w15:docId w15:val="{337563FD-9F88-4F92-B0CE-5881FB9630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rPr>
      <w:rFonts w:ascii="Times New Roman" w:eastAsia="Times New Roman" w:hAnsi="Times New Roman"/>
      <w:color w:val="000000"/>
      <w:sz w:val="24"/>
      <w:lang w:eastAsia="de-DE"/>
    </w:rPr>
  </w:style>
  <w:style w:type="paragraph" w:styleId="Heading1">
    <w:name w:val="heading 1"/>
    <w:link w:val="Heading1Char"/>
    <w:uiPriority w:val="9"/>
    <w:qFormat/>
    <w:rsid w:val="00F17FC4"/>
    <w:pPr>
      <w:spacing w:before="360" w:after="200" w:line="312" w:lineRule="auto"/>
      <w:outlineLvl w:val="0"/>
    </w:pPr>
    <w:rPr>
      <w:rFonts w:ascii="Times New Roman" w:eastAsia="Times New Roman" w:hAnsi="Times New Roman"/>
      <w:b/>
      <w:bCs/>
      <w:color w:val="000000"/>
      <w:sz w:val="32"/>
      <w:szCs w:val="32"/>
      <w:lang w:val="en-CA" w:eastAsia="en-CA"/>
    </w:rPr>
  </w:style>
  <w:style w:type="paragraph" w:styleId="Heading2">
    <w:name w:val="heading 2"/>
    <w:basedOn w:val="Normal"/>
    <w:next w:val="Normal"/>
    <w:link w:val="Heading2Char"/>
    <w:uiPriority w:val="9"/>
    <w:semiHidden/>
    <w:unhideWhenUsed/>
    <w:qFormat/>
    <w:rsid w:val="00EB1FF0"/>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SPWT11articletype">
    <w:name w:val="SSPWT1.1_article_type"/>
    <w:basedOn w:val="SSPWT31text"/>
    <w:next w:val="SSPWT12title"/>
    <w:link w:val="SSPWT11articletype0"/>
    <w:qFormat/>
    <w:pPr>
      <w:spacing w:before="240" w:line="240" w:lineRule="auto"/>
      <w:ind w:firstLine="0"/>
      <w:jc w:val="left"/>
    </w:pPr>
    <w:rPr>
      <w:i/>
    </w:rPr>
  </w:style>
  <w:style w:type="paragraph" w:customStyle="1" w:styleId="SSPWT12title">
    <w:name w:val="SSPWT1.2_title"/>
    <w:next w:val="SSPWT13authornames"/>
    <w:link w:val="SSPWT12title0"/>
    <w:qFormat/>
    <w:pPr>
      <w:adjustRightInd w:val="0"/>
      <w:snapToGrid w:val="0"/>
      <w:spacing w:after="240" w:line="400" w:lineRule="exact"/>
    </w:pPr>
    <w:rPr>
      <w:rFonts w:ascii="Palatino Linotype" w:eastAsia="Times New Roman" w:hAnsi="Palatino Linotype"/>
      <w:b/>
      <w:snapToGrid w:val="0"/>
      <w:color w:val="000000"/>
      <w:sz w:val="36"/>
      <w:lang w:eastAsia="de-DE" w:bidi="en-US"/>
    </w:rPr>
  </w:style>
  <w:style w:type="paragraph" w:customStyle="1" w:styleId="SSPWT13authornames">
    <w:name w:val="SSPWT_1.3_authornames"/>
    <w:basedOn w:val="SSPWT31text"/>
    <w:next w:val="SSPWT14history"/>
    <w:link w:val="SSPWT13authornames0"/>
    <w:pPr>
      <w:spacing w:after="120"/>
      <w:ind w:firstLine="0"/>
      <w:jc w:val="left"/>
    </w:pPr>
    <w:rPr>
      <w:b/>
      <w:snapToGrid/>
    </w:rPr>
  </w:style>
  <w:style w:type="paragraph" w:customStyle="1" w:styleId="SSPWT14history">
    <w:name w:val="SSPWT_1.4_history"/>
    <w:basedOn w:val="Acknowledgments"/>
    <w:next w:val="Normal"/>
    <w:link w:val="SSPWT14history0"/>
    <w:pPr>
      <w:ind w:left="113"/>
      <w:jc w:val="left"/>
    </w:pPr>
    <w:rPr>
      <w:snapToGrid/>
    </w:rPr>
  </w:style>
  <w:style w:type="paragraph" w:customStyle="1" w:styleId="SSPWT16affiliation">
    <w:name w:val="SSPWT_1.6_affiliation"/>
    <w:basedOn w:val="Acknowledgments"/>
    <w:link w:val="SSPWT16affiliation0"/>
    <w:pPr>
      <w:spacing w:before="0"/>
      <w:ind w:left="311" w:hanging="198"/>
      <w:jc w:val="left"/>
    </w:pPr>
    <w:rPr>
      <w:snapToGrid/>
      <w:szCs w:val="18"/>
    </w:rPr>
  </w:style>
  <w:style w:type="paragraph" w:customStyle="1" w:styleId="SSPWT17abstract">
    <w:name w:val="SSPWT_1.7_abstract"/>
    <w:basedOn w:val="SSPWT31text"/>
    <w:next w:val="SSPWT18keywords"/>
    <w:link w:val="SSPWT17abstract0"/>
    <w:qFormat/>
    <w:pPr>
      <w:spacing w:before="240"/>
      <w:ind w:left="113" w:firstLine="0"/>
    </w:pPr>
    <w:rPr>
      <w:snapToGrid/>
    </w:rPr>
  </w:style>
  <w:style w:type="paragraph" w:customStyle="1" w:styleId="SSPWT18keywords">
    <w:name w:val="SSPWT_1.8_keywords"/>
    <w:basedOn w:val="SSPWT31text"/>
    <w:next w:val="Normal"/>
    <w:qFormat/>
    <w:pPr>
      <w:spacing w:before="240"/>
      <w:ind w:left="113" w:firstLine="0"/>
    </w:pPr>
  </w:style>
  <w:style w:type="paragraph" w:customStyle="1" w:styleId="SSPWT19line">
    <w:name w:val="SSPWT_1.9_line"/>
    <w:basedOn w:val="SSPWT31text"/>
    <w:link w:val="SSPWT19line0"/>
    <w:qFormat/>
    <w:pPr>
      <w:pBdr>
        <w:bottom w:val="single" w:sz="6" w:space="1" w:color="auto"/>
      </w:pBdr>
      <w:ind w:firstLine="0"/>
    </w:pPr>
    <w:rPr>
      <w:snapToGrid/>
      <w:szCs w:val="24"/>
    </w:rPr>
  </w:style>
  <w:style w:type="table" w:customStyle="1" w:styleId="Mdeck5tablebodythreelines">
    <w:name w:val="M_deck_5_table_body_three_lines"/>
    <w:basedOn w:val="TableNormal"/>
    <w:uiPriority w:val="99"/>
    <w:pPr>
      <w:adjustRightInd w:val="0"/>
      <w:snapToGrid w:val="0"/>
      <w:spacing w:line="300" w:lineRule="exact"/>
      <w:jc w:val="center"/>
    </w:pPr>
    <w:rPr>
      <w:rFonts w:ascii="Times New Roman" w:hAnsi="Times New Roman"/>
      <w:lang w:val="de-DE" w:eastAsia="de-DE"/>
    </w:rPr>
    <w:tblPr>
      <w:jc w:val="center"/>
      <w:tblBorders>
        <w:bottom w:val="single" w:sz="8" w:space="0" w:color="auto"/>
      </w:tblBorders>
    </w:tblPr>
    <w:trPr>
      <w:jc w:val="center"/>
    </w:trPr>
    <w:tcPr>
      <w:vAlign w:val="center"/>
    </w:tcPr>
    <w:tblStylePr w:type="firstRow">
      <w:pPr>
        <w:wordWrap/>
        <w:adjustRightInd w:val="0"/>
        <w:snapToGrid w:val="0"/>
        <w:spacing w:beforeAutospacing="0" w:afterAutospacing="0" w:line="300" w:lineRule="exact"/>
        <w:ind w:leftChars="0" w:left="0" w:rightChars="0" w:right="0" w:firstLineChars="0" w:firstLine="0"/>
        <w:contextualSpacing w:val="0"/>
        <w:mirrorIndents w:val="0"/>
        <w:jc w:val="center"/>
        <w:outlineLvl w:val="9"/>
      </w:pPr>
      <w:rPr>
        <w:rFonts w:ascii="Times New Roman" w:eastAsia="Times New Roman" w:hAnsi="Times New Roman"/>
        <w:b w:val="0"/>
        <w:i w:val="0"/>
        <w:snapToGrid w:val="0"/>
        <w:sz w:val="22"/>
      </w:rPr>
      <w:tblPr/>
      <w:tcPr>
        <w:tcBorders>
          <w:top w:val="single" w:sz="8" w:space="0" w:color="auto"/>
          <w:left w:val="nil"/>
          <w:bottom w:val="single" w:sz="4" w:space="0" w:color="auto"/>
          <w:right w:val="nil"/>
          <w:insideH w:val="nil"/>
          <w:insideV w:val="nil"/>
          <w:tl2br w:val="nil"/>
          <w:tr2bl w:val="nil"/>
        </w:tcBorders>
      </w:tcPr>
    </w:tblStylePr>
  </w:style>
  <w:style w:type="table" w:styleId="TableGrid">
    <w:name w:val="Table Grid"/>
    <w:basedOn w:val="TableNormal"/>
    <w:uiPriority w:val="59"/>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pPr>
      <w:tabs>
        <w:tab w:val="center" w:pos="4153"/>
        <w:tab w:val="right" w:pos="8306"/>
      </w:tabs>
      <w:snapToGrid w:val="0"/>
      <w:spacing w:line="240" w:lineRule="atLeast"/>
    </w:pPr>
    <w:rPr>
      <w:sz w:val="18"/>
      <w:szCs w:val="18"/>
    </w:rPr>
  </w:style>
  <w:style w:type="character" w:customStyle="1" w:styleId="FooterChar">
    <w:name w:val="Footer Char"/>
    <w:link w:val="Footer"/>
    <w:uiPriority w:val="99"/>
    <w:rPr>
      <w:rFonts w:ascii="Times New Roman" w:eastAsia="Times New Roman" w:hAnsi="Times New Roman" w:cs="Times New Roman"/>
      <w:color w:val="000000"/>
      <w:kern w:val="0"/>
      <w:sz w:val="18"/>
      <w:szCs w:val="18"/>
      <w:lang w:eastAsia="de-DE"/>
    </w:rPr>
  </w:style>
  <w:style w:type="paragraph" w:styleId="Header">
    <w:name w:val="header"/>
    <w:basedOn w:val="Normal"/>
    <w:link w:val="HeaderChar"/>
    <w:uiPriority w:val="99"/>
    <w:pPr>
      <w:pBdr>
        <w:bottom w:val="single" w:sz="6" w:space="1" w:color="auto"/>
      </w:pBdr>
      <w:tabs>
        <w:tab w:val="center" w:pos="4153"/>
        <w:tab w:val="right" w:pos="8306"/>
      </w:tabs>
      <w:snapToGrid w:val="0"/>
      <w:spacing w:line="240" w:lineRule="atLeast"/>
      <w:jc w:val="center"/>
    </w:pPr>
    <w:rPr>
      <w:sz w:val="18"/>
      <w:szCs w:val="18"/>
    </w:rPr>
  </w:style>
  <w:style w:type="character" w:customStyle="1" w:styleId="HeaderChar">
    <w:name w:val="Header Char"/>
    <w:link w:val="Header"/>
    <w:uiPriority w:val="99"/>
    <w:rPr>
      <w:rFonts w:ascii="Times New Roman" w:eastAsia="Times New Roman" w:hAnsi="Times New Roman" w:cs="Times New Roman"/>
      <w:color w:val="000000"/>
      <w:kern w:val="0"/>
      <w:sz w:val="18"/>
      <w:szCs w:val="18"/>
      <w:lang w:eastAsia="de-DE"/>
    </w:rPr>
  </w:style>
  <w:style w:type="paragraph" w:customStyle="1" w:styleId="SSPWTheaderjournallogo">
    <w:name w:val="SSPWT_header_journal_logo"/>
    <w:qFormat/>
    <w:pPr>
      <w:adjustRightInd w:val="0"/>
      <w:snapToGrid w:val="0"/>
    </w:pPr>
    <w:rPr>
      <w:rFonts w:ascii="Palatino Linotype" w:eastAsia="Times New Roman" w:hAnsi="Palatino Linotype"/>
      <w:i/>
      <w:color w:val="000000"/>
      <w:sz w:val="24"/>
      <w:szCs w:val="22"/>
      <w:lang w:eastAsia="de-CH"/>
    </w:rPr>
  </w:style>
  <w:style w:type="paragraph" w:customStyle="1" w:styleId="SSPWT32textnoindent">
    <w:name w:val="SSPWT_3.2_text_no_indent"/>
    <w:basedOn w:val="SSPWT31text"/>
    <w:qFormat/>
    <w:pPr>
      <w:ind w:firstLine="0"/>
    </w:pPr>
  </w:style>
  <w:style w:type="paragraph" w:customStyle="1" w:styleId="SSPWT33textspaceafter">
    <w:name w:val="SSPWT_3.3_text_space_after"/>
    <w:basedOn w:val="SSPWT31text"/>
    <w:qFormat/>
    <w:pPr>
      <w:spacing w:after="240"/>
    </w:pPr>
  </w:style>
  <w:style w:type="paragraph" w:customStyle="1" w:styleId="SSPWT35textbeforelist">
    <w:name w:val="SSPWT_3.5_text_before_list"/>
    <w:basedOn w:val="SSPWT31text"/>
    <w:qFormat/>
    <w:pPr>
      <w:spacing w:after="120"/>
    </w:pPr>
  </w:style>
  <w:style w:type="paragraph" w:customStyle="1" w:styleId="SSPWT36textafterlist">
    <w:name w:val="SSPWT_3.6_text_after_list"/>
    <w:basedOn w:val="SSPWT31text"/>
    <w:qFormat/>
    <w:pPr>
      <w:spacing w:before="120"/>
    </w:pPr>
  </w:style>
  <w:style w:type="paragraph" w:customStyle="1" w:styleId="SSPWT37itemize">
    <w:name w:val="SSPWT_3.7_itemize"/>
    <w:basedOn w:val="SSPWT31text"/>
    <w:qFormat/>
    <w:pPr>
      <w:numPr>
        <w:numId w:val="1"/>
      </w:numPr>
      <w:ind w:left="425" w:hanging="425"/>
    </w:pPr>
  </w:style>
  <w:style w:type="paragraph" w:customStyle="1" w:styleId="SSPWT38bullet">
    <w:name w:val="SSPWT_3.8_bullet"/>
    <w:basedOn w:val="SSPWT31text"/>
    <w:link w:val="SSPWT38bullet0"/>
    <w:qFormat/>
    <w:pPr>
      <w:numPr>
        <w:numId w:val="2"/>
      </w:numPr>
      <w:ind w:left="425" w:hanging="425"/>
    </w:pPr>
  </w:style>
  <w:style w:type="paragraph" w:customStyle="1" w:styleId="Equation">
    <w:name w:val="Equation"/>
    <w:basedOn w:val="Text"/>
    <w:qFormat/>
    <w:pPr>
      <w:spacing w:before="120" w:after="120"/>
      <w:ind w:left="709" w:firstLine="0"/>
      <w:jc w:val="center"/>
    </w:pPr>
  </w:style>
  <w:style w:type="paragraph" w:customStyle="1" w:styleId="EquationNumber">
    <w:name w:val="Equation Number"/>
    <w:basedOn w:val="Text"/>
    <w:qFormat/>
    <w:pPr>
      <w:spacing w:before="120" w:after="120" w:line="260" w:lineRule="atLeast"/>
      <w:ind w:firstLine="0"/>
      <w:jc w:val="right"/>
    </w:pPr>
  </w:style>
  <w:style w:type="paragraph" w:customStyle="1" w:styleId="Acknowledgments">
    <w:name w:val="Acknowledgments"/>
    <w:link w:val="Acknowledgments0"/>
    <w:qFormat/>
    <w:pPr>
      <w:adjustRightInd w:val="0"/>
      <w:snapToGrid w:val="0"/>
      <w:spacing w:before="360" w:after="240" w:line="300" w:lineRule="auto"/>
      <w:jc w:val="both"/>
    </w:pPr>
    <w:rPr>
      <w:rFonts w:ascii="Times New Roman" w:eastAsia="Times New Roman" w:hAnsi="Times New Roman"/>
      <w:snapToGrid w:val="0"/>
      <w:color w:val="000000"/>
      <w:sz w:val="22"/>
      <w:szCs w:val="22"/>
      <w:lang w:eastAsia="de-DE" w:bidi="en-US"/>
    </w:rPr>
  </w:style>
  <w:style w:type="paragraph" w:customStyle="1" w:styleId="SSPWT41tablecaption">
    <w:name w:val="SSPWT_4.1_table_caption"/>
    <w:basedOn w:val="Acknowledgments"/>
    <w:link w:val="SSPWT41tablecaption0"/>
    <w:qFormat/>
    <w:pPr>
      <w:spacing w:before="240" w:after="120" w:line="260" w:lineRule="atLeast"/>
      <w:ind w:left="425" w:right="425"/>
    </w:pPr>
    <w:rPr>
      <w:snapToGrid/>
    </w:rPr>
  </w:style>
  <w:style w:type="paragraph" w:customStyle="1" w:styleId="TableBody">
    <w:name w:val="Table Body"/>
    <w:qFormat/>
    <w:pPr>
      <w:adjustRightInd w:val="0"/>
      <w:snapToGrid w:val="0"/>
      <w:jc w:val="center"/>
    </w:pPr>
    <w:rPr>
      <w:rFonts w:ascii="Times New Roman" w:eastAsia="Times New Roman" w:hAnsi="Times New Roman"/>
      <w:snapToGrid w:val="0"/>
      <w:color w:val="000000"/>
      <w:sz w:val="22"/>
      <w:lang w:eastAsia="de-DE" w:bidi="en-US"/>
    </w:rPr>
  </w:style>
  <w:style w:type="paragraph" w:customStyle="1" w:styleId="TableFooter">
    <w:name w:val="Table_Footer"/>
    <w:next w:val="Text"/>
    <w:qFormat/>
    <w:pPr>
      <w:spacing w:after="240"/>
      <w:jc w:val="center"/>
    </w:pPr>
    <w:rPr>
      <w:rFonts w:ascii="Times New Roman" w:eastAsia="Times New Roman" w:hAnsi="Times New Roman"/>
      <w:color w:val="000000"/>
      <w:szCs w:val="22"/>
      <w:lang w:eastAsia="de-DE" w:bidi="en-US"/>
    </w:rPr>
  </w:style>
  <w:style w:type="paragraph" w:customStyle="1" w:styleId="SSPWT51figurecaption">
    <w:name w:val="SSPWT_5.1_figure_caption"/>
    <w:basedOn w:val="Acknowledgments"/>
    <w:link w:val="SSPWT51figurecaption0"/>
    <w:qFormat/>
    <w:pPr>
      <w:spacing w:line="260" w:lineRule="atLeast"/>
      <w:ind w:left="425" w:right="425"/>
    </w:pPr>
    <w:rPr>
      <w:snapToGrid/>
    </w:rPr>
  </w:style>
  <w:style w:type="paragraph" w:customStyle="1" w:styleId="SSPWT52figure">
    <w:name w:val="SSPWT_5.2_figure"/>
    <w:link w:val="SSPWT52figure0"/>
    <w:qFormat/>
    <w:pPr>
      <w:jc w:val="center"/>
    </w:pPr>
    <w:rPr>
      <w:rFonts w:ascii="Palatino Linotype" w:eastAsia="Times New Roman" w:hAnsi="Palatino Linotype"/>
      <w:snapToGrid w:val="0"/>
      <w:color w:val="000000"/>
      <w:sz w:val="24"/>
      <w:lang w:eastAsia="de-DE" w:bidi="en-US"/>
    </w:rPr>
  </w:style>
  <w:style w:type="paragraph" w:customStyle="1" w:styleId="SSPWT61Supplementary">
    <w:name w:val="SSPWT_6.1_Supplementary"/>
    <w:basedOn w:val="Acknowledgments"/>
    <w:qFormat/>
    <w:pPr>
      <w:spacing w:before="240"/>
    </w:pPr>
    <w:rPr>
      <w:lang w:eastAsia="en-US"/>
    </w:rPr>
  </w:style>
  <w:style w:type="paragraph" w:customStyle="1" w:styleId="SSPWT63AuthorContributions">
    <w:name w:val="SSPWT_6.3_AuthorContributions"/>
    <w:basedOn w:val="Acknowledgments"/>
    <w:qFormat/>
    <w:rPr>
      <w:rFonts w:eastAsia="SimSun"/>
      <w:color w:val="auto"/>
      <w:lang w:eastAsia="en-US"/>
    </w:rPr>
  </w:style>
  <w:style w:type="paragraph" w:customStyle="1" w:styleId="SSPWT64CoI">
    <w:name w:val="SSPWT_6.4_CoI"/>
    <w:basedOn w:val="Acknowledgments"/>
    <w:qFormat/>
  </w:style>
  <w:style w:type="paragraph" w:customStyle="1" w:styleId="SSPWT31text">
    <w:name w:val="SSPWT_3.1_text"/>
    <w:link w:val="SSPWT31text0"/>
    <w:qFormat/>
    <w:pPr>
      <w:adjustRightInd w:val="0"/>
      <w:snapToGrid w:val="0"/>
      <w:spacing w:line="260" w:lineRule="atLeast"/>
      <w:ind w:firstLine="425"/>
      <w:jc w:val="both"/>
    </w:pPr>
    <w:rPr>
      <w:rFonts w:ascii="Palatino Linotype" w:eastAsia="Times New Roman" w:hAnsi="Palatino Linotype"/>
      <w:snapToGrid w:val="0"/>
      <w:color w:val="000000"/>
      <w:szCs w:val="22"/>
      <w:lang w:eastAsia="de-DE" w:bidi="en-US"/>
    </w:rPr>
  </w:style>
  <w:style w:type="paragraph" w:customStyle="1" w:styleId="SSPWT23heading3">
    <w:name w:val="SSPWT_2.3_heading3"/>
    <w:basedOn w:val="SSPWT31text"/>
    <w:link w:val="SSPWT23heading30"/>
    <w:qFormat/>
    <w:pPr>
      <w:spacing w:before="240" w:after="120"/>
      <w:ind w:firstLine="0"/>
      <w:jc w:val="left"/>
      <w:outlineLvl w:val="2"/>
    </w:pPr>
  </w:style>
  <w:style w:type="paragraph" w:customStyle="1" w:styleId="SSPWT21heading1">
    <w:name w:val="SSPWT_2.1_heading1"/>
    <w:basedOn w:val="SSPWT23heading3"/>
    <w:link w:val="SSPWT21heading10"/>
    <w:qFormat/>
    <w:pPr>
      <w:outlineLvl w:val="0"/>
    </w:pPr>
    <w:rPr>
      <w:b/>
    </w:rPr>
  </w:style>
  <w:style w:type="paragraph" w:customStyle="1" w:styleId="SSPWT22heading2">
    <w:name w:val="SSPWT_2.2_heading2"/>
    <w:basedOn w:val="Normal"/>
    <w:qFormat/>
    <w:pPr>
      <w:kinsoku w:val="0"/>
      <w:overflowPunct w:val="0"/>
      <w:autoSpaceDE w:val="0"/>
      <w:autoSpaceDN w:val="0"/>
      <w:adjustRightInd w:val="0"/>
      <w:snapToGrid w:val="0"/>
      <w:spacing w:before="240" w:after="120" w:line="260" w:lineRule="atLeast"/>
      <w:jc w:val="left"/>
      <w:outlineLvl w:val="1"/>
    </w:pPr>
    <w:rPr>
      <w:rFonts w:ascii="Palatino Linotype" w:hAnsi="Palatino Linotype"/>
      <w:i/>
      <w:noProof/>
      <w:snapToGrid w:val="0"/>
      <w:sz w:val="20"/>
      <w:szCs w:val="22"/>
      <w:lang w:bidi="en-US"/>
    </w:rPr>
  </w:style>
  <w:style w:type="paragraph" w:customStyle="1" w:styleId="References">
    <w:name w:val="References"/>
    <w:basedOn w:val="Acknowledgments"/>
    <w:qFormat/>
    <w:pPr>
      <w:numPr>
        <w:numId w:val="3"/>
      </w:numPr>
      <w:spacing w:before="0" w:after="120" w:line="260" w:lineRule="atLeast"/>
      <w:ind w:left="357" w:hanging="357"/>
    </w:pPr>
  </w:style>
  <w:style w:type="paragraph" w:styleId="BalloonText">
    <w:name w:val="Balloon Text"/>
    <w:basedOn w:val="Normal"/>
    <w:link w:val="BalloonTextChar"/>
    <w:uiPriority w:val="99"/>
    <w:rPr>
      <w:sz w:val="18"/>
      <w:szCs w:val="18"/>
    </w:rPr>
  </w:style>
  <w:style w:type="character" w:customStyle="1" w:styleId="BalloonTextChar">
    <w:name w:val="Balloon Text Char"/>
    <w:link w:val="BalloonText"/>
    <w:uiPriority w:val="99"/>
    <w:rPr>
      <w:rFonts w:ascii="Times New Roman" w:eastAsia="Times New Roman" w:hAnsi="Times New Roman" w:cs="Times New Roman"/>
      <w:color w:val="000000"/>
      <w:kern w:val="0"/>
      <w:sz w:val="18"/>
      <w:szCs w:val="18"/>
      <w:lang w:eastAsia="de-DE"/>
    </w:rPr>
  </w:style>
  <w:style w:type="character" w:styleId="LineNumber">
    <w:name w:val="line number"/>
    <w:basedOn w:val="DefaultParagraphFont"/>
    <w:uiPriority w:val="99"/>
  </w:style>
  <w:style w:type="table" w:customStyle="1" w:styleId="MDPI41threelinetable">
    <w:name w:val="MDPI_4.1_three_line_table"/>
    <w:basedOn w:val="TableNormal"/>
    <w:uiPriority w:val="99"/>
    <w:pPr>
      <w:adjustRightInd w:val="0"/>
      <w:snapToGrid w:val="0"/>
      <w:jc w:val="center"/>
    </w:pPr>
    <w:rPr>
      <w:rFonts w:ascii="Palatino Linotype" w:hAnsi="Palatino Linotype"/>
      <w:color w:val="000000"/>
    </w:rPr>
    <w:tblPr>
      <w:jc w:val="center"/>
      <w:tblBorders>
        <w:top w:val="single" w:sz="8" w:space="0" w:color="auto"/>
        <w:bottom w:val="single" w:sz="8" w:space="0" w:color="auto"/>
      </w:tblBorders>
    </w:tblPr>
    <w:trPr>
      <w:jc w:val="center"/>
    </w:trPr>
    <w:tcPr>
      <w:vAlign w:val="center"/>
    </w:tcPr>
    <w:tblStylePr w:type="firstRow">
      <w:rPr>
        <w:rFonts w:ascii="Segoe UI Light" w:hAnsi="Segoe UI Light"/>
        <w:b/>
        <w:i w:val="0"/>
        <w:sz w:val="20"/>
      </w:rPr>
      <w:tblPr/>
      <w:tcPr>
        <w:tcBorders>
          <w:bottom w:val="single" w:sz="4" w:space="0" w:color="auto"/>
        </w:tcBorders>
      </w:tcPr>
    </w:tblStylePr>
  </w:style>
  <w:style w:type="character" w:styleId="Hyperlink">
    <w:name w:val="Hyperlink"/>
    <w:uiPriority w:val="99"/>
    <w:rPr>
      <w:color w:val="0563C1"/>
      <w:u w:val="single"/>
    </w:rPr>
  </w:style>
  <w:style w:type="character" w:customStyle="1" w:styleId="1">
    <w:name w:val="未处理的提及1"/>
    <w:uiPriority w:val="99"/>
    <w:rPr>
      <w:color w:val="605E5C"/>
      <w:shd w:val="clear" w:color="auto" w:fill="E1DFDD"/>
    </w:rPr>
  </w:style>
  <w:style w:type="table" w:customStyle="1" w:styleId="41">
    <w:name w:val="无格式表格 41"/>
    <w:basedOn w:val="TableNormal"/>
    <w:uiPriority w:val="44"/>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styleId="CommentReference">
    <w:name w:val="annotation reference"/>
    <w:basedOn w:val="DefaultParagraphFont"/>
    <w:uiPriority w:val="99"/>
    <w:rPr>
      <w:sz w:val="21"/>
      <w:szCs w:val="21"/>
    </w:rPr>
  </w:style>
  <w:style w:type="paragraph" w:styleId="CommentText">
    <w:name w:val="annotation text"/>
    <w:basedOn w:val="Normal"/>
    <w:link w:val="CommentTextChar"/>
    <w:uiPriority w:val="99"/>
    <w:pPr>
      <w:jc w:val="left"/>
    </w:pPr>
  </w:style>
  <w:style w:type="character" w:customStyle="1" w:styleId="CommentTextChar">
    <w:name w:val="Comment Text Char"/>
    <w:basedOn w:val="DefaultParagraphFont"/>
    <w:link w:val="CommentText"/>
    <w:uiPriority w:val="99"/>
    <w:rPr>
      <w:rFonts w:ascii="Times New Roman" w:eastAsia="Times New Roman" w:hAnsi="Times New Roman"/>
      <w:color w:val="000000"/>
      <w:sz w:val="24"/>
      <w:lang w:eastAsia="de-DE"/>
    </w:rPr>
  </w:style>
  <w:style w:type="paragraph" w:styleId="CommentSubject">
    <w:name w:val="annotation subject"/>
    <w:basedOn w:val="CommentText"/>
    <w:next w:val="CommentText"/>
    <w:link w:val="CommentSubjectChar"/>
    <w:uiPriority w:val="99"/>
    <w:rPr>
      <w:b/>
      <w:bCs/>
    </w:rPr>
  </w:style>
  <w:style w:type="character" w:customStyle="1" w:styleId="CommentSubjectChar">
    <w:name w:val="Comment Subject Char"/>
    <w:basedOn w:val="CommentTextChar"/>
    <w:link w:val="CommentSubject"/>
    <w:uiPriority w:val="99"/>
    <w:rPr>
      <w:rFonts w:ascii="Times New Roman" w:eastAsia="Times New Roman" w:hAnsi="Times New Roman"/>
      <w:b/>
      <w:bCs/>
      <w:color w:val="000000"/>
      <w:sz w:val="24"/>
      <w:lang w:eastAsia="de-DE"/>
    </w:rPr>
  </w:style>
  <w:style w:type="paragraph" w:customStyle="1" w:styleId="SSPWTAbstract">
    <w:name w:val="SSPWT_Abstract"/>
    <w:basedOn w:val="Normal"/>
    <w:next w:val="Normal"/>
    <w:pPr>
      <w:spacing w:before="360" w:after="360" w:line="480" w:lineRule="auto"/>
    </w:pPr>
    <w:rPr>
      <w:rFonts w:ascii="Times" w:eastAsia="SimSun" w:hAnsi="Times"/>
      <w:color w:val="auto"/>
      <w:lang w:eastAsia="en-US"/>
    </w:rPr>
  </w:style>
  <w:style w:type="paragraph" w:styleId="Revision">
    <w:name w:val="Revision"/>
    <w:uiPriority w:val="99"/>
    <w:rPr>
      <w:rFonts w:ascii="Times New Roman" w:eastAsia="Times New Roman" w:hAnsi="Times New Roman"/>
      <w:color w:val="000000"/>
      <w:sz w:val="24"/>
      <w:lang w:eastAsia="de-DE"/>
    </w:rPr>
  </w:style>
  <w:style w:type="paragraph" w:customStyle="1" w:styleId="PaperType">
    <w:name w:val="Paper Type"/>
    <w:basedOn w:val="SSPWT11articletype"/>
    <w:link w:val="PaperType0"/>
    <w:qFormat/>
    <w:rPr>
      <w:rFonts w:ascii="Times New Roman" w:hAnsi="Times New Roman"/>
    </w:rPr>
  </w:style>
  <w:style w:type="paragraph" w:customStyle="1" w:styleId="10">
    <w:name w:val="标题1"/>
    <w:link w:val="Title"/>
    <w:qFormat/>
    <w:pPr>
      <w:tabs>
        <w:tab w:val="left" w:pos="2687"/>
      </w:tabs>
      <w:spacing w:line="240" w:lineRule="atLeast"/>
      <w:jc w:val="center"/>
    </w:pPr>
    <w:rPr>
      <w:rFonts w:ascii="Times New Roman" w:eastAsia="Times New Roman" w:hAnsi="Times New Roman"/>
      <w:b/>
      <w:snapToGrid w:val="0"/>
      <w:color w:val="000000"/>
      <w:sz w:val="36"/>
      <w:lang w:eastAsia="de-DE" w:bidi="en-US"/>
    </w:rPr>
  </w:style>
  <w:style w:type="character" w:customStyle="1" w:styleId="SSPWT31text0">
    <w:name w:val="SSPWT_3.1_text 字符"/>
    <w:basedOn w:val="DefaultParagraphFont"/>
    <w:link w:val="SSPWT31text"/>
    <w:rPr>
      <w:rFonts w:ascii="Palatino Linotype" w:eastAsia="Times New Roman" w:hAnsi="Palatino Linotype"/>
      <w:snapToGrid w:val="0"/>
      <w:color w:val="000000"/>
      <w:szCs w:val="22"/>
      <w:lang w:eastAsia="de-DE" w:bidi="en-US"/>
    </w:rPr>
  </w:style>
  <w:style w:type="character" w:customStyle="1" w:styleId="SSPWT11articletype0">
    <w:name w:val="SSPWT1.1_article_type 字符"/>
    <w:basedOn w:val="SSPWT31text0"/>
    <w:link w:val="SSPWT11articletype"/>
    <w:rPr>
      <w:rFonts w:ascii="Palatino Linotype" w:eastAsia="Times New Roman" w:hAnsi="Palatino Linotype"/>
      <w:i/>
      <w:snapToGrid w:val="0"/>
      <w:color w:val="000000"/>
      <w:szCs w:val="22"/>
      <w:lang w:eastAsia="de-DE" w:bidi="en-US"/>
    </w:rPr>
  </w:style>
  <w:style w:type="character" w:customStyle="1" w:styleId="PaperType0">
    <w:name w:val="Paper Type 字符"/>
    <w:basedOn w:val="SSPWT11articletype0"/>
    <w:link w:val="PaperType"/>
    <w:rPr>
      <w:rFonts w:ascii="Times New Roman" w:eastAsia="Times New Roman" w:hAnsi="Times New Roman"/>
      <w:i/>
      <w:snapToGrid w:val="0"/>
      <w:color w:val="000000"/>
      <w:szCs w:val="22"/>
      <w:lang w:eastAsia="de-DE" w:bidi="en-US"/>
    </w:rPr>
  </w:style>
  <w:style w:type="paragraph" w:customStyle="1" w:styleId="AuthorNames">
    <w:name w:val="AuthorNames"/>
    <w:link w:val="AuthorNames0"/>
    <w:qFormat/>
    <w:pPr>
      <w:jc w:val="center"/>
    </w:pPr>
    <w:rPr>
      <w:rFonts w:ascii="Times New Roman" w:eastAsia="Times New Roman" w:hAnsi="Times New Roman"/>
      <w:b/>
      <w:color w:val="000000"/>
      <w:sz w:val="22"/>
      <w:szCs w:val="22"/>
      <w:lang w:eastAsia="de-DE" w:bidi="en-US"/>
    </w:rPr>
  </w:style>
  <w:style w:type="character" w:customStyle="1" w:styleId="SSPWT12title0">
    <w:name w:val="SSPWT1.2_title 字符"/>
    <w:basedOn w:val="DefaultParagraphFont"/>
    <w:link w:val="SSPWT12title"/>
    <w:rPr>
      <w:rFonts w:ascii="Palatino Linotype" w:eastAsia="Times New Roman" w:hAnsi="Palatino Linotype"/>
      <w:b/>
      <w:snapToGrid w:val="0"/>
      <w:color w:val="000000"/>
      <w:sz w:val="36"/>
      <w:lang w:eastAsia="de-DE" w:bidi="en-US"/>
    </w:rPr>
  </w:style>
  <w:style w:type="character" w:customStyle="1" w:styleId="Title">
    <w:name w:val="Title 字符"/>
    <w:basedOn w:val="SSPWT12title0"/>
    <w:link w:val="10"/>
    <w:rPr>
      <w:rFonts w:ascii="Times New Roman" w:eastAsia="Times New Roman" w:hAnsi="Times New Roman"/>
      <w:b/>
      <w:snapToGrid w:val="0"/>
      <w:color w:val="000000"/>
      <w:sz w:val="36"/>
      <w:lang w:eastAsia="de-DE" w:bidi="en-US"/>
    </w:rPr>
  </w:style>
  <w:style w:type="paragraph" w:customStyle="1" w:styleId="Affiliations">
    <w:name w:val="Affiliations"/>
    <w:link w:val="Affiliations0"/>
    <w:qFormat/>
    <w:pPr>
      <w:snapToGrid w:val="0"/>
      <w:spacing w:before="120" w:after="120"/>
      <w:jc w:val="center"/>
    </w:pPr>
    <w:rPr>
      <w:rFonts w:ascii="Times New Roman" w:eastAsia="Times New Roman" w:hAnsi="Times New Roman"/>
      <w:color w:val="000000"/>
      <w:sz w:val="22"/>
      <w:szCs w:val="18"/>
      <w:lang w:eastAsia="de-DE" w:bidi="en-US"/>
    </w:rPr>
  </w:style>
  <w:style w:type="character" w:customStyle="1" w:styleId="SSPWT13authornames0">
    <w:name w:val="SSPWT_1.3_authornames 字符"/>
    <w:basedOn w:val="SSPWT31text0"/>
    <w:link w:val="SSPWT13authornames"/>
    <w:rPr>
      <w:rFonts w:ascii="Palatino Linotype" w:eastAsia="Times New Roman" w:hAnsi="Palatino Linotype"/>
      <w:b/>
      <w:snapToGrid/>
      <w:color w:val="000000"/>
      <w:szCs w:val="22"/>
      <w:lang w:eastAsia="de-DE" w:bidi="en-US"/>
    </w:rPr>
  </w:style>
  <w:style w:type="character" w:customStyle="1" w:styleId="AuthorNames0">
    <w:name w:val="AuthorNames 字符"/>
    <w:basedOn w:val="SSPWT13authornames0"/>
    <w:link w:val="AuthorNames"/>
    <w:rPr>
      <w:rFonts w:ascii="Times New Roman" w:eastAsia="Times New Roman" w:hAnsi="Times New Roman"/>
      <w:b/>
      <w:snapToGrid/>
      <w:color w:val="000000"/>
      <w:sz w:val="22"/>
      <w:szCs w:val="22"/>
      <w:lang w:eastAsia="de-DE" w:bidi="en-US"/>
    </w:rPr>
  </w:style>
  <w:style w:type="paragraph" w:customStyle="1" w:styleId="Correspondence">
    <w:name w:val="Correspondence"/>
    <w:basedOn w:val="SSPWT14history"/>
    <w:link w:val="Correspondence0"/>
    <w:qFormat/>
    <w:pPr>
      <w:spacing w:before="120" w:after="120" w:line="240" w:lineRule="auto"/>
      <w:ind w:left="0"/>
      <w:jc w:val="center"/>
    </w:pPr>
  </w:style>
  <w:style w:type="character" w:customStyle="1" w:styleId="Acknowledgments0">
    <w:name w:val="Acknowledgments 字符"/>
    <w:basedOn w:val="DefaultParagraphFont"/>
    <w:link w:val="Acknowledgments"/>
    <w:rPr>
      <w:rFonts w:ascii="Times New Roman" w:eastAsia="Times New Roman" w:hAnsi="Times New Roman"/>
      <w:snapToGrid w:val="0"/>
      <w:color w:val="000000"/>
      <w:sz w:val="22"/>
      <w:szCs w:val="22"/>
      <w:lang w:eastAsia="de-DE" w:bidi="en-US"/>
    </w:rPr>
  </w:style>
  <w:style w:type="character" w:customStyle="1" w:styleId="SSPWT16affiliation0">
    <w:name w:val="SSPWT_1.6_affiliation 字符"/>
    <w:basedOn w:val="Acknowledgments0"/>
    <w:link w:val="SSPWT16affiliation"/>
    <w:rPr>
      <w:rFonts w:ascii="Times New Roman" w:eastAsia="Times New Roman" w:hAnsi="Times New Roman"/>
      <w:snapToGrid/>
      <w:color w:val="000000"/>
      <w:sz w:val="22"/>
      <w:szCs w:val="18"/>
      <w:lang w:eastAsia="de-DE" w:bidi="en-US"/>
    </w:rPr>
  </w:style>
  <w:style w:type="character" w:customStyle="1" w:styleId="Affiliations0">
    <w:name w:val="Affiliations 字符"/>
    <w:basedOn w:val="SSPWT16affiliation0"/>
    <w:link w:val="Affiliations"/>
    <w:rPr>
      <w:rFonts w:ascii="Times New Roman" w:eastAsia="Times New Roman" w:hAnsi="Times New Roman"/>
      <w:snapToGrid/>
      <w:color w:val="000000"/>
      <w:sz w:val="22"/>
      <w:szCs w:val="18"/>
      <w:lang w:eastAsia="de-DE" w:bidi="en-US"/>
    </w:rPr>
  </w:style>
  <w:style w:type="paragraph" w:customStyle="1" w:styleId="Abstract">
    <w:name w:val="Abstract"/>
    <w:link w:val="Abstract0"/>
    <w:qFormat/>
    <w:pPr>
      <w:spacing w:before="220" w:line="300" w:lineRule="auto"/>
      <w:jc w:val="both"/>
    </w:pPr>
    <w:rPr>
      <w:rFonts w:ascii="Times New Roman" w:eastAsia="Times New Roman" w:hAnsi="Times New Roman"/>
      <w:sz w:val="24"/>
      <w:szCs w:val="22"/>
      <w:lang w:eastAsia="de-DE" w:bidi="en-US"/>
    </w:rPr>
  </w:style>
  <w:style w:type="character" w:customStyle="1" w:styleId="SSPWT14history0">
    <w:name w:val="SSPWT_1.4_history 字符"/>
    <w:basedOn w:val="Acknowledgments0"/>
    <w:link w:val="SSPWT14history"/>
    <w:rPr>
      <w:rFonts w:ascii="Times New Roman" w:eastAsia="Times New Roman" w:hAnsi="Times New Roman"/>
      <w:snapToGrid/>
      <w:color w:val="000000"/>
      <w:sz w:val="22"/>
      <w:szCs w:val="22"/>
      <w:lang w:eastAsia="de-DE" w:bidi="en-US"/>
    </w:rPr>
  </w:style>
  <w:style w:type="character" w:customStyle="1" w:styleId="Correspondence0">
    <w:name w:val="Correspondence 字符"/>
    <w:basedOn w:val="SSPWT14history0"/>
    <w:link w:val="Correspondence"/>
    <w:rPr>
      <w:rFonts w:ascii="Times New Roman" w:eastAsia="Times New Roman" w:hAnsi="Times New Roman"/>
      <w:snapToGrid/>
      <w:color w:val="000000"/>
      <w:sz w:val="22"/>
      <w:szCs w:val="22"/>
      <w:lang w:eastAsia="de-DE" w:bidi="en-US"/>
    </w:rPr>
  </w:style>
  <w:style w:type="paragraph" w:customStyle="1" w:styleId="SeparationLine">
    <w:name w:val="Separation Line"/>
    <w:link w:val="SeparationLine0"/>
    <w:qFormat/>
    <w:pPr>
      <w:pBdr>
        <w:bottom w:val="single" w:sz="6" w:space="1" w:color="auto"/>
      </w:pBdr>
      <w:adjustRightInd w:val="0"/>
      <w:snapToGrid w:val="0"/>
      <w:spacing w:line="260" w:lineRule="atLeast"/>
      <w:jc w:val="both"/>
    </w:pPr>
    <w:rPr>
      <w:rFonts w:ascii="Times New Roman" w:eastAsia="Times New Roman" w:hAnsi="Times New Roman"/>
      <w:color w:val="000000"/>
      <w:szCs w:val="24"/>
      <w:lang w:eastAsia="de-DE" w:bidi="en-US"/>
    </w:rPr>
  </w:style>
  <w:style w:type="character" w:customStyle="1" w:styleId="SSPWT17abstract0">
    <w:name w:val="SSPWT_1.7_abstract 字符"/>
    <w:basedOn w:val="SSPWT31text0"/>
    <w:link w:val="SSPWT17abstract"/>
    <w:rPr>
      <w:rFonts w:ascii="Palatino Linotype" w:eastAsia="Times New Roman" w:hAnsi="Palatino Linotype"/>
      <w:snapToGrid/>
      <w:color w:val="000000"/>
      <w:szCs w:val="22"/>
      <w:lang w:eastAsia="de-DE" w:bidi="en-US"/>
    </w:rPr>
  </w:style>
  <w:style w:type="character" w:customStyle="1" w:styleId="Abstract0">
    <w:name w:val="Abstract 字符"/>
    <w:basedOn w:val="SSPWT17abstract0"/>
    <w:link w:val="Abstract"/>
    <w:rPr>
      <w:rFonts w:ascii="Times New Roman" w:eastAsia="Times New Roman" w:hAnsi="Times New Roman"/>
      <w:snapToGrid/>
      <w:color w:val="000000"/>
      <w:sz w:val="24"/>
      <w:szCs w:val="22"/>
      <w:lang w:eastAsia="de-DE" w:bidi="en-US"/>
    </w:rPr>
  </w:style>
  <w:style w:type="paragraph" w:customStyle="1" w:styleId="Heading10">
    <w:name w:val="Heading1"/>
    <w:link w:val="Heading11"/>
    <w:qFormat/>
    <w:pPr>
      <w:adjustRightInd w:val="0"/>
      <w:snapToGrid w:val="0"/>
      <w:spacing w:before="360" w:after="240"/>
      <w:outlineLvl w:val="0"/>
    </w:pPr>
    <w:rPr>
      <w:rFonts w:ascii="Times New Roman" w:eastAsia="Times New Roman" w:hAnsi="Times New Roman"/>
      <w:b/>
      <w:snapToGrid w:val="0"/>
      <w:color w:val="000000"/>
      <w:sz w:val="24"/>
      <w:szCs w:val="22"/>
      <w:lang w:eastAsia="de-DE" w:bidi="en-US"/>
    </w:rPr>
  </w:style>
  <w:style w:type="character" w:customStyle="1" w:styleId="SSPWT19line0">
    <w:name w:val="SSPWT_1.9_line 字符"/>
    <w:basedOn w:val="SSPWT31text0"/>
    <w:link w:val="SSPWT19line"/>
    <w:rPr>
      <w:rFonts w:ascii="Palatino Linotype" w:eastAsia="Times New Roman" w:hAnsi="Palatino Linotype"/>
      <w:snapToGrid/>
      <w:color w:val="000000"/>
      <w:szCs w:val="24"/>
      <w:lang w:eastAsia="de-DE" w:bidi="en-US"/>
    </w:rPr>
  </w:style>
  <w:style w:type="character" w:customStyle="1" w:styleId="SeparationLine0">
    <w:name w:val="Separation Line 字符"/>
    <w:basedOn w:val="SSPWT19line0"/>
    <w:link w:val="SeparationLine"/>
    <w:rPr>
      <w:rFonts w:ascii="Times New Roman" w:eastAsia="Times New Roman" w:hAnsi="Times New Roman"/>
      <w:snapToGrid/>
      <w:color w:val="000000"/>
      <w:szCs w:val="24"/>
      <w:lang w:eastAsia="de-DE" w:bidi="en-US"/>
    </w:rPr>
  </w:style>
  <w:style w:type="paragraph" w:customStyle="1" w:styleId="Text">
    <w:name w:val="Text"/>
    <w:link w:val="Text0"/>
    <w:qFormat/>
    <w:pPr>
      <w:snapToGrid w:val="0"/>
      <w:spacing w:line="300" w:lineRule="auto"/>
      <w:ind w:firstLine="425"/>
      <w:jc w:val="both"/>
    </w:pPr>
    <w:rPr>
      <w:rFonts w:ascii="Times New Roman" w:eastAsia="Times New Roman" w:hAnsi="Times New Roman"/>
      <w:snapToGrid w:val="0"/>
      <w:color w:val="000000"/>
      <w:sz w:val="24"/>
      <w:szCs w:val="22"/>
      <w:lang w:eastAsia="de-DE" w:bidi="en-US"/>
    </w:rPr>
  </w:style>
  <w:style w:type="character" w:customStyle="1" w:styleId="SSPWT23heading30">
    <w:name w:val="SSPWT_2.3_heading3 字符"/>
    <w:basedOn w:val="SSPWT31text0"/>
    <w:link w:val="SSPWT23heading3"/>
    <w:rPr>
      <w:rFonts w:ascii="Palatino Linotype" w:eastAsia="Times New Roman" w:hAnsi="Palatino Linotype"/>
      <w:snapToGrid w:val="0"/>
      <w:color w:val="000000"/>
      <w:szCs w:val="22"/>
      <w:lang w:eastAsia="de-DE" w:bidi="en-US"/>
    </w:rPr>
  </w:style>
  <w:style w:type="character" w:customStyle="1" w:styleId="SSPWT21heading10">
    <w:name w:val="SSPWT_2.1_heading1 字符"/>
    <w:basedOn w:val="SSPWT23heading30"/>
    <w:link w:val="SSPWT21heading1"/>
    <w:rPr>
      <w:rFonts w:ascii="Palatino Linotype" w:eastAsia="Times New Roman" w:hAnsi="Palatino Linotype"/>
      <w:b/>
      <w:snapToGrid w:val="0"/>
      <w:color w:val="000000"/>
      <w:szCs w:val="22"/>
      <w:lang w:eastAsia="de-DE" w:bidi="en-US"/>
    </w:rPr>
  </w:style>
  <w:style w:type="character" w:customStyle="1" w:styleId="Heading11">
    <w:name w:val="Heading1 字符"/>
    <w:basedOn w:val="SSPWT21heading10"/>
    <w:link w:val="Heading10"/>
    <w:rPr>
      <w:rFonts w:ascii="Times New Roman" w:eastAsia="Times New Roman" w:hAnsi="Times New Roman"/>
      <w:b/>
      <w:snapToGrid w:val="0"/>
      <w:color w:val="000000"/>
      <w:sz w:val="24"/>
      <w:szCs w:val="22"/>
      <w:lang w:eastAsia="de-DE" w:bidi="en-US"/>
    </w:rPr>
  </w:style>
  <w:style w:type="paragraph" w:customStyle="1" w:styleId="Heading20">
    <w:name w:val="Heading2"/>
    <w:link w:val="Heading21"/>
    <w:qFormat/>
    <w:pPr>
      <w:spacing w:before="240" w:after="240"/>
    </w:pPr>
    <w:rPr>
      <w:rFonts w:ascii="Times New Roman" w:eastAsia="Times New Roman" w:hAnsi="Times New Roman"/>
      <w:i/>
      <w:noProof/>
      <w:snapToGrid w:val="0"/>
      <w:color w:val="000000"/>
      <w:sz w:val="24"/>
      <w:szCs w:val="22"/>
      <w:lang w:eastAsia="de-DE" w:bidi="en-US"/>
    </w:rPr>
  </w:style>
  <w:style w:type="character" w:customStyle="1" w:styleId="Text0">
    <w:name w:val="Text 字符"/>
    <w:basedOn w:val="SSPWT31text0"/>
    <w:link w:val="Text"/>
    <w:rPr>
      <w:rFonts w:ascii="Times New Roman" w:eastAsia="Times New Roman" w:hAnsi="Times New Roman"/>
      <w:snapToGrid w:val="0"/>
      <w:color w:val="000000"/>
      <w:sz w:val="24"/>
      <w:szCs w:val="22"/>
      <w:lang w:eastAsia="de-DE" w:bidi="en-US"/>
    </w:rPr>
  </w:style>
  <w:style w:type="paragraph" w:customStyle="1" w:styleId="Heading3">
    <w:name w:val="Heading3"/>
    <w:link w:val="Heading30"/>
    <w:qFormat/>
    <w:pPr>
      <w:spacing w:before="120" w:after="120"/>
    </w:pPr>
    <w:rPr>
      <w:rFonts w:ascii="Times New Roman" w:eastAsia="Times New Roman" w:hAnsi="Times New Roman"/>
      <w:snapToGrid w:val="0"/>
      <w:color w:val="000000"/>
      <w:sz w:val="24"/>
      <w:szCs w:val="22"/>
      <w:lang w:eastAsia="de-DE" w:bidi="en-US"/>
    </w:rPr>
  </w:style>
  <w:style w:type="character" w:customStyle="1" w:styleId="Heading21">
    <w:name w:val="Heading2 字符"/>
    <w:basedOn w:val="DefaultParagraphFont"/>
    <w:link w:val="Heading20"/>
    <w:rPr>
      <w:rFonts w:ascii="Times New Roman" w:eastAsia="Times New Roman" w:hAnsi="Times New Roman"/>
      <w:i/>
      <w:noProof/>
      <w:snapToGrid w:val="0"/>
      <w:color w:val="000000"/>
      <w:sz w:val="24"/>
      <w:szCs w:val="22"/>
      <w:lang w:eastAsia="de-DE" w:bidi="en-US"/>
    </w:rPr>
  </w:style>
  <w:style w:type="paragraph" w:customStyle="1" w:styleId="Bullet">
    <w:name w:val="Bullet"/>
    <w:link w:val="Bullet0"/>
    <w:rPr>
      <w:rFonts w:ascii="Times New Roman" w:eastAsia="Times New Roman" w:hAnsi="Times New Roman"/>
      <w:snapToGrid w:val="0"/>
      <w:color w:val="000000"/>
      <w:sz w:val="24"/>
      <w:szCs w:val="22"/>
      <w:lang w:eastAsia="de-DE" w:bidi="en-US"/>
    </w:rPr>
  </w:style>
  <w:style w:type="character" w:customStyle="1" w:styleId="Heading30">
    <w:name w:val="Heading3 字符"/>
    <w:basedOn w:val="DefaultParagraphFont"/>
    <w:link w:val="Heading3"/>
    <w:rPr>
      <w:rFonts w:ascii="Times New Roman" w:eastAsia="Times New Roman" w:hAnsi="Times New Roman"/>
      <w:snapToGrid w:val="0"/>
      <w:color w:val="000000"/>
      <w:sz w:val="24"/>
      <w:szCs w:val="22"/>
      <w:lang w:eastAsia="de-DE" w:bidi="en-US"/>
    </w:rPr>
  </w:style>
  <w:style w:type="paragraph" w:customStyle="1" w:styleId="Tes">
    <w:name w:val="Tes"/>
    <w:basedOn w:val="SSPWT33textspaceafter"/>
    <w:qFormat/>
    <w:rPr>
      <w:rFonts w:ascii="Times New Roman" w:hAnsi="Times New Roman"/>
    </w:rPr>
  </w:style>
  <w:style w:type="character" w:customStyle="1" w:styleId="SSPWT38bullet0">
    <w:name w:val="SSPWT_3.8_bullet 字符"/>
    <w:basedOn w:val="SSPWT31text0"/>
    <w:link w:val="SSPWT38bullet"/>
    <w:rPr>
      <w:rFonts w:ascii="Palatino Linotype" w:eastAsia="Times New Roman" w:hAnsi="Palatino Linotype"/>
      <w:snapToGrid w:val="0"/>
      <w:color w:val="000000"/>
      <w:szCs w:val="22"/>
      <w:lang w:eastAsia="de-DE" w:bidi="en-US"/>
    </w:rPr>
  </w:style>
  <w:style w:type="character" w:customStyle="1" w:styleId="Bullet0">
    <w:name w:val="Bullet 字符"/>
    <w:basedOn w:val="SSPWT38bullet0"/>
    <w:link w:val="Bullet"/>
    <w:rPr>
      <w:rFonts w:ascii="Times New Roman" w:eastAsia="Times New Roman" w:hAnsi="Times New Roman"/>
      <w:snapToGrid w:val="0"/>
      <w:color w:val="000000"/>
      <w:sz w:val="24"/>
      <w:szCs w:val="22"/>
      <w:lang w:eastAsia="de-DE" w:bidi="en-US"/>
    </w:rPr>
  </w:style>
  <w:style w:type="paragraph" w:customStyle="1" w:styleId="FigureCaption">
    <w:name w:val="Figure Caption"/>
    <w:link w:val="FigureCaption0"/>
    <w:qFormat/>
    <w:pPr>
      <w:ind w:left="425" w:right="340"/>
      <w:jc w:val="both"/>
    </w:pPr>
    <w:rPr>
      <w:rFonts w:ascii="Times New Roman" w:eastAsia="Times New Roman" w:hAnsi="Times New Roman"/>
      <w:color w:val="000000"/>
      <w:sz w:val="22"/>
      <w:lang w:eastAsia="de-DE" w:bidi="en-US"/>
    </w:rPr>
  </w:style>
  <w:style w:type="paragraph" w:customStyle="1" w:styleId="Figure">
    <w:name w:val="Figure"/>
    <w:link w:val="Figure0"/>
    <w:qFormat/>
    <w:pPr>
      <w:adjustRightInd w:val="0"/>
      <w:snapToGrid w:val="0"/>
      <w:jc w:val="center"/>
    </w:pPr>
    <w:rPr>
      <w:rFonts w:ascii="Times New Roman" w:eastAsia="Times New Roman" w:hAnsi="Times New Roman"/>
      <w:snapToGrid w:val="0"/>
      <w:color w:val="000000"/>
      <w:sz w:val="22"/>
      <w:lang w:eastAsia="de-DE" w:bidi="en-US"/>
    </w:rPr>
  </w:style>
  <w:style w:type="character" w:customStyle="1" w:styleId="SSPWT51figurecaption0">
    <w:name w:val="SSPWT_5.1_figure_caption 字符"/>
    <w:basedOn w:val="Acknowledgments0"/>
    <w:link w:val="SSPWT51figurecaption"/>
    <w:rPr>
      <w:rFonts w:ascii="Times New Roman" w:eastAsia="Times New Roman" w:hAnsi="Times New Roman"/>
      <w:snapToGrid/>
      <w:color w:val="000000"/>
      <w:sz w:val="22"/>
      <w:szCs w:val="22"/>
      <w:lang w:eastAsia="de-DE" w:bidi="en-US"/>
    </w:rPr>
  </w:style>
  <w:style w:type="character" w:customStyle="1" w:styleId="FigureCaption0">
    <w:name w:val="Figure Caption 字符"/>
    <w:basedOn w:val="SSPWT51figurecaption0"/>
    <w:link w:val="FigureCaption"/>
    <w:rPr>
      <w:rFonts w:ascii="Times New Roman" w:eastAsia="Times New Roman" w:hAnsi="Times New Roman"/>
      <w:snapToGrid/>
      <w:color w:val="000000"/>
      <w:sz w:val="22"/>
      <w:szCs w:val="22"/>
      <w:lang w:eastAsia="de-DE" w:bidi="en-US"/>
    </w:rPr>
  </w:style>
  <w:style w:type="paragraph" w:customStyle="1" w:styleId="TableCaption">
    <w:name w:val="Table Caption"/>
    <w:link w:val="TableCaption0"/>
    <w:qFormat/>
    <w:pPr>
      <w:spacing w:before="240" w:after="120"/>
      <w:ind w:left="284" w:right="197"/>
      <w:jc w:val="center"/>
    </w:pPr>
    <w:rPr>
      <w:rFonts w:ascii="Times New Roman" w:eastAsia="Times New Roman" w:hAnsi="Times New Roman"/>
      <w:color w:val="000000"/>
      <w:sz w:val="22"/>
      <w:szCs w:val="22"/>
      <w:lang w:eastAsia="de-DE" w:bidi="en-US"/>
    </w:rPr>
  </w:style>
  <w:style w:type="character" w:customStyle="1" w:styleId="SSPWT52figure0">
    <w:name w:val="SSPWT_5.2_figure 字符"/>
    <w:basedOn w:val="DefaultParagraphFont"/>
    <w:link w:val="SSPWT52figure"/>
    <w:rPr>
      <w:rFonts w:ascii="Palatino Linotype" w:eastAsia="Times New Roman" w:hAnsi="Palatino Linotype"/>
      <w:snapToGrid w:val="0"/>
      <w:color w:val="000000"/>
      <w:sz w:val="24"/>
      <w:lang w:eastAsia="de-DE" w:bidi="en-US"/>
    </w:rPr>
  </w:style>
  <w:style w:type="character" w:customStyle="1" w:styleId="Figure0">
    <w:name w:val="Figure 字符"/>
    <w:basedOn w:val="SSPWT52figure0"/>
    <w:link w:val="Figure"/>
    <w:rPr>
      <w:rFonts w:ascii="Times New Roman" w:eastAsia="Times New Roman" w:hAnsi="Times New Roman"/>
      <w:snapToGrid w:val="0"/>
      <w:color w:val="000000"/>
      <w:sz w:val="22"/>
      <w:lang w:eastAsia="de-DE" w:bidi="en-US"/>
    </w:rPr>
  </w:style>
  <w:style w:type="character" w:customStyle="1" w:styleId="SSPWT41tablecaption0">
    <w:name w:val="SSPWT_4.1_table_caption 字符"/>
    <w:basedOn w:val="Acknowledgments0"/>
    <w:link w:val="SSPWT41tablecaption"/>
    <w:rPr>
      <w:rFonts w:ascii="Times New Roman" w:eastAsia="Times New Roman" w:hAnsi="Times New Roman"/>
      <w:snapToGrid/>
      <w:color w:val="000000"/>
      <w:sz w:val="22"/>
      <w:szCs w:val="22"/>
      <w:lang w:eastAsia="de-DE" w:bidi="en-US"/>
    </w:rPr>
  </w:style>
  <w:style w:type="character" w:customStyle="1" w:styleId="TableCaption0">
    <w:name w:val="Table Caption 字符"/>
    <w:basedOn w:val="SSPWT41tablecaption0"/>
    <w:link w:val="TableCaption"/>
    <w:rPr>
      <w:rFonts w:ascii="Times New Roman" w:eastAsia="Times New Roman" w:hAnsi="Times New Roman"/>
      <w:snapToGrid/>
      <w:color w:val="000000"/>
      <w:sz w:val="22"/>
      <w:szCs w:val="22"/>
      <w:lang w:eastAsia="de-DE" w:bidi="en-US"/>
    </w:rPr>
  </w:style>
  <w:style w:type="paragraph" w:styleId="Caption">
    <w:name w:val="caption"/>
    <w:basedOn w:val="Normal"/>
    <w:next w:val="Normal"/>
    <w:uiPriority w:val="35"/>
    <w:unhideWhenUsed/>
    <w:qFormat/>
    <w:rsid w:val="004B2DB1"/>
    <w:pPr>
      <w:spacing w:after="200"/>
    </w:pPr>
    <w:rPr>
      <w:i/>
      <w:iCs/>
      <w:color w:val="1F497D" w:themeColor="text2"/>
      <w:sz w:val="18"/>
      <w:szCs w:val="18"/>
    </w:rPr>
  </w:style>
  <w:style w:type="paragraph" w:styleId="Bibliography">
    <w:name w:val="Bibliography"/>
    <w:basedOn w:val="Normal"/>
    <w:next w:val="Normal"/>
    <w:uiPriority w:val="37"/>
    <w:unhideWhenUsed/>
    <w:rsid w:val="000F2608"/>
    <w:pPr>
      <w:tabs>
        <w:tab w:val="left" w:pos="504"/>
      </w:tabs>
      <w:ind w:left="504" w:hanging="504"/>
    </w:pPr>
  </w:style>
  <w:style w:type="character" w:customStyle="1" w:styleId="Heading1Char">
    <w:name w:val="Heading 1 Char"/>
    <w:basedOn w:val="DefaultParagraphFont"/>
    <w:link w:val="Heading1"/>
    <w:uiPriority w:val="9"/>
    <w:rsid w:val="00F17FC4"/>
    <w:rPr>
      <w:rFonts w:ascii="Times New Roman" w:eastAsia="Times New Roman" w:hAnsi="Times New Roman"/>
      <w:b/>
      <w:bCs/>
      <w:color w:val="000000"/>
      <w:sz w:val="32"/>
      <w:szCs w:val="32"/>
      <w:lang w:val="en-CA" w:eastAsia="en-CA"/>
    </w:rPr>
  </w:style>
  <w:style w:type="character" w:customStyle="1" w:styleId="Heading2Char">
    <w:name w:val="Heading 2 Char"/>
    <w:basedOn w:val="DefaultParagraphFont"/>
    <w:link w:val="Heading2"/>
    <w:uiPriority w:val="9"/>
    <w:semiHidden/>
    <w:rsid w:val="00EB1FF0"/>
    <w:rPr>
      <w:rFonts w:asciiTheme="majorHAnsi" w:eastAsiaTheme="majorEastAsia" w:hAnsiTheme="majorHAnsi" w:cstheme="majorBidi"/>
      <w:color w:val="365F91" w:themeColor="accent1" w:themeShade="BF"/>
      <w:sz w:val="26"/>
      <w:szCs w:val="26"/>
      <w:lang w:eastAsia="de-DE"/>
    </w:rPr>
  </w:style>
  <w:style w:type="paragraph" w:styleId="ListParagraph">
    <w:name w:val="List Paragraph"/>
    <w:basedOn w:val="Normal"/>
    <w:uiPriority w:val="34"/>
    <w:qFormat/>
    <w:rsid w:val="00CE10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header" Target="header2.xml"/><Relationship Id="rId3" Type="http://schemas.openxmlformats.org/officeDocument/2006/relationships/numbering" Target="numbering.xml"/><Relationship Id="rId21" Type="http://schemas.openxmlformats.org/officeDocument/2006/relationships/footer" Target="footer2.xml"/><Relationship Id="rId7" Type="http://schemas.openxmlformats.org/officeDocument/2006/relationships/footnotes" Target="footnotes.xml"/><Relationship Id="rId12" Type="http://schemas.openxmlformats.org/officeDocument/2006/relationships/image" Target="media/image1.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6/09/relationships/commentsIds" Target="commentsIds.xm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4.png"/><Relationship Id="rId23" Type="http://schemas.microsoft.com/office/2011/relationships/people" Target="people.xml"/><Relationship Id="rId10" Type="http://schemas.microsoft.com/office/2011/relationships/commentsExtended" Target="commentsExtended.xml"/><Relationship Id="rId19" Type="http://schemas.openxmlformats.org/officeDocument/2006/relationships/footer" Target="footer1.xml"/><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image" Target="media/image3.png"/><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E:\&#20020;&#26102;&#25991;&#20214;\&#33647;&#21270;\processes-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mcd:customData xmlns="http://www.wps.cn/android/officeDocument/2013/mofficeCustomData" xmlns:mcd="http://www.wps.cn/android/officeDocument/2013/mofficeCustomData" version="2">
  <mcd:comments/>
</mcd: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FABE08-0839-488B-AB38-5B64263CA501}">
  <ds:schemaRefs>
    <ds:schemaRef ds:uri="http://www.wps.cn/android/officeDocument/2013/mofficeCustomData"/>
  </ds:schemaRefs>
</ds:datastoreItem>
</file>

<file path=customXml/itemProps2.xml><?xml version="1.0" encoding="utf-8"?>
<ds:datastoreItem xmlns:ds="http://schemas.openxmlformats.org/officeDocument/2006/customXml" ds:itemID="{1188F8B2-BF8E-4D3B-80BF-B0C1F5EA13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processes-template.dot</Template>
  <TotalTime>1</TotalTime>
  <Pages>60</Pages>
  <Words>79170</Words>
  <Characters>451269</Characters>
  <Application>Microsoft Office Word</Application>
  <DocSecurity>0</DocSecurity>
  <Lines>3760</Lines>
  <Paragraphs>1058</Paragraphs>
  <ScaleCrop>false</ScaleCrop>
  <Company/>
  <LinksUpToDate>false</LinksUpToDate>
  <CharactersWithSpaces>529381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song</dc:creator>
  <cp:keywords/>
  <cp:lastModifiedBy>Mahmoud Kiasari</cp:lastModifiedBy>
  <cp:revision>3</cp:revision>
  <dcterms:created xsi:type="dcterms:W3CDTF">2026-06-06T15:37:00Z</dcterms:created>
  <dcterms:modified xsi:type="dcterms:W3CDTF">2026-06-06T15:38:00Z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9a3262f8b85c43a8b1e1f9797828b6c6_22</vt:lpwstr>
  </property>
  <property fmtid="{D5CDD505-2E9C-101B-9397-08002B2CF9AE}" pid="3" name="ZOTERO_PREF_1">
    <vt:lpwstr>&lt;data data-version="3" zotero-version="9.0.4"&gt;&lt;session id="1jOmB778"/&gt;&lt;style id="http://www.zotero.org/styles/ieee" locale="en-US" hasBibliography="1" bibliographyStyleHasBeenSet="1"/&gt;&lt;prefs&gt;&lt;pref name="fieldType" value="Field"/&gt;&lt;pref name="automaticJourn</vt:lpwstr>
  </property>
  <property fmtid="{D5CDD505-2E9C-101B-9397-08002B2CF9AE}" pid="4" name="ZOTERO_PREF_2">
    <vt:lpwstr>alAbbreviations" value="true"/&gt;&lt;/prefs&gt;&lt;/data&gt;</vt:lpwstr>
  </property>
  <property fmtid="{D5CDD505-2E9C-101B-9397-08002B2CF9AE}" pid="5" name="ZOTERO_BREF_okwlG68la8Ol_1">
    <vt:lpwstr>ZOTERO_ITEM CSL_CITATION {"citationID":"Fs8kZQN1","properties":{"formattedCitation":"[3]","plainCitation":"[3]","dontUpdate":true,"noteIndex":0},"citationItems":[{"id":1892,"uris":["http://zotero.org/users/9870935/items/FF7QIGXZ"],"itemData":{"id":1892,"t</vt:lpwstr>
  </property>
  <property fmtid="{D5CDD505-2E9C-101B-9397-08002B2CF9AE}" pid="6" name="ZOTERO_BREF_okwlG68la8Ol_2">
    <vt:lpwstr>ype":"post-weblog","title":"Wind","URL":"https://www.iea.org/energy-system/renewables/wind","author":[{"family":"IEA","given":""}],"accessed":{"date-parts":[["2025",2,25]]},"issued":{"date-parts":[["2025",2,25]]}}}],"schema":"https://github.com/citation-s</vt:lpwstr>
  </property>
  <property fmtid="{D5CDD505-2E9C-101B-9397-08002B2CF9AE}" pid="7" name="ZOTERO_BREF_okwlG68la8Ol_3">
    <vt:lpwstr>tyle-language/schema/raw/master/csl-citation.json"}</vt:lpwstr>
  </property>
  <property fmtid="{D5CDD505-2E9C-101B-9397-08002B2CF9AE}" pid="8" name="ZOTERO_BREF_hNWAXeeYukc6_1">
    <vt:lpwstr>ZOTERO_ITEM CSL_CITATION {"citationID":"fF34IWzD","properties":{"formattedCitation":"[3]","plainCitation":"[3]","noteIndex":0},"citationItems":[{"id":1892,"uris":["http://zotero.org/users/9870935/items/FF7QIGXZ"],"itemData":{"id":1892,"type":"post-weblog"</vt:lpwstr>
  </property>
  <property fmtid="{D5CDD505-2E9C-101B-9397-08002B2CF9AE}" pid="9" name="ZOTERO_BREF_hNWAXeeYukc6_2">
    <vt:lpwstr>,"title":"Wind","URL":"https://www.iea.org/energy-system/renewables/wind","author":[{"family":"IEA","given":""}],"accessed":{"date-parts":[["2025",2,25]]},"issued":{"date-parts":[["2025",2,25]]}}}],"schema":"https://github.com/citation-style-language/sche</vt:lpwstr>
  </property>
  <property fmtid="{D5CDD505-2E9C-101B-9397-08002B2CF9AE}" pid="10" name="ZOTERO_BREF_hNWAXeeYukc6_3">
    <vt:lpwstr>ma/raw/master/csl-citation.json"}</vt:lpwstr>
  </property>
  <property fmtid="{D5CDD505-2E9C-101B-9397-08002B2CF9AE}" pid="11" name="ZOTERO_BREF_2C1pJPrHrq4l_1">
    <vt:lpwstr>ZOTERO_ITEM CSL_CITATION {"citationID":"pGChGYEo","properties":{"formattedCitation":"[5]","plainCitation":"[5]","noteIndex":0},"citationItems":[{"id":1893,"uris":["http://zotero.org/users/9870935/items/QNEHP29S"],"itemData":{"id":1893,"type":"post-weblog"</vt:lpwstr>
  </property>
  <property fmtid="{D5CDD505-2E9C-101B-9397-08002B2CF9AE}" pid="12" name="ZOTERO_BREF_2C1pJPrHrq4l_2">
    <vt:lpwstr>,"title":"Renewables","URL":"https://www.iea.org/reports/renewables-2024","author":[{"family":"IEA","given":""}],"accessed":{"date-parts":[["2024",10,9]]}}}],"schema":"https://github.com/citation-style-language/schema/raw/master/csl-citation.json"}</vt:lpwstr>
  </property>
  <property fmtid="{D5CDD505-2E9C-101B-9397-08002B2CF9AE}" pid="13" name="ZOTERO_BREF_4vXwJ5yLEiz1_1">
    <vt:lpwstr>ZOTERO_TEMP</vt:lpwstr>
  </property>
  <property fmtid="{D5CDD505-2E9C-101B-9397-08002B2CF9AE}" pid="14" name="ZOTERO_BREF_wu8OLmHyuqzg_1">
    <vt:lpwstr>ZOTERO_ITEM CSL_CITATION {"citationID":"8RgihEPN","properties":{"formattedCitation":"[5]","plainCitation":"[5]","dontUpdate":true,"noteIndex":0},"citationItems":[{"id":1895,"uris":["http://zotero.org/users/9870935/items/3ZDJBDIS"],"itemData":{"id":1895,"t</vt:lpwstr>
  </property>
  <property fmtid="{D5CDD505-2E9C-101B-9397-08002B2CF9AE}" pid="15" name="ZOTERO_BREF_wu8OLmHyuqzg_2">
    <vt:lpwstr>ype":"post-weblog","title":"International Smart Grid Action Network (ISGAN) Annual Report 2024","URL":"https://www.iea-isgan.org/wp-content/uploads/2025/07/2024-Annual-Report.pdf","author":[{"family":"ISGAN","given":""}],"accessed":{"date-parts":[["2025",</vt:lpwstr>
  </property>
  <property fmtid="{D5CDD505-2E9C-101B-9397-08002B2CF9AE}" pid="16" name="ZOTERO_BREF_wu8OLmHyuqzg_3">
    <vt:lpwstr>2,28]]}}}],"schema":"https://github.com/citation-style-language/schema/raw/master/csl-citation.json"}</vt:lpwstr>
  </property>
  <property fmtid="{D5CDD505-2E9C-101B-9397-08002B2CF9AE}" pid="17" name="ZOTERO_BREF_QvkQVh7ZBI3l_1">
    <vt:lpwstr>ZOTERO_ITEM CSL_CITATION {"citationID":"bZ0KZvDK","properties":{"formattedCitation":"[6]","plainCitation":"[6]","dontUpdate":true,"noteIndex":0},"citationItems":[{"id":1897,"uris":["http://zotero.org/users/9870935/items/8ETZLS3G"],"itemData":{"id":1897,"t</vt:lpwstr>
  </property>
  <property fmtid="{D5CDD505-2E9C-101B-9397-08002B2CF9AE}" pid="18" name="ZOTERO_BREF_QvkQVh7ZBI3l_2">
    <vt:lpwstr>ype":"article-journal","language":"en","source":"Zotero","title":"Key Questions on Energy and AI","author":[{"family":"Christopoulou","given":"Christina"},{"family":"Coroama","given":"Vlad"}]}}],"schema":"https://github.com/citation-style-language/schema/</vt:lpwstr>
  </property>
  <property fmtid="{D5CDD505-2E9C-101B-9397-08002B2CF9AE}" pid="19" name="ZOTERO_BREF_QvkQVh7ZBI3l_3">
    <vt:lpwstr>raw/master/csl-citation.json"}</vt:lpwstr>
  </property>
  <property fmtid="{D5CDD505-2E9C-101B-9397-08002B2CF9AE}" pid="20" name="ZOTERO_BREF_Z7nyIFJbMw7m_1">
    <vt:lpwstr>ZOTERO_ITEM CSL_CITATION {"citationID":"koNtpjpF","properties":{"formattedCitation":"[7]","plainCitation":"[7]","dontUpdate":true,"noteIndex":0},"citationItems":[{"id":1899,"uris":["http://zotero.org/users/9870935/items/DSZ4EYRB"],"itemData":{"id":1899,"t</vt:lpwstr>
  </property>
  <property fmtid="{D5CDD505-2E9C-101B-9397-08002B2CF9AE}" pid="21" name="ZOTERO_BREF_Z7nyIFJbMw7m_2">
    <vt:lpwstr>ype":"report","DOI":"10.2172/1372902","language":"en","number":"LBNL--1005775, 1372902","page":"LBNL--1005775, 1372902","source":"DOI.org (Crossref)","title":"United States Data Center Energy Usage Report","URL":"http://www.osti.gov/servlets/purl/1372902/</vt:lpwstr>
  </property>
  <property fmtid="{D5CDD505-2E9C-101B-9397-08002B2CF9AE}" pid="22" name="ZOTERO_BREF_Z7nyIFJbMw7m_3">
    <vt:lpwstr>","author":[{"family":"Shehabi","given":"Arman"},{"family":"Smith","given":"Sarah"},{"family":"Sartor","given":"Dale"},{"family":"Brown","given":"Richard"},{"family":"Herrlin","given":"Magnus"},{"family":"Koomey","given":"Jonathan"},{"family":"Masanet","g</vt:lpwstr>
  </property>
  <property fmtid="{D5CDD505-2E9C-101B-9397-08002B2CF9AE}" pid="23" name="ZOTERO_BREF_Z7nyIFJbMw7m_4">
    <vt:lpwstr>iven":"Eric"},{"family":"Horner","given":"Nathaniel"},{"family":"Azevedo","given":"Inês"},{"family":"Lintner","given":"William"}],"accessed":{"date-parts":[["2026",5,10]]},"issued":{"date-parts":[["2016",6,1]]}}}],"schema":"https://github.com/citation-sty</vt:lpwstr>
  </property>
  <property fmtid="{D5CDD505-2E9C-101B-9397-08002B2CF9AE}" pid="24" name="ZOTERO_BREF_Z7nyIFJbMw7m_5">
    <vt:lpwstr>le-language/schema/raw/master/csl-citation.json"}</vt:lpwstr>
  </property>
  <property fmtid="{D5CDD505-2E9C-101B-9397-08002B2CF9AE}" pid="25" name="ZOTERO_BREF_2ZcgfMmetQ0j_1">
    <vt:lpwstr>ZOTERO_ITEM CSL_CITATION {"citationID":"7KG3MiJq","properties":{"formattedCitation":"[8]","plainCitation":"[8]","dontUpdate":true,"noteIndex":0},"citationItems":[{"id":1900,"uris":["http://zotero.org/users/9870935/items/IDZTTL47"],"itemData":{"id":1900,"t</vt:lpwstr>
  </property>
  <property fmtid="{D5CDD505-2E9C-101B-9397-08002B2CF9AE}" pid="26" name="ZOTERO_BREF_2ZcgfMmetQ0j_2">
    <vt:lpwstr>ype":"article","abstract":"The computation demand for machine learning (ML) has grown rapidly recently, which comes with a number of costs. Estimating the energy cost helps measure its environmental impact and finding greener strategies, yet it is challen</vt:lpwstr>
  </property>
  <property fmtid="{D5CDD505-2E9C-101B-9397-08002B2CF9AE}" pid="27" name="ZOTERO_BREF_2ZcgfMmetQ0j_3">
    <vt:lpwstr>ging without detailed information. We calculate the energy use and carbon footprint of several recent large models-T5, Meena, GShard, Switch Transformer, and GPT-3-and refine earlier estimates for the neural architecture search that found Evolved Transfor</vt:lpwstr>
  </property>
  <property fmtid="{D5CDD505-2E9C-101B-9397-08002B2CF9AE}" pid="28" name="ZOTERO_BREF_2ZcgfMmetQ0j_4">
    <vt:lpwstr>mer. We highlight the following opportunities to improve energy efficiency and CO2 equivalent emissions (CO2e): Large but sparsely activated DNNs can consume &amp;lt;1/10th the energy of large, dense DNNs without sacrificing accuracy despite using as many or </vt:lpwstr>
  </property>
  <property fmtid="{D5CDD505-2E9C-101B-9397-08002B2CF9AE}" pid="29" name="ZOTERO_BREF_2ZcgfMmetQ0j_5">
    <vt:lpwstr>even more parameters. Geographic location matters for ML workload scheduling since the fraction of carbon-free energy and resulting CO2e vary ~5X-10X, even within the same country and the same organization. We are now optimizing where and when large model</vt:lpwstr>
  </property>
  <property fmtid="{D5CDD505-2E9C-101B-9397-08002B2CF9AE}" pid="30" name="ZOTERO_BREF_2ZcgfMmetQ0j_6">
    <vt:lpwstr>s are trained. Specific datacenter infrastructure matters, as Cloud datacenters can be ~1.4-2X more energy efficient than typical datacenters, and the ML-oriented accelerators inside them can be ~2-5X more effective than off-the-shelf systems. Remarkably,</vt:lpwstr>
  </property>
  <property fmtid="{D5CDD505-2E9C-101B-9397-08002B2CF9AE}" pid="31" name="ZOTERO_BREF_2ZcgfMmetQ0j_7">
    <vt:lpwstr> the choice of DNN, datacenter, and processor can reduce the carbon footprint up to ~100-1000X. These large factors also make retroactive estimates of energy cost difficult. To avoid miscalculations, we believe ML papers requiring large computational reso</vt:lpwstr>
  </property>
  <property fmtid="{D5CDD505-2E9C-101B-9397-08002B2CF9AE}" pid="32" name="ZOTERO_BREF_2ZcgfMmetQ0j_8">
    <vt:lpwstr>urces should make energy consumption and CO2e explicit when practical. We are working to be more transparent about energy use and CO2e in our future research. To help reduce the carbon footprint of ML, we believe energy usage and CO2e should be a key metr</vt:lpwstr>
  </property>
  <property fmtid="{D5CDD505-2E9C-101B-9397-08002B2CF9AE}" pid="33" name="ZOTERO_BREF_2ZcgfMmetQ0j_9">
    <vt:lpwstr>ic in evaluating models, and we are collaborating with MLPerf developers to include energy usage during training and inference in this industry standard benchmark.","DOI":"10.48550/ARXIV.2104.10350","license":"arXiv.org perpetual, non-exclusive license","</vt:lpwstr>
  </property>
  <property fmtid="{D5CDD505-2E9C-101B-9397-08002B2CF9AE}" pid="34" name="ZOTERO_BREF_2ZcgfMmetQ0j_10">
    <vt:lpwstr>note":"version: 3","publisher":"arXiv","source":"DOI.org (Datacite)","title":"Carbon Emissions and Large Neural Network Training","URL":"https://arxiv.org/abs/2104.10350","author":[{"family":"Patterson","given":"David"},{"family":"Gonzalez","given":"Josep</vt:lpwstr>
  </property>
  <property fmtid="{D5CDD505-2E9C-101B-9397-08002B2CF9AE}" pid="35" name="ZOTERO_BREF_2ZcgfMmetQ0j_11">
    <vt:lpwstr>h"},{"family":"Le","given":"Quoc"},{"family":"Liang","given":"Chen"},{"family":"Munguia","given":"Lluis-Miquel"},{"family":"Rothchild","given":"Daniel"},{"family":"So","given":"David"},{"family":"Texier","given":"Maud"},{"family":"Dean","given":"Jeff"}],"</vt:lpwstr>
  </property>
  <property fmtid="{D5CDD505-2E9C-101B-9397-08002B2CF9AE}" pid="36" name="ZOTERO_BREF_2ZcgfMmetQ0j_12">
    <vt:lpwstr>accessed":{"date-parts":[["2026",5,10]]},"issued":{"date-parts":[["2021"]]}}}],"schema":"https://github.com/citation-style-language/schema/raw/master/csl-citation.json"}</vt:lpwstr>
  </property>
  <property fmtid="{D5CDD505-2E9C-101B-9397-08002B2CF9AE}" pid="37" name="ZOTERO_BREF_TnnOjkevPghg_1">
    <vt:lpwstr>ZOTERO_ITEM CSL_CITATION {"citationID":"3TgEv9Sm","properties":{"formattedCitation":"[9]","plainCitation":"[9]","dontUpdate":true,"noteIndex":0},"citationItems":[{"id":1901,"uris":["http://zotero.org/users/9870935/items/TV95D224"],"itemData":{"id":1901,"t</vt:lpwstr>
  </property>
  <property fmtid="{D5CDD505-2E9C-101B-9397-08002B2CF9AE}" pid="38" name="ZOTERO_BREF_TnnOjkevPghg_2">
    <vt:lpwstr>ype":"article","abstract":"Recent progress in hardware and methodology for training neural networks has ushered in a new generation of large networks trained on abundant data. These models have obtained notable gains in accuracy across many NLP tasks. How</vt:lpwstr>
  </property>
  <property fmtid="{D5CDD505-2E9C-101B-9397-08002B2CF9AE}" pid="39" name="ZOTERO_BREF_TnnOjkevPghg_3">
    <vt:lpwstr>ever, these accuracy improvements depend on the availability of exceptionally large computational resources that necessitate similarly substantial energy consumption. As a result these models are costly to train and develop, both financially, due to the c</vt:lpwstr>
  </property>
  <property fmtid="{D5CDD505-2E9C-101B-9397-08002B2CF9AE}" pid="40" name="ZOTERO_BREF_TnnOjkevPghg_4">
    <vt:lpwstr>ost of hardware and electricity or cloud compute time, and environmentally, due to the carbon footprint required to fuel modern tensor processing hardware. In this paper we bring this issue to the attention of NLP researchers by quantifying the approximat</vt:lpwstr>
  </property>
  <property fmtid="{D5CDD505-2E9C-101B-9397-08002B2CF9AE}" pid="41" name="ZOTERO_BREF_TnnOjkevPghg_5">
    <vt:lpwstr>e financial and environmental costs of training a variety of recently successful neural network models for NLP. Based on these findings, we propose actionable recommendations to reduce costs and improve equity in NLP research and practice.","DOI":"10.4855</vt:lpwstr>
  </property>
  <property fmtid="{D5CDD505-2E9C-101B-9397-08002B2CF9AE}" pid="42" name="ZOTERO_BREF_TnnOjkevPghg_6">
    <vt:lpwstr>0/ARXIV.1906.02243","license":"arXiv.org perpetual, non-exclusive license","note":"version: 1","publisher":"arXiv","source":"DOI.org (Datacite)","title":"Energy and Policy Considerations for Deep Learning in NLP","URL":"https://arxiv.org/abs/1906.02243","</vt:lpwstr>
  </property>
  <property fmtid="{D5CDD505-2E9C-101B-9397-08002B2CF9AE}" pid="43" name="ZOTERO_BREF_TnnOjkevPghg_7">
    <vt:lpwstr>author":[{"family":"Strubell","given":"Emma"},{"family":"Ganesh","given":"Ananya"},{"family":"McCallum","given":"Andrew"}],"accessed":{"date-parts":[["2026",5,10]]},"issued":{"date-parts":[["2019"]]}}}],"schema":"https://github.com/citation-style-language</vt:lpwstr>
  </property>
  <property fmtid="{D5CDD505-2E9C-101B-9397-08002B2CF9AE}" pid="44" name="ZOTERO_BREF_TnnOjkevPghg_8">
    <vt:lpwstr>/schema/raw/master/csl-citation.json"}</vt:lpwstr>
  </property>
  <property fmtid="{D5CDD505-2E9C-101B-9397-08002B2CF9AE}" pid="45" name="ZOTERO_BREF_5EUQ41HHIaWa_1">
    <vt:lpwstr>ZOTERO_ITEM CSL_CITATION {"citationID":"DSWM6hB1","properties":{"formattedCitation":"[4]","plainCitation":"[4]","dontUpdate":true,"noteIndex":0},"citationItems":[{"id":1897,"uris":["http://zotero.org/users/9870935/items/8ETZLS3G"],"itemData":{"id":1897,"t</vt:lpwstr>
  </property>
  <property fmtid="{D5CDD505-2E9C-101B-9397-08002B2CF9AE}" pid="46" name="ZOTERO_BREF_5EUQ41HHIaWa_2">
    <vt:lpwstr>ype":"article-journal","language":"en","source":"Zotero","title":"Key Questions on Energy and AI","author":[{"family":"Christopoulou","given":"Christina"},{"family":"Coroama","given":"Vlad"}]}}],"schema":"https://github.com/citation-style-language/schema/</vt:lpwstr>
  </property>
  <property fmtid="{D5CDD505-2E9C-101B-9397-08002B2CF9AE}" pid="47" name="ZOTERO_BREF_5EUQ41HHIaWa_3">
    <vt:lpwstr>raw/master/csl-citation.json"}</vt:lpwstr>
  </property>
  <property fmtid="{D5CDD505-2E9C-101B-9397-08002B2CF9AE}" pid="48" name="ZOTERO_BREF_dHv8VG7MV9EW_1">
    <vt:lpwstr>ZOTERO_ITEM CSL_CITATION {"citationID":"bMEhKCVs","properties":{"formattedCitation":"[4]","plainCitation":"[4]","dontUpdate":true,"noteIndex":0},"citationItems":[{"id":1891,"uris":["http://zotero.org/users/9870935/items/Y726ZSXQ"],"itemData":{"id":1891,"t</vt:lpwstr>
  </property>
  <property fmtid="{D5CDD505-2E9C-101B-9397-08002B2CF9AE}" pid="49" name="ZOTERO_BREF_dHv8VG7MV9EW_2">
    <vt:lpwstr>ype":"post-weblog","title":"Energy and AI","URL":"https://www.iea.org/reports/energy-and-ai","author":[{"family":"IEA","given":""}],"accessed":{"date-parts":[["2025",4,10]]}}}],"schema":"https://github.com/citation-style-language/schema/raw/master/csl-cit</vt:lpwstr>
  </property>
  <property fmtid="{D5CDD505-2E9C-101B-9397-08002B2CF9AE}" pid="50" name="ZOTERO_BREF_dHv8VG7MV9EW_3">
    <vt:lpwstr>ation.json"}</vt:lpwstr>
  </property>
  <property fmtid="{D5CDD505-2E9C-101B-9397-08002B2CF9AE}" pid="51" name="ZOTERO_BREF_H70vUx20hBhO_1">
    <vt:lpwstr>ZOTERO_ITEM CSL_CITATION {"citationID":"lrMHeWyX","properties":{"formattedCitation":"[3]","plainCitation":"[3]","dontUpdate":true,"noteIndex":0},"citationItems":[{"id":1891,"uris":["http://zotero.org/users/9870935/items/Y726ZSXQ"],"itemData":{"id":1891,"t</vt:lpwstr>
  </property>
  <property fmtid="{D5CDD505-2E9C-101B-9397-08002B2CF9AE}" pid="52" name="ZOTERO_BREF_H70vUx20hBhO_2">
    <vt:lpwstr>ype":"post-weblog","title":"Energy and AI","URL":"https://www.iea.org/reports/energy-and-ai","author":[{"family":"IEA","given":""}],"accessed":{"date-parts":[["2025",4,10]]}}}],"schema":"https://github.com/citation-style-language/schema/raw/master/csl-cit</vt:lpwstr>
  </property>
  <property fmtid="{D5CDD505-2E9C-101B-9397-08002B2CF9AE}" pid="53" name="ZOTERO_BREF_F1GLAsW3xgTG_1">
    <vt:lpwstr>ZOTERO_ITEM CSL_CITATION {"citationID":"7Zl4vijI","properties":{"formattedCitation":"[6], [7]","plainCitation":"[6], [7]","dontUpdate":true,"noteIndex":0},"citationItems":[{"id":1903,"uris":["http://zotero.org/users/9870935/items/QAA9ZM27"],"itemData":{"i</vt:lpwstr>
  </property>
  <property fmtid="{D5CDD505-2E9C-101B-9397-08002B2CF9AE}" pid="54" name="ZOTERO_BREF_F1GLAsW3xgTG_2">
    <vt:lpwstr>d":1903,"type":"article-journal","container-title":"Resources, Conservation and Recycling","DOI":"10.1016/j.resconrec.2025.108670","ISSN":"09213449","journalAbbreviation":"Resources, Conservation and Recycling","language":"en","page":"108670","source":"DO</vt:lpwstr>
  </property>
  <property fmtid="{D5CDD505-2E9C-101B-9397-08002B2CF9AE}" pid="55" name="ZOTERO_BREF_F1GLAsW3xgTG_3">
    <vt:lpwstr>I.org (Crossref)","title":"Assessing the carbon footprint of language models: Towards sustainability in AI","title-short":"Assessing the carbon footprint of language models","volume":"226","author":[{"family":"Jeanquartier","given":"Fleur"},{"family":"Jea</vt:lpwstr>
  </property>
  <property fmtid="{D5CDD505-2E9C-101B-9397-08002B2CF9AE}" pid="56" name="ZOTERO_BREF_F1GLAsW3xgTG_4">
    <vt:lpwstr>n-Quartier","given":"Claire"},{"family":"Rieder","given":"Paul"},{"family":"Misirlić","given":"Vedad"},{"family":"Pasero","given":"Christian"},{"family":"Hohensinner","given":"Richard"},{"family":"Müller","given":"Heimo"},{"family":"Holzinger","given":"An</vt:lpwstr>
  </property>
  <property fmtid="{D5CDD505-2E9C-101B-9397-08002B2CF9AE}" pid="57" name="ZOTERO_BREF_F1GLAsW3xgTG_5">
    <vt:lpwstr>dreas"}],"issued":{"date-parts":[["2026",2]]}}},{"id":1895,"uris":["http://zotero.org/users/9870935/items/3ZDJBDIS"],"itemData":{"id":1895,"type":"post-weblog","title":"International Smart Grid Action Network (ISGAN) Annual Report 2024","URL":"https://www</vt:lpwstr>
  </property>
  <property fmtid="{D5CDD505-2E9C-101B-9397-08002B2CF9AE}" pid="58" name="ZOTERO_BREF_H70vUx20hBhO_3">
    <vt:lpwstr>ation.json"}</vt:lpwstr>
  </property>
  <property fmtid="{D5CDD505-2E9C-101B-9397-08002B2CF9AE}" pid="59" name="ZOTERO_BREF_5YwRRrwIy7F7_1">
    <vt:lpwstr>ZOTERO_ITEM CSL_CITATION {"citationID":"yWq8hUUv","properties":{"formattedCitation":"[2], [9]","plainCitation":"[2], [9]","noteIndex":0},"citationItems":[{"id":1908,"uris":["http://zotero.org/users/9870935/items/5SZSS7UD"],"itemData":{"id":1908,"type":"ar</vt:lpwstr>
  </property>
  <property fmtid="{D5CDD505-2E9C-101B-9397-08002B2CF9AE}" pid="60" name="ZOTERO_BREF_5YwRRrwIy7F7_2">
    <vt:lpwstr>ticle","abstract":"The rapid growth of artificial intelligence (AI) is driving an unprecedented increase in the electricity demand of AI data centers, raising emerging challenges for electric power grids. Understanding the characteristics of AI data cente</vt:lpwstr>
  </property>
  <property fmtid="{D5CDD505-2E9C-101B-9397-08002B2CF9AE}" pid="61" name="ZOTERO_BREF_5YwRRrwIy7F7_3">
    <vt:lpwstr>r loads and their interactions with the grid is therefore critical for ensuring both reliable power system operation and sustainable AI development. This paper provides a comprehensive review and vision of this evolving landscape. Specifically, this paper</vt:lpwstr>
  </property>
  <property fmtid="{D5CDD505-2E9C-101B-9397-08002B2CF9AE}" pid="62" name="ZOTERO_BREF_5YwRRrwIy7F7_4">
    <vt:lpwstr> (i) presents an overview of AI data center infrastructure and its key components, (ii) examines the key characteristics and patterns of electricity demand across the stages of model preparation, training, fine-tuning, and inference, (iii) analyzes the cr</vt:lpwstr>
  </property>
  <property fmtid="{D5CDD505-2E9C-101B-9397-08002B2CF9AE}" pid="63" name="ZOTERO_BREF_5YwRRrwIy7F7_5">
    <vt:lpwstr>itical challenges that AI data center loads pose to power systems across three interrelated timescales, including long-term planning and interconnection, short-term operation and electricity markets, and real-time dynamics and stability, and (iv) discusse</vt:lpwstr>
  </property>
  <property fmtid="{D5CDD505-2E9C-101B-9397-08002B2CF9AE}" pid="64" name="ZOTERO_BREF_5YwRRrwIy7F7_6">
    <vt:lpwstr>s potential solutions from the perspectives of the grid, AI data centers, and AI end-users to address these challenges. By synthesizing current knowledge and outlining future directions, this review aims to guide research and development in support of the</vt:lpwstr>
  </property>
  <property fmtid="{D5CDD505-2E9C-101B-9397-08002B2CF9AE}" pid="65" name="ZOTERO_BREF_5YwRRrwIy7F7_7">
    <vt:lpwstr> joint advancement of AI data centers and power systems toward reliable, efficient, and sustainable operation.","DOI":"10.48550/arXiv.2509.07218","note":"arXiv:2509.07218 [eess]","number":"arXiv:2509.07218","publisher":"arXiv","source":"arXiv.org","title"</vt:lpwstr>
  </property>
  <property fmtid="{D5CDD505-2E9C-101B-9397-08002B2CF9AE}" pid="66" name="ZOTERO_BREF_5YwRRrwIy7F7_8">
    <vt:lpwstr>:"Electricity Demand and Grid Impacts of AI Data Centers: Challenges and Prospects","title-short":"Electricity Demand and Grid Impacts of AI Data Centers","URL":"http://arxiv.org/abs/2509.07218","author":[{"family":"Chen","given":"Xin"},{"family":"Wang","</vt:lpwstr>
  </property>
  <property fmtid="{D5CDD505-2E9C-101B-9397-08002B2CF9AE}" pid="67" name="ZOTERO_BREF_5YwRRrwIy7F7_9">
    <vt:lpwstr>given":"Xiaoyang"},{"family":"Colacelli","given":"Ana"},{"family":"Lee","given":"Matt"},{"family":"Xie","given":"Le"}],"accessed":{"date-parts":[["2026",5,10]]},"issued":{"date-parts":[["2025",11,26]]}}},{"id":1899,"uris":["http://zotero.org/users/9870935</vt:lpwstr>
  </property>
  <property fmtid="{D5CDD505-2E9C-101B-9397-08002B2CF9AE}" pid="68" name="ZOTERO_BREF_5YwRRrwIy7F7_10">
    <vt:lpwstr>/items/DSZ4EYRB"],"itemData":{"id":1899,"type":"report","DOI":"10.2172/1372902","language":"en","number":"LBNL--1005775, 1372902","page":"LBNL--1005775, 1372902","source":"DOI.org (Crossref)","title":"United States Data Center Energy Usage Report","URL":"</vt:lpwstr>
  </property>
  <property fmtid="{D5CDD505-2E9C-101B-9397-08002B2CF9AE}" pid="69" name="ZOTERO_BREF_5YwRRrwIy7F7_11">
    <vt:lpwstr>http://www.osti.gov/servlets/purl/1372902/","author":[{"family":"Shehabi","given":"Arman"},{"family":"Smith","given":"Sarah"},{"family":"Sartor","given":"Dale"},{"family":"Brown","given":"Richard"},{"family":"Herrlin","given":"Magnus"},{"family":"Koomey",</vt:lpwstr>
  </property>
  <property fmtid="{D5CDD505-2E9C-101B-9397-08002B2CF9AE}" pid="70" name="ZOTERO_BREF_5YwRRrwIy7F7_12">
    <vt:lpwstr>"given":"Jonathan"},{"family":"Masanet","given":"Eric"},{"family":"Horner","given":"Nathaniel"},{"family":"Azevedo","given":"Inês"},{"family":"Lintner","given":"William"}],"accessed":{"date-parts":[["2026",5,10]]},"issued":{"date-parts":[["2016",6,1]]}}}]</vt:lpwstr>
  </property>
  <property fmtid="{D5CDD505-2E9C-101B-9397-08002B2CF9AE}" pid="71" name="ZOTERO_BREF_5YwRRrwIy7F7_13">
    <vt:lpwstr>,"schema":"https://github.com/citation-style-language/schema/raw/master/csl-citation.json"}</vt:lpwstr>
  </property>
  <property fmtid="{D5CDD505-2E9C-101B-9397-08002B2CF9AE}" pid="72" name="ZOTERO_BREF_F1GLAsW3xgTG_6">
    <vt:lpwstr>.iea-isgan.org/wp-content/uploads/2025/07/2024-Annual-Report.pdf","author":[{"family":"ISGAN","given":""}],"accessed":{"date-parts":[["2025",2,28]]}}}],"schema":"https://github.com/citation-style-language/schema/raw/master/csl-citation.json"}</vt:lpwstr>
  </property>
  <property fmtid="{D5CDD505-2E9C-101B-9397-08002B2CF9AE}" pid="73" name="ZOTERO_BREF_VzOpl4gXp4N6_1">
    <vt:lpwstr>ZOTERO_ITEM CSL_CITATION {"citationID":"M5h8VY47","properties":{"formattedCitation":"[10]","plainCitation":"[10]","dontUpdate":true,"noteIndex":0},"citationItems":[{"id":1912,"uris":["http://zotero.org/users/9870935/items/YDR6GAHQ"],"itemData":{"id":1912,</vt:lpwstr>
  </property>
  <property fmtid="{D5CDD505-2E9C-101B-9397-08002B2CF9AE}" pid="74" name="ZOTERO_BREF_VzOpl4gXp4N6_2">
    <vt:lpwstr>"type":"article-journal","language":"en","source":"Zotero","title":"Uptime Institute Global Data Center Survey 2024","author":[{"family":"Donnellan","given":"Douglas"},{"family":"Lawrence","given":"Andy"},{"family":"Bizo","given":"Daniel"},{"family":"Judg</vt:lpwstr>
  </property>
  <property fmtid="{D5CDD505-2E9C-101B-9397-08002B2CF9AE}" pid="75" name="ZOTERO_BREF_VzOpl4gXp4N6_3">
    <vt:lpwstr>e","given":"Peter"},{"family":"O’Brien","given":"John"},{"family":"Davis","given":"Jacqueline"},{"family":"Smolaks","given":"Max"},{"family":"Williams-George","given":"Jabari"},{"family":"Weinschenk","given":"Rose"}],"issued":{"date-parts":[["2024"]]}}}],</vt:lpwstr>
  </property>
  <property fmtid="{D5CDD505-2E9C-101B-9397-08002B2CF9AE}" pid="76" name="ZOTERO_BREF_VzOpl4gXp4N6_4">
    <vt:lpwstr>"schema":"https://github.com/citation-style-language/schema/raw/master/csl-citation.json"}</vt:lpwstr>
  </property>
</Properties>
</file>