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F4EE4" w14:textId="77777777" w:rsidR="005E30F4" w:rsidRDefault="005E30F4">
      <w:pPr>
        <w:spacing w:before="3000"/>
      </w:pPr>
    </w:p>
    <w:p w14:paraId="3E02750B" w14:textId="77777777" w:rsidR="005E30F4" w:rsidRDefault="004976D6">
      <w:pPr>
        <w:spacing w:after="200"/>
        <w:jc w:val="center"/>
      </w:pPr>
      <w:r>
        <w:rPr>
          <w:b/>
          <w:bCs/>
          <w:color w:val="1A1A2E"/>
          <w:sz w:val="44"/>
          <w:szCs w:val="44"/>
        </w:rPr>
        <w:t>Optimizing Energy Infrastructure for AI Data Centers</w:t>
      </w:r>
    </w:p>
    <w:p w14:paraId="7F50F644" w14:textId="77777777" w:rsidR="005E30F4" w:rsidRDefault="004976D6">
      <w:pPr>
        <w:spacing w:after="600"/>
        <w:jc w:val="center"/>
      </w:pPr>
      <w:r>
        <w:rPr>
          <w:color w:val="2E5090"/>
          <w:sz w:val="30"/>
          <w:szCs w:val="30"/>
        </w:rPr>
        <w:t>A Framework for Integrating Renewable Energy Sources</w:t>
      </w:r>
    </w:p>
    <w:p w14:paraId="600495A6" w14:textId="77777777" w:rsidR="005E30F4" w:rsidRDefault="005E30F4">
      <w:pPr>
        <w:spacing w:before="200"/>
      </w:pPr>
    </w:p>
    <w:p w14:paraId="2AEDE064" w14:textId="77777777" w:rsidR="005E30F4" w:rsidRDefault="004976D6">
      <w:pPr>
        <w:spacing w:after="100"/>
        <w:jc w:val="center"/>
      </w:pPr>
      <w:r>
        <w:rPr>
          <w:color w:val="555555"/>
        </w:rPr>
        <w:t>Academic Research Paper</w:t>
      </w:r>
    </w:p>
    <w:p w14:paraId="02C62311" w14:textId="77777777" w:rsidR="005E30F4" w:rsidRDefault="004976D6">
      <w:pPr>
        <w:spacing w:after="100"/>
        <w:jc w:val="center"/>
      </w:pPr>
      <w:r>
        <w:rPr>
          <w:color w:val="555555"/>
          <w:sz w:val="22"/>
          <w:szCs w:val="22"/>
        </w:rPr>
        <w:t>Department of Electrical and Computer Engineering</w:t>
      </w:r>
    </w:p>
    <w:p w14:paraId="063BE246" w14:textId="77777777" w:rsidR="005E30F4" w:rsidRDefault="004976D6">
      <w:pPr>
        <w:spacing w:after="100"/>
        <w:jc w:val="center"/>
      </w:pPr>
      <w:r>
        <w:rPr>
          <w:i/>
          <w:iCs/>
          <w:color w:val="777777"/>
          <w:sz w:val="20"/>
          <w:szCs w:val="20"/>
        </w:rPr>
        <w:t>Target Audience: Electrical Engineers, Energy Researchers, Data Center Operators</w:t>
      </w:r>
    </w:p>
    <w:p w14:paraId="42645985" w14:textId="77777777" w:rsidR="005E30F4" w:rsidRDefault="005E30F4">
      <w:pPr>
        <w:spacing w:before="800"/>
      </w:pPr>
    </w:p>
    <w:p w14:paraId="1ECB15BB" w14:textId="77777777" w:rsidR="005E30F4" w:rsidRDefault="004976D6">
      <w:pPr>
        <w:spacing w:after="100"/>
        <w:jc w:val="center"/>
      </w:pPr>
      <w:r>
        <w:rPr>
          <w:color w:val="555555"/>
          <w:sz w:val="22"/>
          <w:szCs w:val="22"/>
        </w:rPr>
        <w:t>Citation Style: IEEE</w:t>
      </w:r>
    </w:p>
    <w:p w14:paraId="700D69FE" w14:textId="77777777" w:rsidR="005E30F4" w:rsidRDefault="004976D6">
      <w:pPr>
        <w:spacing w:after="100"/>
        <w:jc w:val="center"/>
      </w:pPr>
      <w:r>
        <w:rPr>
          <w:color w:val="555555"/>
          <w:sz w:val="22"/>
          <w:szCs w:val="22"/>
        </w:rPr>
        <w:t>Date: May 2026</w:t>
      </w:r>
    </w:p>
    <w:p w14:paraId="4DA824EB" w14:textId="77777777" w:rsidR="005E30F4" w:rsidRDefault="004976D6">
      <w:pPr>
        <w:jc w:val="center"/>
      </w:pPr>
      <w:r>
        <w:rPr>
          <w:color w:val="555555"/>
          <w:sz w:val="22"/>
          <w:szCs w:val="22"/>
        </w:rPr>
        <w:t>Sources: 260+ credible, peer-reviewed references</w:t>
      </w:r>
    </w:p>
    <w:p w14:paraId="469D17B9" w14:textId="77777777" w:rsidR="005E30F4" w:rsidRDefault="005E30F4">
      <w:pPr>
        <w:sectPr w:rsidR="005E30F4">
          <w:pgSz w:w="11906" w:h="16838"/>
          <w:pgMar w:top="0" w:right="0" w:bottom="0" w:left="0" w:header="708" w:footer="708" w:gutter="0"/>
          <w:cols w:space="720"/>
          <w:docGrid w:linePitch="360"/>
        </w:sectPr>
      </w:pPr>
    </w:p>
    <w:p w14:paraId="13A3F192" w14:textId="77777777" w:rsidR="005E30F4" w:rsidRDefault="004976D6">
      <w:pPr>
        <w:pStyle w:val="Heading1"/>
        <w:keepNext/>
      </w:pPr>
      <w:bookmarkStart w:id="0" w:name="_Toc100000"/>
      <w:r>
        <w:lastRenderedPageBreak/>
        <w:t>Abstract</w:t>
      </w:r>
      <w:bookmarkEnd w:id="0"/>
    </w:p>
    <w:p w14:paraId="13772DF5" w14:textId="77777777" w:rsidR="005E30F4" w:rsidRDefault="004976D6">
      <w:pPr>
        <w:spacing w:after="120"/>
        <w:ind w:firstLine="480"/>
        <w:jc w:val="both"/>
      </w:pPr>
      <w:r>
        <w:t>The rapid proliferation of artificial intelligence (AI) workloads has precipitated an unprecedented surge in data center electricity consumption, with global demand projected to reach approximately 945 TWh by 2030, more than double the 2024 level of approximately 415 TWh. This exponential growth trajectory presents a critical challenge: meeting the energy demands of AI infrastructure while simultaneously achieving climate commitments and maintaining economic viability. This paper presents a comprehensive, seven-component framework for designing and operating renewable-powered AI data centers, addressing the technical, economic, and regulatory dimensions of sustainable computing infrastructure.</w:t>
      </w:r>
    </w:p>
    <w:p w14:paraId="5E2AC128" w14:textId="77777777" w:rsidR="005E30F4" w:rsidRDefault="004976D6">
      <w:pPr>
        <w:spacing w:after="120"/>
        <w:ind w:firstLine="480"/>
        <w:jc w:val="both"/>
      </w:pPr>
      <w:r>
        <w:t>The proposed framework integrates site assessment, technology selection, electrical architecture design, hierarchical control strategies, demand-side workload flexibility, economic viability analysis, and sustainability compliance. Through an extensive literature review encompassing over 260 peer-reviewed sources, industry reports, and policy documents, this study synthesizes current knowledge across renewable energy technologies, energy storage systems, power system modeling, and operational strategies. The framework is validated through detailed case studies of leading technology companies including Google, Meta, Microsoft, Equinix, and Apple, demonstrating that hybrid renewable-storage-grid systems can achieve cost-competitive electricity delivery at $35 to $100 per MWh while exceeding 99.9% reliability targets.</w:t>
      </w:r>
    </w:p>
    <w:p w14:paraId="2940FB5E" w14:textId="77777777" w:rsidR="005E30F4" w:rsidRDefault="004976D6">
      <w:pPr>
        <w:spacing w:after="120"/>
        <w:ind w:firstLine="480"/>
        <w:jc w:val="both"/>
      </w:pPr>
      <w:r>
        <w:t>Key findings indicate that lithium-ion battery costs have declined to approximately $108 per kWh in 2025, solar photovoltaic installed costs have decreased by over 90% since 2010, and wind-solar complementarity can reduce required storage capacity by 40 to 60 percent through geographic diversification. The paper provides detailed economic modeling, including levelized cost of energy (LCOE) calculations, net present value (NPV) analysis, and sensitivity assessments, demonstrating payback periods of 5 to 12 years with current tax incentives. An implementation roadmap spanning 2024 to 2045 is proposed, charting a path from demonstration projects through mainstream adoption of 100% renewable-powered AI data centers.</w:t>
      </w:r>
    </w:p>
    <w:p w14:paraId="3CF804D7" w14:textId="77777777" w:rsidR="005E30F4" w:rsidRDefault="004976D6">
      <w:pPr>
        <w:spacing w:after="120"/>
        <w:ind w:firstLine="480"/>
        <w:jc w:val="both"/>
      </w:pPr>
      <w:r>
        <w:rPr>
          <w:b/>
          <w:bCs/>
        </w:rPr>
        <w:t xml:space="preserve">Keywords: </w:t>
      </w:r>
      <w:r>
        <w:t>AI data centers, renewable energy integration, energy storage, microgrid optimization, power system modeling, demand-side management, carbon-free energy, levelized cost of energy</w:t>
      </w:r>
    </w:p>
    <w:p w14:paraId="11DE6EB8" w14:textId="77777777" w:rsidR="005E30F4" w:rsidRDefault="005E30F4">
      <w:pPr>
        <w:spacing w:before="400"/>
      </w:pPr>
    </w:p>
    <w:p w14:paraId="1D4A4EAE" w14:textId="77777777" w:rsidR="005E30F4" w:rsidRDefault="004976D6">
      <w:pPr>
        <w:pStyle w:val="Heading1"/>
      </w:pPr>
      <w:bookmarkStart w:id="1" w:name="_Toc100001"/>
      <w:r>
        <w:t>Table of Contents</w:t>
      </w:r>
      <w:bookmarkEnd w:id="1"/>
    </w:p>
    <w:sdt>
      <w:sdtPr>
        <w:alias w:val="Table of Contents"/>
        <w:id w:val="1327633515"/>
      </w:sdtPr>
      <w:sdtEndPr/>
      <w:sdtContent>
        <w:p w14:paraId="46B927C7" w14:textId="77777777" w:rsidR="005E30F4" w:rsidRDefault="004976D6">
          <w:pPr>
            <w:rPr>
              <w:noProof/>
            </w:rPr>
          </w:pPr>
          <w:r>
            <w:fldChar w:fldCharType="begin"/>
          </w:r>
          <w:r>
            <w:instrText>TOC \h \o "1-3"</w:instrText>
          </w:r>
          <w:r>
            <w:fldChar w:fldCharType="separate"/>
          </w:r>
        </w:p>
        <w:p w14:paraId="4837CA78" w14:textId="77777777" w:rsidR="005E30F4" w:rsidRDefault="004976D6">
          <w:pPr>
            <w:pStyle w:val="TOC1"/>
            <w:rPr>
              <w:noProof/>
            </w:rPr>
          </w:pPr>
          <w:hyperlink w:anchor="_Toc100000" w:history="1">
            <w:r>
              <w:rPr>
                <w:rStyle w:val="Hyperlink"/>
                <w:noProof/>
              </w:rPr>
              <w:t>Abstract</w:t>
            </w:r>
            <w:r>
              <w:rPr>
                <w:noProof/>
              </w:rPr>
              <w:tab/>
            </w:r>
            <w:r>
              <w:rPr>
                <w:noProof/>
              </w:rPr>
              <w:fldChar w:fldCharType="begin"/>
            </w:r>
            <w:r>
              <w:rPr>
                <w:noProof/>
              </w:rPr>
              <w:instrText xml:space="preserve"> PAGEREF _Toc100000 \h </w:instrText>
            </w:r>
            <w:r>
              <w:rPr>
                <w:noProof/>
              </w:rPr>
            </w:r>
            <w:r>
              <w:rPr>
                <w:noProof/>
              </w:rPr>
              <w:fldChar w:fldCharType="separate"/>
            </w:r>
            <w:r>
              <w:rPr>
                <w:noProof/>
              </w:rPr>
              <w:t>2</w:t>
            </w:r>
            <w:r>
              <w:rPr>
                <w:noProof/>
              </w:rPr>
              <w:fldChar w:fldCharType="end"/>
            </w:r>
          </w:hyperlink>
        </w:p>
        <w:p w14:paraId="1F5F3AE2" w14:textId="77777777" w:rsidR="005E30F4" w:rsidRDefault="004976D6">
          <w:pPr>
            <w:pStyle w:val="TOC1"/>
            <w:rPr>
              <w:noProof/>
            </w:rPr>
          </w:pPr>
          <w:hyperlink w:anchor="_Toc100001" w:history="1">
            <w:r>
              <w:rPr>
                <w:rStyle w:val="Hyperlink"/>
                <w:noProof/>
              </w:rPr>
              <w:t>Table of Contents</w:t>
            </w:r>
            <w:r>
              <w:rPr>
                <w:noProof/>
              </w:rPr>
              <w:tab/>
            </w:r>
            <w:r>
              <w:rPr>
                <w:noProof/>
              </w:rPr>
              <w:fldChar w:fldCharType="begin"/>
            </w:r>
            <w:r>
              <w:rPr>
                <w:noProof/>
              </w:rPr>
              <w:instrText xml:space="preserve"> PAGEREF _Toc100001 \h </w:instrText>
            </w:r>
            <w:r>
              <w:rPr>
                <w:noProof/>
              </w:rPr>
            </w:r>
            <w:r>
              <w:rPr>
                <w:noProof/>
              </w:rPr>
              <w:fldChar w:fldCharType="separate"/>
            </w:r>
            <w:r>
              <w:rPr>
                <w:noProof/>
              </w:rPr>
              <w:t>3</w:t>
            </w:r>
            <w:r>
              <w:rPr>
                <w:noProof/>
              </w:rPr>
              <w:fldChar w:fldCharType="end"/>
            </w:r>
          </w:hyperlink>
        </w:p>
        <w:p w14:paraId="2362A90D" w14:textId="77777777" w:rsidR="005E30F4" w:rsidRDefault="004976D6">
          <w:pPr>
            <w:pStyle w:val="TOC1"/>
            <w:rPr>
              <w:noProof/>
            </w:rPr>
          </w:pPr>
          <w:hyperlink w:anchor="_Toc100002" w:history="1">
            <w:r>
              <w:rPr>
                <w:rStyle w:val="Hyperlink"/>
                <w:noProof/>
              </w:rPr>
              <w:t>1. Introduction</w:t>
            </w:r>
            <w:r>
              <w:rPr>
                <w:noProof/>
              </w:rPr>
              <w:tab/>
            </w:r>
            <w:r>
              <w:rPr>
                <w:noProof/>
              </w:rPr>
              <w:fldChar w:fldCharType="begin"/>
            </w:r>
            <w:r>
              <w:rPr>
                <w:noProof/>
              </w:rPr>
              <w:instrText xml:space="preserve"> PAGEREF _Toc100002 \h </w:instrText>
            </w:r>
            <w:r>
              <w:rPr>
                <w:noProof/>
              </w:rPr>
            </w:r>
            <w:r>
              <w:rPr>
                <w:noProof/>
              </w:rPr>
              <w:fldChar w:fldCharType="separate"/>
            </w:r>
            <w:r>
              <w:rPr>
                <w:noProof/>
              </w:rPr>
              <w:t>3</w:t>
            </w:r>
            <w:r>
              <w:rPr>
                <w:noProof/>
              </w:rPr>
              <w:fldChar w:fldCharType="end"/>
            </w:r>
          </w:hyperlink>
        </w:p>
        <w:p w14:paraId="1AFC0D00" w14:textId="77777777" w:rsidR="005E30F4" w:rsidRDefault="004976D6">
          <w:pPr>
            <w:pStyle w:val="TOC2"/>
            <w:spacing w:before="120" w:after="60"/>
            <w:rPr>
              <w:noProof/>
            </w:rPr>
          </w:pPr>
          <w:hyperlink w:anchor="_Toc100003" w:history="1">
            <w:r>
              <w:rPr>
                <w:rStyle w:val="Hyperlink"/>
                <w:noProof/>
              </w:rPr>
              <w:t>1.1 Global Data Center Energy Consumption and AI Workload Growth</w:t>
            </w:r>
            <w:r>
              <w:rPr>
                <w:noProof/>
              </w:rPr>
              <w:tab/>
            </w:r>
            <w:r>
              <w:rPr>
                <w:noProof/>
              </w:rPr>
              <w:fldChar w:fldCharType="begin"/>
            </w:r>
            <w:r>
              <w:rPr>
                <w:noProof/>
              </w:rPr>
              <w:instrText xml:space="preserve"> PAGEREF _Toc100003 \h </w:instrText>
            </w:r>
            <w:r>
              <w:rPr>
                <w:noProof/>
              </w:rPr>
            </w:r>
            <w:r>
              <w:rPr>
                <w:noProof/>
              </w:rPr>
              <w:fldChar w:fldCharType="separate"/>
            </w:r>
            <w:r>
              <w:rPr>
                <w:noProof/>
              </w:rPr>
              <w:t>3</w:t>
            </w:r>
            <w:r>
              <w:rPr>
                <w:noProof/>
              </w:rPr>
              <w:fldChar w:fldCharType="end"/>
            </w:r>
          </w:hyperlink>
        </w:p>
        <w:p w14:paraId="528B7218" w14:textId="77777777" w:rsidR="005E30F4" w:rsidRDefault="004976D6">
          <w:pPr>
            <w:pStyle w:val="TOC2"/>
            <w:spacing w:before="120" w:after="60"/>
            <w:rPr>
              <w:noProof/>
            </w:rPr>
          </w:pPr>
          <w:hyperlink w:anchor="_Toc100004" w:history="1">
            <w:r>
              <w:rPr>
                <w:rStyle w:val="Hyperlink"/>
                <w:noProof/>
              </w:rPr>
              <w:t>1.2 The Renewable Energy Imperative</w:t>
            </w:r>
            <w:r>
              <w:rPr>
                <w:noProof/>
              </w:rPr>
              <w:tab/>
            </w:r>
            <w:r>
              <w:rPr>
                <w:noProof/>
              </w:rPr>
              <w:fldChar w:fldCharType="begin"/>
            </w:r>
            <w:r>
              <w:rPr>
                <w:noProof/>
              </w:rPr>
              <w:instrText xml:space="preserve"> PAGEREF _Toc100004 \h </w:instrText>
            </w:r>
            <w:r>
              <w:rPr>
                <w:noProof/>
              </w:rPr>
            </w:r>
            <w:r>
              <w:rPr>
                <w:noProof/>
              </w:rPr>
              <w:fldChar w:fldCharType="separate"/>
            </w:r>
            <w:r>
              <w:rPr>
                <w:noProof/>
              </w:rPr>
              <w:t>4</w:t>
            </w:r>
            <w:r>
              <w:rPr>
                <w:noProof/>
              </w:rPr>
              <w:fldChar w:fldCharType="end"/>
            </w:r>
          </w:hyperlink>
        </w:p>
        <w:p w14:paraId="4AA4EC4B" w14:textId="77777777" w:rsidR="005E30F4" w:rsidRDefault="004976D6">
          <w:pPr>
            <w:pStyle w:val="TOC2"/>
            <w:spacing w:before="120" w:after="60"/>
            <w:rPr>
              <w:noProof/>
            </w:rPr>
          </w:pPr>
          <w:hyperlink w:anchor="_Toc100005" w:history="1">
            <w:r>
              <w:rPr>
                <w:rStyle w:val="Hyperlink"/>
                <w:noProof/>
              </w:rPr>
              <w:t>1.3 Core Challenges in Renewable Integration</w:t>
            </w:r>
            <w:r>
              <w:rPr>
                <w:noProof/>
              </w:rPr>
              <w:tab/>
            </w:r>
            <w:r>
              <w:rPr>
                <w:noProof/>
              </w:rPr>
              <w:fldChar w:fldCharType="begin"/>
            </w:r>
            <w:r>
              <w:rPr>
                <w:noProof/>
              </w:rPr>
              <w:instrText xml:space="preserve"> PAGEREF _Toc100005 \h </w:instrText>
            </w:r>
            <w:r>
              <w:rPr>
                <w:noProof/>
              </w:rPr>
            </w:r>
            <w:r>
              <w:rPr>
                <w:noProof/>
              </w:rPr>
              <w:fldChar w:fldCharType="separate"/>
            </w:r>
            <w:r>
              <w:rPr>
                <w:noProof/>
              </w:rPr>
              <w:t>5</w:t>
            </w:r>
            <w:r>
              <w:rPr>
                <w:noProof/>
              </w:rPr>
              <w:fldChar w:fldCharType="end"/>
            </w:r>
          </w:hyperlink>
        </w:p>
        <w:p w14:paraId="3409D077" w14:textId="77777777" w:rsidR="005E30F4" w:rsidRDefault="004976D6">
          <w:pPr>
            <w:pStyle w:val="TOC2"/>
            <w:spacing w:before="120" w:after="60"/>
            <w:rPr>
              <w:noProof/>
            </w:rPr>
          </w:pPr>
          <w:hyperlink w:anchor="_Toc100006" w:history="1">
            <w:r>
              <w:rPr>
                <w:rStyle w:val="Hyperlink"/>
                <w:noProof/>
              </w:rPr>
              <w:t>1.4 Research Gap and Thesis Statement</w:t>
            </w:r>
            <w:r>
              <w:rPr>
                <w:noProof/>
              </w:rPr>
              <w:tab/>
            </w:r>
            <w:r>
              <w:rPr>
                <w:noProof/>
              </w:rPr>
              <w:fldChar w:fldCharType="begin"/>
            </w:r>
            <w:r>
              <w:rPr>
                <w:noProof/>
              </w:rPr>
              <w:instrText xml:space="preserve"> PAGEREF _Toc100006 \h </w:instrText>
            </w:r>
            <w:r>
              <w:rPr>
                <w:noProof/>
              </w:rPr>
            </w:r>
            <w:r>
              <w:rPr>
                <w:noProof/>
              </w:rPr>
              <w:fldChar w:fldCharType="separate"/>
            </w:r>
            <w:r>
              <w:rPr>
                <w:noProof/>
              </w:rPr>
              <w:t>5</w:t>
            </w:r>
            <w:r>
              <w:rPr>
                <w:noProof/>
              </w:rPr>
              <w:fldChar w:fldCharType="end"/>
            </w:r>
          </w:hyperlink>
        </w:p>
        <w:p w14:paraId="778F2930" w14:textId="77777777" w:rsidR="005E30F4" w:rsidRDefault="004976D6">
          <w:pPr>
            <w:pStyle w:val="TOC1"/>
            <w:rPr>
              <w:noProof/>
            </w:rPr>
          </w:pPr>
          <w:hyperlink w:anchor="_Toc100007" w:history="1">
            <w:r>
              <w:rPr>
                <w:rStyle w:val="Hyperlink"/>
                <w:noProof/>
              </w:rPr>
              <w:t>2. Literature Review and State-of-the-Art</w:t>
            </w:r>
            <w:r>
              <w:rPr>
                <w:noProof/>
              </w:rPr>
              <w:tab/>
            </w:r>
            <w:r>
              <w:rPr>
                <w:noProof/>
              </w:rPr>
              <w:fldChar w:fldCharType="begin"/>
            </w:r>
            <w:r>
              <w:rPr>
                <w:noProof/>
              </w:rPr>
              <w:instrText xml:space="preserve"> PAGEREF _Toc100007 \h </w:instrText>
            </w:r>
            <w:r>
              <w:rPr>
                <w:noProof/>
              </w:rPr>
            </w:r>
            <w:r>
              <w:rPr>
                <w:noProof/>
              </w:rPr>
              <w:fldChar w:fldCharType="separate"/>
            </w:r>
            <w:r>
              <w:rPr>
                <w:noProof/>
              </w:rPr>
              <w:t>6</w:t>
            </w:r>
            <w:r>
              <w:rPr>
                <w:noProof/>
              </w:rPr>
              <w:fldChar w:fldCharType="end"/>
            </w:r>
          </w:hyperlink>
        </w:p>
        <w:p w14:paraId="4A2C0CF9" w14:textId="77777777" w:rsidR="005E30F4" w:rsidRDefault="004976D6">
          <w:pPr>
            <w:pStyle w:val="TOC2"/>
            <w:spacing w:before="120" w:after="60"/>
            <w:rPr>
              <w:noProof/>
            </w:rPr>
          </w:pPr>
          <w:hyperlink w:anchor="_Toc100008" w:history="1">
            <w:r>
              <w:rPr>
                <w:rStyle w:val="Hyperlink"/>
                <w:noProof/>
              </w:rPr>
              <w:t>2.1 AI Data Center Power Consumption</w:t>
            </w:r>
            <w:r>
              <w:rPr>
                <w:noProof/>
              </w:rPr>
              <w:tab/>
            </w:r>
            <w:r>
              <w:rPr>
                <w:noProof/>
              </w:rPr>
              <w:fldChar w:fldCharType="begin"/>
            </w:r>
            <w:r>
              <w:rPr>
                <w:noProof/>
              </w:rPr>
              <w:instrText xml:space="preserve"> PAGEREF _Toc100008 \h </w:instrText>
            </w:r>
            <w:r>
              <w:rPr>
                <w:noProof/>
              </w:rPr>
            </w:r>
            <w:r>
              <w:rPr>
                <w:noProof/>
              </w:rPr>
              <w:fldChar w:fldCharType="separate"/>
            </w:r>
            <w:r>
              <w:rPr>
                <w:noProof/>
              </w:rPr>
              <w:t>6</w:t>
            </w:r>
            <w:r>
              <w:rPr>
                <w:noProof/>
              </w:rPr>
              <w:fldChar w:fldCharType="end"/>
            </w:r>
          </w:hyperlink>
        </w:p>
        <w:p w14:paraId="16FA9416" w14:textId="77777777" w:rsidR="005E30F4" w:rsidRDefault="004976D6">
          <w:pPr>
            <w:pStyle w:val="TOC2"/>
            <w:spacing w:before="120" w:after="60"/>
            <w:rPr>
              <w:noProof/>
            </w:rPr>
          </w:pPr>
          <w:hyperlink w:anchor="_Toc100009" w:history="1">
            <w:r>
              <w:rPr>
                <w:rStyle w:val="Hyperlink"/>
                <w:noProof/>
              </w:rPr>
              <w:t>2.2 Renewable Energy Technologies</w:t>
            </w:r>
            <w:r>
              <w:rPr>
                <w:noProof/>
              </w:rPr>
              <w:tab/>
            </w:r>
            <w:r>
              <w:rPr>
                <w:noProof/>
              </w:rPr>
              <w:fldChar w:fldCharType="begin"/>
            </w:r>
            <w:r>
              <w:rPr>
                <w:noProof/>
              </w:rPr>
              <w:instrText xml:space="preserve"> PAGEREF _Toc100009 \h </w:instrText>
            </w:r>
            <w:r>
              <w:rPr>
                <w:noProof/>
              </w:rPr>
            </w:r>
            <w:r>
              <w:rPr>
                <w:noProof/>
              </w:rPr>
              <w:fldChar w:fldCharType="separate"/>
            </w:r>
            <w:r>
              <w:rPr>
                <w:noProof/>
              </w:rPr>
              <w:t>7</w:t>
            </w:r>
            <w:r>
              <w:rPr>
                <w:noProof/>
              </w:rPr>
              <w:fldChar w:fldCharType="end"/>
            </w:r>
          </w:hyperlink>
        </w:p>
        <w:p w14:paraId="260FCB7D" w14:textId="77777777" w:rsidR="005E30F4" w:rsidRDefault="004976D6">
          <w:pPr>
            <w:pStyle w:val="TOC2"/>
            <w:spacing w:before="120" w:after="60"/>
            <w:rPr>
              <w:noProof/>
            </w:rPr>
          </w:pPr>
          <w:hyperlink w:anchor="_Toc100010" w:history="1">
            <w:r>
              <w:rPr>
                <w:rStyle w:val="Hyperlink"/>
                <w:noProof/>
              </w:rPr>
              <w:t>2.3 Energy Storage Technologies</w:t>
            </w:r>
            <w:r>
              <w:rPr>
                <w:noProof/>
              </w:rPr>
              <w:tab/>
            </w:r>
            <w:r>
              <w:rPr>
                <w:noProof/>
              </w:rPr>
              <w:fldChar w:fldCharType="begin"/>
            </w:r>
            <w:r>
              <w:rPr>
                <w:noProof/>
              </w:rPr>
              <w:instrText xml:space="preserve"> PAGEREF _Toc100010 \h </w:instrText>
            </w:r>
            <w:r>
              <w:rPr>
                <w:noProof/>
              </w:rPr>
            </w:r>
            <w:r>
              <w:rPr>
                <w:noProof/>
              </w:rPr>
              <w:fldChar w:fldCharType="separate"/>
            </w:r>
            <w:r>
              <w:rPr>
                <w:noProof/>
              </w:rPr>
              <w:t>7</w:t>
            </w:r>
            <w:r>
              <w:rPr>
                <w:noProof/>
              </w:rPr>
              <w:fldChar w:fldCharType="end"/>
            </w:r>
          </w:hyperlink>
        </w:p>
        <w:p w14:paraId="46FE366D" w14:textId="77777777" w:rsidR="005E30F4" w:rsidRDefault="004976D6">
          <w:pPr>
            <w:pStyle w:val="TOC2"/>
            <w:spacing w:before="120" w:after="60"/>
            <w:rPr>
              <w:noProof/>
            </w:rPr>
          </w:pPr>
          <w:hyperlink w:anchor="_Toc100011" w:history="1">
            <w:r>
              <w:rPr>
                <w:rStyle w:val="Hyperlink"/>
                <w:noProof/>
              </w:rPr>
              <w:t>2.4 Microgrids and Grid Integration</w:t>
            </w:r>
            <w:r>
              <w:rPr>
                <w:noProof/>
              </w:rPr>
              <w:tab/>
            </w:r>
            <w:r>
              <w:rPr>
                <w:noProof/>
              </w:rPr>
              <w:fldChar w:fldCharType="begin"/>
            </w:r>
            <w:r>
              <w:rPr>
                <w:noProof/>
              </w:rPr>
              <w:instrText xml:space="preserve"> PAGEREF _Toc100011 \h </w:instrText>
            </w:r>
            <w:r>
              <w:rPr>
                <w:noProof/>
              </w:rPr>
            </w:r>
            <w:r>
              <w:rPr>
                <w:noProof/>
              </w:rPr>
              <w:fldChar w:fldCharType="separate"/>
            </w:r>
            <w:r>
              <w:rPr>
                <w:noProof/>
              </w:rPr>
              <w:t>8</w:t>
            </w:r>
            <w:r>
              <w:rPr>
                <w:noProof/>
              </w:rPr>
              <w:fldChar w:fldCharType="end"/>
            </w:r>
          </w:hyperlink>
        </w:p>
        <w:p w14:paraId="217AE065" w14:textId="77777777" w:rsidR="005E30F4" w:rsidRDefault="004976D6">
          <w:pPr>
            <w:pStyle w:val="TOC2"/>
            <w:spacing w:before="120" w:after="60"/>
            <w:rPr>
              <w:noProof/>
            </w:rPr>
          </w:pPr>
          <w:hyperlink w:anchor="_Toc100012" w:history="1">
            <w:r>
              <w:rPr>
                <w:rStyle w:val="Hyperlink"/>
                <w:noProof/>
              </w:rPr>
              <w:t>2.5 Industry Case Studies</w:t>
            </w:r>
            <w:r>
              <w:rPr>
                <w:noProof/>
              </w:rPr>
              <w:tab/>
            </w:r>
            <w:r>
              <w:rPr>
                <w:noProof/>
              </w:rPr>
              <w:fldChar w:fldCharType="begin"/>
            </w:r>
            <w:r>
              <w:rPr>
                <w:noProof/>
              </w:rPr>
              <w:instrText xml:space="preserve"> PAGEREF _Toc100012 \h </w:instrText>
            </w:r>
            <w:r>
              <w:rPr>
                <w:noProof/>
              </w:rPr>
            </w:r>
            <w:r>
              <w:rPr>
                <w:noProof/>
              </w:rPr>
              <w:fldChar w:fldCharType="separate"/>
            </w:r>
            <w:r>
              <w:rPr>
                <w:noProof/>
              </w:rPr>
              <w:t>8</w:t>
            </w:r>
            <w:r>
              <w:rPr>
                <w:noProof/>
              </w:rPr>
              <w:fldChar w:fldCharType="end"/>
            </w:r>
          </w:hyperlink>
        </w:p>
        <w:p w14:paraId="01FF52A5" w14:textId="77777777" w:rsidR="005E30F4" w:rsidRDefault="004976D6">
          <w:pPr>
            <w:pStyle w:val="TOC1"/>
            <w:rPr>
              <w:noProof/>
            </w:rPr>
          </w:pPr>
          <w:hyperlink w:anchor="_Toc100013" w:history="1">
            <w:r>
              <w:rPr>
                <w:rStyle w:val="Hyperlink"/>
                <w:noProof/>
              </w:rPr>
              <w:t>3. Electrical Fundamentals of Data Center Systems</w:t>
            </w:r>
            <w:r>
              <w:rPr>
                <w:noProof/>
              </w:rPr>
              <w:tab/>
            </w:r>
            <w:r>
              <w:rPr>
                <w:noProof/>
              </w:rPr>
              <w:fldChar w:fldCharType="begin"/>
            </w:r>
            <w:r>
              <w:rPr>
                <w:noProof/>
              </w:rPr>
              <w:instrText xml:space="preserve"> PAGEREF _Toc100013 \h </w:instrText>
            </w:r>
            <w:r>
              <w:rPr>
                <w:noProof/>
              </w:rPr>
            </w:r>
            <w:r>
              <w:rPr>
                <w:noProof/>
              </w:rPr>
              <w:fldChar w:fldCharType="separate"/>
            </w:r>
            <w:r>
              <w:rPr>
                <w:noProof/>
              </w:rPr>
              <w:t>8</w:t>
            </w:r>
            <w:r>
              <w:rPr>
                <w:noProof/>
              </w:rPr>
              <w:fldChar w:fldCharType="end"/>
            </w:r>
          </w:hyperlink>
        </w:p>
        <w:p w14:paraId="3B123026" w14:textId="77777777" w:rsidR="005E30F4" w:rsidRDefault="004976D6">
          <w:pPr>
            <w:pStyle w:val="TOC2"/>
            <w:spacing w:before="120" w:after="60"/>
            <w:rPr>
              <w:noProof/>
            </w:rPr>
          </w:pPr>
          <w:hyperlink w:anchor="_Toc100014" w:history="1">
            <w:r>
              <w:rPr>
                <w:rStyle w:val="Hyperlink"/>
                <w:noProof/>
              </w:rPr>
              <w:t>3.1 Electrical Distribution Architecture</w:t>
            </w:r>
            <w:r>
              <w:rPr>
                <w:noProof/>
              </w:rPr>
              <w:tab/>
            </w:r>
            <w:r>
              <w:rPr>
                <w:noProof/>
              </w:rPr>
              <w:fldChar w:fldCharType="begin"/>
            </w:r>
            <w:r>
              <w:rPr>
                <w:noProof/>
              </w:rPr>
              <w:instrText xml:space="preserve"> PAGEREF _Toc100014 \h </w:instrText>
            </w:r>
            <w:r>
              <w:rPr>
                <w:noProof/>
              </w:rPr>
            </w:r>
            <w:r>
              <w:rPr>
                <w:noProof/>
              </w:rPr>
              <w:fldChar w:fldCharType="separate"/>
            </w:r>
            <w:r>
              <w:rPr>
                <w:noProof/>
              </w:rPr>
              <w:t>9</w:t>
            </w:r>
            <w:r>
              <w:rPr>
                <w:noProof/>
              </w:rPr>
              <w:fldChar w:fldCharType="end"/>
            </w:r>
          </w:hyperlink>
        </w:p>
        <w:p w14:paraId="43CE0217" w14:textId="77777777" w:rsidR="005E30F4" w:rsidRDefault="004976D6">
          <w:pPr>
            <w:pStyle w:val="TOC2"/>
            <w:spacing w:before="120" w:after="60"/>
            <w:rPr>
              <w:noProof/>
            </w:rPr>
          </w:pPr>
          <w:hyperlink w:anchor="_Toc100015" w:history="1">
            <w:r>
              <w:rPr>
                <w:rStyle w:val="Hyperlink"/>
                <w:noProof/>
              </w:rPr>
              <w:t>3.2 AI Workload Electrical Characteristics</w:t>
            </w:r>
            <w:r>
              <w:rPr>
                <w:noProof/>
              </w:rPr>
              <w:tab/>
            </w:r>
            <w:r>
              <w:rPr>
                <w:noProof/>
              </w:rPr>
              <w:fldChar w:fldCharType="begin"/>
            </w:r>
            <w:r>
              <w:rPr>
                <w:noProof/>
              </w:rPr>
              <w:instrText xml:space="preserve"> PAGEREF _Toc100015 \h </w:instrText>
            </w:r>
            <w:r>
              <w:rPr>
                <w:noProof/>
              </w:rPr>
            </w:r>
            <w:r>
              <w:rPr>
                <w:noProof/>
              </w:rPr>
              <w:fldChar w:fldCharType="separate"/>
            </w:r>
            <w:r>
              <w:rPr>
                <w:noProof/>
              </w:rPr>
              <w:t>9</w:t>
            </w:r>
            <w:r>
              <w:rPr>
                <w:noProof/>
              </w:rPr>
              <w:fldChar w:fldCharType="end"/>
            </w:r>
          </w:hyperlink>
        </w:p>
        <w:p w14:paraId="5133067E" w14:textId="77777777" w:rsidR="005E30F4" w:rsidRDefault="004976D6">
          <w:pPr>
            <w:pStyle w:val="TOC2"/>
            <w:spacing w:before="120" w:after="60"/>
            <w:rPr>
              <w:noProof/>
            </w:rPr>
          </w:pPr>
          <w:hyperlink w:anchor="_Toc100016" w:history="1">
            <w:r>
              <w:rPr>
                <w:rStyle w:val="Hyperlink"/>
                <w:noProof/>
              </w:rPr>
              <w:t>3.3 Backup Power and UPS Systems</w:t>
            </w:r>
            <w:r>
              <w:rPr>
                <w:noProof/>
              </w:rPr>
              <w:tab/>
            </w:r>
            <w:r>
              <w:rPr>
                <w:noProof/>
              </w:rPr>
              <w:fldChar w:fldCharType="begin"/>
            </w:r>
            <w:r>
              <w:rPr>
                <w:noProof/>
              </w:rPr>
              <w:instrText xml:space="preserve"> PAGEREF _Toc100016 \h </w:instrText>
            </w:r>
            <w:r>
              <w:rPr>
                <w:noProof/>
              </w:rPr>
            </w:r>
            <w:r>
              <w:rPr>
                <w:noProof/>
              </w:rPr>
              <w:fldChar w:fldCharType="separate"/>
            </w:r>
            <w:r>
              <w:rPr>
                <w:noProof/>
              </w:rPr>
              <w:t>10</w:t>
            </w:r>
            <w:r>
              <w:rPr>
                <w:noProof/>
              </w:rPr>
              <w:fldChar w:fldCharType="end"/>
            </w:r>
          </w:hyperlink>
        </w:p>
        <w:p w14:paraId="2D8CFD52" w14:textId="77777777" w:rsidR="005E30F4" w:rsidRDefault="004976D6">
          <w:pPr>
            <w:pStyle w:val="TOC2"/>
            <w:spacing w:before="120" w:after="60"/>
            <w:rPr>
              <w:noProof/>
            </w:rPr>
          </w:pPr>
          <w:hyperlink w:anchor="_Toc100017" w:history="1">
            <w:r>
              <w:rPr>
                <w:rStyle w:val="Hyperlink"/>
                <w:noProof/>
              </w:rPr>
              <w:t>3.4 Cooling System Integration</w:t>
            </w:r>
            <w:r>
              <w:rPr>
                <w:noProof/>
              </w:rPr>
              <w:tab/>
            </w:r>
            <w:r>
              <w:rPr>
                <w:noProof/>
              </w:rPr>
              <w:fldChar w:fldCharType="begin"/>
            </w:r>
            <w:r>
              <w:rPr>
                <w:noProof/>
              </w:rPr>
              <w:instrText xml:space="preserve"> PAGEREF _Toc100017 \h </w:instrText>
            </w:r>
            <w:r>
              <w:rPr>
                <w:noProof/>
              </w:rPr>
            </w:r>
            <w:r>
              <w:rPr>
                <w:noProof/>
              </w:rPr>
              <w:fldChar w:fldCharType="separate"/>
            </w:r>
            <w:r>
              <w:rPr>
                <w:noProof/>
              </w:rPr>
              <w:t>10</w:t>
            </w:r>
            <w:r>
              <w:rPr>
                <w:noProof/>
              </w:rPr>
              <w:fldChar w:fldCharType="end"/>
            </w:r>
          </w:hyperlink>
        </w:p>
        <w:p w14:paraId="14DEFBB2" w14:textId="77777777" w:rsidR="005E30F4" w:rsidRDefault="004976D6">
          <w:pPr>
            <w:pStyle w:val="TOC2"/>
            <w:spacing w:before="120" w:after="60"/>
            <w:rPr>
              <w:noProof/>
            </w:rPr>
          </w:pPr>
          <w:hyperlink w:anchor="_Toc100018" w:history="1">
            <w:r>
              <w:rPr>
                <w:rStyle w:val="Hyperlink"/>
                <w:noProof/>
              </w:rPr>
              <w:t>3.5 Power Quality and Harmonic Analysis</w:t>
            </w:r>
            <w:r>
              <w:rPr>
                <w:noProof/>
              </w:rPr>
              <w:tab/>
            </w:r>
            <w:r>
              <w:rPr>
                <w:noProof/>
              </w:rPr>
              <w:fldChar w:fldCharType="begin"/>
            </w:r>
            <w:r>
              <w:rPr>
                <w:noProof/>
              </w:rPr>
              <w:instrText xml:space="preserve"> PAGEREF _Toc100018 \h </w:instrText>
            </w:r>
            <w:r>
              <w:rPr>
                <w:noProof/>
              </w:rPr>
            </w:r>
            <w:r>
              <w:rPr>
                <w:noProof/>
              </w:rPr>
              <w:fldChar w:fldCharType="separate"/>
            </w:r>
            <w:r>
              <w:rPr>
                <w:noProof/>
              </w:rPr>
              <w:t>11</w:t>
            </w:r>
            <w:r>
              <w:rPr>
                <w:noProof/>
              </w:rPr>
              <w:fldChar w:fldCharType="end"/>
            </w:r>
          </w:hyperlink>
        </w:p>
        <w:p w14:paraId="496AAB63" w14:textId="77777777" w:rsidR="005E30F4" w:rsidRDefault="004976D6">
          <w:pPr>
            <w:pStyle w:val="TOC2"/>
            <w:spacing w:before="120" w:after="60"/>
            <w:rPr>
              <w:noProof/>
            </w:rPr>
          </w:pPr>
          <w:hyperlink w:anchor="_Toc100019" w:history="1">
            <w:r>
              <w:rPr>
                <w:rStyle w:val="Hyperlink"/>
                <w:noProof/>
              </w:rPr>
              <w:t>3.6 Metering and Monitoring Systems</w:t>
            </w:r>
            <w:r>
              <w:rPr>
                <w:noProof/>
              </w:rPr>
              <w:tab/>
            </w:r>
            <w:r>
              <w:rPr>
                <w:noProof/>
              </w:rPr>
              <w:fldChar w:fldCharType="begin"/>
            </w:r>
            <w:r>
              <w:rPr>
                <w:noProof/>
              </w:rPr>
              <w:instrText xml:space="preserve"> PAGEREF _Toc100019 \h </w:instrText>
            </w:r>
            <w:r>
              <w:rPr>
                <w:noProof/>
              </w:rPr>
            </w:r>
            <w:r>
              <w:rPr>
                <w:noProof/>
              </w:rPr>
              <w:fldChar w:fldCharType="separate"/>
            </w:r>
            <w:r>
              <w:rPr>
                <w:noProof/>
              </w:rPr>
              <w:t>11</w:t>
            </w:r>
            <w:r>
              <w:rPr>
                <w:noProof/>
              </w:rPr>
              <w:fldChar w:fldCharType="end"/>
            </w:r>
          </w:hyperlink>
        </w:p>
        <w:p w14:paraId="1C3DD8FF" w14:textId="77777777" w:rsidR="005E30F4" w:rsidRDefault="004976D6">
          <w:pPr>
            <w:pStyle w:val="TOC1"/>
            <w:rPr>
              <w:noProof/>
            </w:rPr>
          </w:pPr>
          <w:hyperlink w:anchor="_Toc100020" w:history="1">
            <w:r>
              <w:rPr>
                <w:rStyle w:val="Hyperlink"/>
                <w:noProof/>
              </w:rPr>
              <w:t>4. Renewable Energy Resources and Assessment</w:t>
            </w:r>
            <w:r>
              <w:rPr>
                <w:noProof/>
              </w:rPr>
              <w:tab/>
            </w:r>
            <w:r>
              <w:rPr>
                <w:noProof/>
              </w:rPr>
              <w:fldChar w:fldCharType="begin"/>
            </w:r>
            <w:r>
              <w:rPr>
                <w:noProof/>
              </w:rPr>
              <w:instrText xml:space="preserve"> PAGEREF _Toc100020 \h </w:instrText>
            </w:r>
            <w:r>
              <w:rPr>
                <w:noProof/>
              </w:rPr>
            </w:r>
            <w:r>
              <w:rPr>
                <w:noProof/>
              </w:rPr>
              <w:fldChar w:fldCharType="separate"/>
            </w:r>
            <w:r>
              <w:rPr>
                <w:noProof/>
              </w:rPr>
              <w:t>11</w:t>
            </w:r>
            <w:r>
              <w:rPr>
                <w:noProof/>
              </w:rPr>
              <w:fldChar w:fldCharType="end"/>
            </w:r>
          </w:hyperlink>
        </w:p>
        <w:p w14:paraId="0BBA74EC" w14:textId="77777777" w:rsidR="005E30F4" w:rsidRDefault="004976D6">
          <w:pPr>
            <w:pStyle w:val="TOC2"/>
            <w:spacing w:before="120" w:after="60"/>
            <w:rPr>
              <w:noProof/>
            </w:rPr>
          </w:pPr>
          <w:hyperlink w:anchor="_Toc100021" w:history="1">
            <w:r>
              <w:rPr>
                <w:rStyle w:val="Hyperlink"/>
                <w:noProof/>
              </w:rPr>
              <w:t>4.1 Solar Photovoltaic Systems</w:t>
            </w:r>
            <w:r>
              <w:rPr>
                <w:noProof/>
              </w:rPr>
              <w:tab/>
            </w:r>
            <w:r>
              <w:rPr>
                <w:noProof/>
              </w:rPr>
              <w:fldChar w:fldCharType="begin"/>
            </w:r>
            <w:r>
              <w:rPr>
                <w:noProof/>
              </w:rPr>
              <w:instrText xml:space="preserve"> PAGEREF _Toc100021 \h </w:instrText>
            </w:r>
            <w:r>
              <w:rPr>
                <w:noProof/>
              </w:rPr>
            </w:r>
            <w:r>
              <w:rPr>
                <w:noProof/>
              </w:rPr>
              <w:fldChar w:fldCharType="separate"/>
            </w:r>
            <w:r>
              <w:rPr>
                <w:noProof/>
              </w:rPr>
              <w:t>12</w:t>
            </w:r>
            <w:r>
              <w:rPr>
                <w:noProof/>
              </w:rPr>
              <w:fldChar w:fldCharType="end"/>
            </w:r>
          </w:hyperlink>
        </w:p>
        <w:p w14:paraId="0B2443C0" w14:textId="77777777" w:rsidR="005E30F4" w:rsidRDefault="004976D6">
          <w:pPr>
            <w:pStyle w:val="TOC2"/>
            <w:spacing w:before="120" w:after="60"/>
            <w:rPr>
              <w:noProof/>
            </w:rPr>
          </w:pPr>
          <w:hyperlink w:anchor="_Toc100022" w:history="1">
            <w:r>
              <w:rPr>
                <w:rStyle w:val="Hyperlink"/>
                <w:noProof/>
              </w:rPr>
              <w:t>4.2 Wind Energy Systems</w:t>
            </w:r>
            <w:r>
              <w:rPr>
                <w:noProof/>
              </w:rPr>
              <w:tab/>
            </w:r>
            <w:r>
              <w:rPr>
                <w:noProof/>
              </w:rPr>
              <w:fldChar w:fldCharType="begin"/>
            </w:r>
            <w:r>
              <w:rPr>
                <w:noProof/>
              </w:rPr>
              <w:instrText xml:space="preserve"> PAGEREF _Toc100022 \h </w:instrText>
            </w:r>
            <w:r>
              <w:rPr>
                <w:noProof/>
              </w:rPr>
            </w:r>
            <w:r>
              <w:rPr>
                <w:noProof/>
              </w:rPr>
              <w:fldChar w:fldCharType="separate"/>
            </w:r>
            <w:r>
              <w:rPr>
                <w:noProof/>
              </w:rPr>
              <w:t>12</w:t>
            </w:r>
            <w:r>
              <w:rPr>
                <w:noProof/>
              </w:rPr>
              <w:fldChar w:fldCharType="end"/>
            </w:r>
          </w:hyperlink>
        </w:p>
        <w:p w14:paraId="0947D134" w14:textId="77777777" w:rsidR="005E30F4" w:rsidRDefault="004976D6">
          <w:pPr>
            <w:pStyle w:val="TOC2"/>
            <w:spacing w:before="120" w:after="60"/>
            <w:rPr>
              <w:noProof/>
            </w:rPr>
          </w:pPr>
          <w:hyperlink w:anchor="_Toc100023" w:history="1">
            <w:r>
              <w:rPr>
                <w:rStyle w:val="Hyperlink"/>
                <w:noProof/>
              </w:rPr>
              <w:t>4.3 Hydroelectric Power</w:t>
            </w:r>
            <w:r>
              <w:rPr>
                <w:noProof/>
              </w:rPr>
              <w:tab/>
            </w:r>
            <w:r>
              <w:rPr>
                <w:noProof/>
              </w:rPr>
              <w:fldChar w:fldCharType="begin"/>
            </w:r>
            <w:r>
              <w:rPr>
                <w:noProof/>
              </w:rPr>
              <w:instrText xml:space="preserve"> PAGEREF _Toc100023 \h </w:instrText>
            </w:r>
            <w:r>
              <w:rPr>
                <w:noProof/>
              </w:rPr>
            </w:r>
            <w:r>
              <w:rPr>
                <w:noProof/>
              </w:rPr>
              <w:fldChar w:fldCharType="separate"/>
            </w:r>
            <w:r>
              <w:rPr>
                <w:noProof/>
              </w:rPr>
              <w:t>13</w:t>
            </w:r>
            <w:r>
              <w:rPr>
                <w:noProof/>
              </w:rPr>
              <w:fldChar w:fldCharType="end"/>
            </w:r>
          </w:hyperlink>
        </w:p>
        <w:p w14:paraId="23317110" w14:textId="77777777" w:rsidR="005E30F4" w:rsidRDefault="004976D6">
          <w:pPr>
            <w:pStyle w:val="TOC2"/>
            <w:spacing w:before="120" w:after="60"/>
            <w:rPr>
              <w:noProof/>
            </w:rPr>
          </w:pPr>
          <w:hyperlink w:anchor="_Toc100024" w:history="1">
            <w:r>
              <w:rPr>
                <w:rStyle w:val="Hyperlink"/>
                <w:noProof/>
              </w:rPr>
              <w:t>4.4 Resource Assessment Methodologies</w:t>
            </w:r>
            <w:r>
              <w:rPr>
                <w:noProof/>
              </w:rPr>
              <w:tab/>
            </w:r>
            <w:r>
              <w:rPr>
                <w:noProof/>
              </w:rPr>
              <w:fldChar w:fldCharType="begin"/>
            </w:r>
            <w:r>
              <w:rPr>
                <w:noProof/>
              </w:rPr>
              <w:instrText xml:space="preserve"> PAGEREF _Toc100024 \h </w:instrText>
            </w:r>
            <w:r>
              <w:rPr>
                <w:noProof/>
              </w:rPr>
            </w:r>
            <w:r>
              <w:rPr>
                <w:noProof/>
              </w:rPr>
              <w:fldChar w:fldCharType="separate"/>
            </w:r>
            <w:r>
              <w:rPr>
                <w:noProof/>
              </w:rPr>
              <w:t>13</w:t>
            </w:r>
            <w:r>
              <w:rPr>
                <w:noProof/>
              </w:rPr>
              <w:fldChar w:fldCharType="end"/>
            </w:r>
          </w:hyperlink>
        </w:p>
        <w:p w14:paraId="3ACB3CFE" w14:textId="77777777" w:rsidR="005E30F4" w:rsidRDefault="004976D6">
          <w:pPr>
            <w:pStyle w:val="TOC2"/>
            <w:spacing w:before="120" w:after="60"/>
            <w:rPr>
              <w:noProof/>
            </w:rPr>
          </w:pPr>
          <w:hyperlink w:anchor="_Toc100025" w:history="1">
            <w:r>
              <w:rPr>
                <w:rStyle w:val="Hyperlink"/>
                <w:noProof/>
              </w:rPr>
              <w:t>4.5 Geographic Variability and Seasonal Patterns</w:t>
            </w:r>
            <w:r>
              <w:rPr>
                <w:noProof/>
              </w:rPr>
              <w:tab/>
            </w:r>
            <w:r>
              <w:rPr>
                <w:noProof/>
              </w:rPr>
              <w:fldChar w:fldCharType="begin"/>
            </w:r>
            <w:r>
              <w:rPr>
                <w:noProof/>
              </w:rPr>
              <w:instrText xml:space="preserve"> PAGEREF _Toc100025 \h </w:instrText>
            </w:r>
            <w:r>
              <w:rPr>
                <w:noProof/>
              </w:rPr>
            </w:r>
            <w:r>
              <w:rPr>
                <w:noProof/>
              </w:rPr>
              <w:fldChar w:fldCharType="separate"/>
            </w:r>
            <w:r>
              <w:rPr>
                <w:noProof/>
              </w:rPr>
              <w:t>13</w:t>
            </w:r>
            <w:r>
              <w:rPr>
                <w:noProof/>
              </w:rPr>
              <w:fldChar w:fldCharType="end"/>
            </w:r>
          </w:hyperlink>
        </w:p>
        <w:p w14:paraId="21EFAF5F" w14:textId="77777777" w:rsidR="005E30F4" w:rsidRDefault="004976D6">
          <w:pPr>
            <w:pStyle w:val="TOC1"/>
            <w:rPr>
              <w:noProof/>
            </w:rPr>
          </w:pPr>
          <w:hyperlink w:anchor="_Toc100026" w:history="1">
            <w:r>
              <w:rPr>
                <w:rStyle w:val="Hyperlink"/>
                <w:noProof/>
              </w:rPr>
              <w:t>5. Energy Storage and Backup Systems</w:t>
            </w:r>
            <w:r>
              <w:rPr>
                <w:noProof/>
              </w:rPr>
              <w:tab/>
            </w:r>
            <w:r>
              <w:rPr>
                <w:noProof/>
              </w:rPr>
              <w:fldChar w:fldCharType="begin"/>
            </w:r>
            <w:r>
              <w:rPr>
                <w:noProof/>
              </w:rPr>
              <w:instrText xml:space="preserve"> PAGEREF _Toc100026 \h </w:instrText>
            </w:r>
            <w:r>
              <w:rPr>
                <w:noProof/>
              </w:rPr>
            </w:r>
            <w:r>
              <w:rPr>
                <w:noProof/>
              </w:rPr>
              <w:fldChar w:fldCharType="separate"/>
            </w:r>
            <w:r>
              <w:rPr>
                <w:noProof/>
              </w:rPr>
              <w:t>14</w:t>
            </w:r>
            <w:r>
              <w:rPr>
                <w:noProof/>
              </w:rPr>
              <w:fldChar w:fldCharType="end"/>
            </w:r>
          </w:hyperlink>
        </w:p>
        <w:p w14:paraId="032793DA" w14:textId="77777777" w:rsidR="005E30F4" w:rsidRDefault="004976D6">
          <w:pPr>
            <w:pStyle w:val="TOC2"/>
            <w:spacing w:before="120" w:after="60"/>
            <w:rPr>
              <w:noProof/>
            </w:rPr>
          </w:pPr>
          <w:hyperlink w:anchor="_Toc100027" w:history="1">
            <w:r>
              <w:rPr>
                <w:rStyle w:val="Hyperlink"/>
                <w:noProof/>
              </w:rPr>
              <w:t>5.1 Lithium-Ion Battery Systems</w:t>
            </w:r>
            <w:r>
              <w:rPr>
                <w:noProof/>
              </w:rPr>
              <w:tab/>
            </w:r>
            <w:r>
              <w:rPr>
                <w:noProof/>
              </w:rPr>
              <w:fldChar w:fldCharType="begin"/>
            </w:r>
            <w:r>
              <w:rPr>
                <w:noProof/>
              </w:rPr>
              <w:instrText xml:space="preserve"> PAGEREF _Toc100027 \h </w:instrText>
            </w:r>
            <w:r>
              <w:rPr>
                <w:noProof/>
              </w:rPr>
            </w:r>
            <w:r>
              <w:rPr>
                <w:noProof/>
              </w:rPr>
              <w:fldChar w:fldCharType="separate"/>
            </w:r>
            <w:r>
              <w:rPr>
                <w:noProof/>
              </w:rPr>
              <w:t>14</w:t>
            </w:r>
            <w:r>
              <w:rPr>
                <w:noProof/>
              </w:rPr>
              <w:fldChar w:fldCharType="end"/>
            </w:r>
          </w:hyperlink>
        </w:p>
        <w:p w14:paraId="205FB87C" w14:textId="77777777" w:rsidR="005E30F4" w:rsidRDefault="004976D6">
          <w:pPr>
            <w:pStyle w:val="TOC2"/>
            <w:spacing w:before="120" w:after="60"/>
            <w:rPr>
              <w:noProof/>
            </w:rPr>
          </w:pPr>
          <w:hyperlink w:anchor="_Toc100028" w:history="1">
            <w:r>
              <w:rPr>
                <w:rStyle w:val="Hyperlink"/>
                <w:noProof/>
              </w:rPr>
              <w:t>5.2 Advanced Storage Technologies</w:t>
            </w:r>
            <w:r>
              <w:rPr>
                <w:noProof/>
              </w:rPr>
              <w:tab/>
            </w:r>
            <w:r>
              <w:rPr>
                <w:noProof/>
              </w:rPr>
              <w:fldChar w:fldCharType="begin"/>
            </w:r>
            <w:r>
              <w:rPr>
                <w:noProof/>
              </w:rPr>
              <w:instrText xml:space="preserve"> PAGEREF _Toc100028 \h </w:instrText>
            </w:r>
            <w:r>
              <w:rPr>
                <w:noProof/>
              </w:rPr>
            </w:r>
            <w:r>
              <w:rPr>
                <w:noProof/>
              </w:rPr>
              <w:fldChar w:fldCharType="separate"/>
            </w:r>
            <w:r>
              <w:rPr>
                <w:noProof/>
              </w:rPr>
              <w:t>15</w:t>
            </w:r>
            <w:r>
              <w:rPr>
                <w:noProof/>
              </w:rPr>
              <w:fldChar w:fldCharType="end"/>
            </w:r>
          </w:hyperlink>
        </w:p>
        <w:p w14:paraId="13353FEC" w14:textId="77777777" w:rsidR="005E30F4" w:rsidRDefault="004976D6">
          <w:pPr>
            <w:pStyle w:val="TOC2"/>
            <w:spacing w:before="120" w:after="60"/>
            <w:rPr>
              <w:noProof/>
            </w:rPr>
          </w:pPr>
          <w:hyperlink w:anchor="_Toc100029" w:history="1">
            <w:r>
              <w:rPr>
                <w:rStyle w:val="Hyperlink"/>
                <w:noProof/>
              </w:rPr>
              <w:t>5.3 Energy Storage Sizing Methodology</w:t>
            </w:r>
            <w:r>
              <w:rPr>
                <w:noProof/>
              </w:rPr>
              <w:tab/>
            </w:r>
            <w:r>
              <w:rPr>
                <w:noProof/>
              </w:rPr>
              <w:fldChar w:fldCharType="begin"/>
            </w:r>
            <w:r>
              <w:rPr>
                <w:noProof/>
              </w:rPr>
              <w:instrText xml:space="preserve"> PAGEREF _Toc100029 \h </w:instrText>
            </w:r>
            <w:r>
              <w:rPr>
                <w:noProof/>
              </w:rPr>
            </w:r>
            <w:r>
              <w:rPr>
                <w:noProof/>
              </w:rPr>
              <w:fldChar w:fldCharType="separate"/>
            </w:r>
            <w:r>
              <w:rPr>
                <w:noProof/>
              </w:rPr>
              <w:t>16</w:t>
            </w:r>
            <w:r>
              <w:rPr>
                <w:noProof/>
              </w:rPr>
              <w:fldChar w:fldCharType="end"/>
            </w:r>
          </w:hyperlink>
        </w:p>
        <w:p w14:paraId="7CE2072A" w14:textId="77777777" w:rsidR="005E30F4" w:rsidRDefault="004976D6">
          <w:pPr>
            <w:pStyle w:val="TOC2"/>
            <w:spacing w:before="120" w:after="60"/>
            <w:rPr>
              <w:noProof/>
            </w:rPr>
          </w:pPr>
          <w:hyperlink w:anchor="_Toc100030" w:history="1">
            <w:r>
              <w:rPr>
                <w:rStyle w:val="Hyperlink"/>
                <w:noProof/>
              </w:rPr>
              <w:t>5.4 Hybrid Backup Power Systems</w:t>
            </w:r>
            <w:r>
              <w:rPr>
                <w:noProof/>
              </w:rPr>
              <w:tab/>
            </w:r>
            <w:r>
              <w:rPr>
                <w:noProof/>
              </w:rPr>
              <w:fldChar w:fldCharType="begin"/>
            </w:r>
            <w:r>
              <w:rPr>
                <w:noProof/>
              </w:rPr>
              <w:instrText xml:space="preserve"> PAGEREF _Toc100030 \h </w:instrText>
            </w:r>
            <w:r>
              <w:rPr>
                <w:noProof/>
              </w:rPr>
            </w:r>
            <w:r>
              <w:rPr>
                <w:noProof/>
              </w:rPr>
              <w:fldChar w:fldCharType="separate"/>
            </w:r>
            <w:r>
              <w:rPr>
                <w:noProof/>
              </w:rPr>
              <w:t>16</w:t>
            </w:r>
            <w:r>
              <w:rPr>
                <w:noProof/>
              </w:rPr>
              <w:fldChar w:fldCharType="end"/>
            </w:r>
          </w:hyperlink>
        </w:p>
        <w:p w14:paraId="0639CC93" w14:textId="77777777" w:rsidR="005E30F4" w:rsidRDefault="004976D6">
          <w:pPr>
            <w:pStyle w:val="TOC2"/>
            <w:spacing w:before="120" w:after="60"/>
            <w:rPr>
              <w:noProof/>
            </w:rPr>
          </w:pPr>
          <w:hyperlink w:anchor="_Toc100031" w:history="1">
            <w:r>
              <w:rPr>
                <w:rStyle w:val="Hyperlink"/>
                <w:noProof/>
              </w:rPr>
              <w:t>5.5 Integration and Control Architecture</w:t>
            </w:r>
            <w:r>
              <w:rPr>
                <w:noProof/>
              </w:rPr>
              <w:tab/>
            </w:r>
            <w:r>
              <w:rPr>
                <w:noProof/>
              </w:rPr>
              <w:fldChar w:fldCharType="begin"/>
            </w:r>
            <w:r>
              <w:rPr>
                <w:noProof/>
              </w:rPr>
              <w:instrText xml:space="preserve"> PAGEREF _Toc100031 \h </w:instrText>
            </w:r>
            <w:r>
              <w:rPr>
                <w:noProof/>
              </w:rPr>
            </w:r>
            <w:r>
              <w:rPr>
                <w:noProof/>
              </w:rPr>
              <w:fldChar w:fldCharType="separate"/>
            </w:r>
            <w:r>
              <w:rPr>
                <w:noProof/>
              </w:rPr>
              <w:t>17</w:t>
            </w:r>
            <w:r>
              <w:rPr>
                <w:noProof/>
              </w:rPr>
              <w:fldChar w:fldCharType="end"/>
            </w:r>
          </w:hyperlink>
        </w:p>
        <w:p w14:paraId="7269CFAF" w14:textId="77777777" w:rsidR="005E30F4" w:rsidRDefault="004976D6">
          <w:pPr>
            <w:pStyle w:val="TOC1"/>
            <w:rPr>
              <w:noProof/>
            </w:rPr>
          </w:pPr>
          <w:hyperlink w:anchor="_Toc100032" w:history="1">
            <w:r>
              <w:rPr>
                <w:rStyle w:val="Hyperlink"/>
                <w:noProof/>
              </w:rPr>
              <w:t>6. Power System Modeling and Simulation</w:t>
            </w:r>
            <w:r>
              <w:rPr>
                <w:noProof/>
              </w:rPr>
              <w:tab/>
            </w:r>
            <w:r>
              <w:rPr>
                <w:noProof/>
              </w:rPr>
              <w:fldChar w:fldCharType="begin"/>
            </w:r>
            <w:r>
              <w:rPr>
                <w:noProof/>
              </w:rPr>
              <w:instrText xml:space="preserve"> PAGEREF _Toc100032 \h </w:instrText>
            </w:r>
            <w:r>
              <w:rPr>
                <w:noProof/>
              </w:rPr>
            </w:r>
            <w:r>
              <w:rPr>
                <w:noProof/>
              </w:rPr>
              <w:fldChar w:fldCharType="separate"/>
            </w:r>
            <w:r>
              <w:rPr>
                <w:noProof/>
              </w:rPr>
              <w:t>17</w:t>
            </w:r>
            <w:r>
              <w:rPr>
                <w:noProof/>
              </w:rPr>
              <w:fldChar w:fldCharType="end"/>
            </w:r>
          </w:hyperlink>
        </w:p>
        <w:p w14:paraId="605153D3" w14:textId="77777777" w:rsidR="005E30F4" w:rsidRDefault="004976D6">
          <w:pPr>
            <w:pStyle w:val="TOC2"/>
            <w:spacing w:before="120" w:after="60"/>
            <w:rPr>
              <w:noProof/>
            </w:rPr>
          </w:pPr>
          <w:hyperlink w:anchor="_Toc100033" w:history="1">
            <w:r>
              <w:rPr>
                <w:rStyle w:val="Hyperlink"/>
                <w:noProof/>
              </w:rPr>
              <w:t>6.1 Steady-State Power Flow Analysis</w:t>
            </w:r>
            <w:r>
              <w:rPr>
                <w:noProof/>
              </w:rPr>
              <w:tab/>
            </w:r>
            <w:r>
              <w:rPr>
                <w:noProof/>
              </w:rPr>
              <w:fldChar w:fldCharType="begin"/>
            </w:r>
            <w:r>
              <w:rPr>
                <w:noProof/>
              </w:rPr>
              <w:instrText xml:space="preserve"> PAGEREF _Toc100033 \h </w:instrText>
            </w:r>
            <w:r>
              <w:rPr>
                <w:noProof/>
              </w:rPr>
            </w:r>
            <w:r>
              <w:rPr>
                <w:noProof/>
              </w:rPr>
              <w:fldChar w:fldCharType="separate"/>
            </w:r>
            <w:r>
              <w:rPr>
                <w:noProof/>
              </w:rPr>
              <w:t>18</w:t>
            </w:r>
            <w:r>
              <w:rPr>
                <w:noProof/>
              </w:rPr>
              <w:fldChar w:fldCharType="end"/>
            </w:r>
          </w:hyperlink>
        </w:p>
        <w:p w14:paraId="2B09AB2F" w14:textId="77777777" w:rsidR="005E30F4" w:rsidRDefault="004976D6">
          <w:pPr>
            <w:pStyle w:val="TOC2"/>
            <w:spacing w:before="120" w:after="60"/>
            <w:rPr>
              <w:noProof/>
            </w:rPr>
          </w:pPr>
          <w:hyperlink w:anchor="_Toc100034" w:history="1">
            <w:r>
              <w:rPr>
                <w:rStyle w:val="Hyperlink"/>
                <w:noProof/>
              </w:rPr>
              <w:t>6.2 Transient Stability and Grid Dynamics</w:t>
            </w:r>
            <w:r>
              <w:rPr>
                <w:noProof/>
              </w:rPr>
              <w:tab/>
            </w:r>
            <w:r>
              <w:rPr>
                <w:noProof/>
              </w:rPr>
              <w:fldChar w:fldCharType="begin"/>
            </w:r>
            <w:r>
              <w:rPr>
                <w:noProof/>
              </w:rPr>
              <w:instrText xml:space="preserve"> PAGEREF _Toc100034 \h </w:instrText>
            </w:r>
            <w:r>
              <w:rPr>
                <w:noProof/>
              </w:rPr>
            </w:r>
            <w:r>
              <w:rPr>
                <w:noProof/>
              </w:rPr>
              <w:fldChar w:fldCharType="separate"/>
            </w:r>
            <w:r>
              <w:rPr>
                <w:noProof/>
              </w:rPr>
              <w:t>18</w:t>
            </w:r>
            <w:r>
              <w:rPr>
                <w:noProof/>
              </w:rPr>
              <w:fldChar w:fldCharType="end"/>
            </w:r>
          </w:hyperlink>
        </w:p>
        <w:p w14:paraId="2CF8E246" w14:textId="77777777" w:rsidR="005E30F4" w:rsidRDefault="004976D6">
          <w:pPr>
            <w:pStyle w:val="TOC2"/>
            <w:spacing w:before="120" w:after="60"/>
            <w:rPr>
              <w:noProof/>
            </w:rPr>
          </w:pPr>
          <w:hyperlink w:anchor="_Toc100035" w:history="1">
            <w:r>
              <w:rPr>
                <w:rStyle w:val="Hyperlink"/>
                <w:noProof/>
              </w:rPr>
              <w:t>6.3 Harmonic Analysis and Power Quality</w:t>
            </w:r>
            <w:r>
              <w:rPr>
                <w:noProof/>
              </w:rPr>
              <w:tab/>
            </w:r>
            <w:r>
              <w:rPr>
                <w:noProof/>
              </w:rPr>
              <w:fldChar w:fldCharType="begin"/>
            </w:r>
            <w:r>
              <w:rPr>
                <w:noProof/>
              </w:rPr>
              <w:instrText xml:space="preserve"> PAGEREF _Toc100035 \h </w:instrText>
            </w:r>
            <w:r>
              <w:rPr>
                <w:noProof/>
              </w:rPr>
            </w:r>
            <w:r>
              <w:rPr>
                <w:noProof/>
              </w:rPr>
              <w:fldChar w:fldCharType="separate"/>
            </w:r>
            <w:r>
              <w:rPr>
                <w:noProof/>
              </w:rPr>
              <w:t>18</w:t>
            </w:r>
            <w:r>
              <w:rPr>
                <w:noProof/>
              </w:rPr>
              <w:fldChar w:fldCharType="end"/>
            </w:r>
          </w:hyperlink>
        </w:p>
        <w:p w14:paraId="630D53BF" w14:textId="77777777" w:rsidR="005E30F4" w:rsidRDefault="004976D6">
          <w:pPr>
            <w:pStyle w:val="TOC2"/>
            <w:spacing w:before="120" w:after="60"/>
            <w:rPr>
              <w:noProof/>
            </w:rPr>
          </w:pPr>
          <w:hyperlink w:anchor="_Toc100036" w:history="1">
            <w:r>
              <w:rPr>
                <w:rStyle w:val="Hyperlink"/>
                <w:noProof/>
              </w:rPr>
              <w:t>6.4 Microgrid Modeling Frameworks</w:t>
            </w:r>
            <w:r>
              <w:rPr>
                <w:noProof/>
              </w:rPr>
              <w:tab/>
            </w:r>
            <w:r>
              <w:rPr>
                <w:noProof/>
              </w:rPr>
              <w:fldChar w:fldCharType="begin"/>
            </w:r>
            <w:r>
              <w:rPr>
                <w:noProof/>
              </w:rPr>
              <w:instrText xml:space="preserve"> PAGEREF _Toc100036 \h </w:instrText>
            </w:r>
            <w:r>
              <w:rPr>
                <w:noProof/>
              </w:rPr>
            </w:r>
            <w:r>
              <w:rPr>
                <w:noProof/>
              </w:rPr>
              <w:fldChar w:fldCharType="separate"/>
            </w:r>
            <w:r>
              <w:rPr>
                <w:noProof/>
              </w:rPr>
              <w:t>19</w:t>
            </w:r>
            <w:r>
              <w:rPr>
                <w:noProof/>
              </w:rPr>
              <w:fldChar w:fldCharType="end"/>
            </w:r>
          </w:hyperlink>
        </w:p>
        <w:p w14:paraId="1152A8B2" w14:textId="77777777" w:rsidR="005E30F4" w:rsidRDefault="004976D6">
          <w:pPr>
            <w:pStyle w:val="TOC2"/>
            <w:spacing w:before="120" w:after="60"/>
            <w:rPr>
              <w:noProof/>
            </w:rPr>
          </w:pPr>
          <w:hyperlink w:anchor="_Toc100037" w:history="1">
            <w:r>
              <w:rPr>
                <w:rStyle w:val="Hyperlink"/>
                <w:noProof/>
              </w:rPr>
              <w:t>6.5 Time-Series Simulation and Forecasting</w:t>
            </w:r>
            <w:r>
              <w:rPr>
                <w:noProof/>
              </w:rPr>
              <w:tab/>
            </w:r>
            <w:r>
              <w:rPr>
                <w:noProof/>
              </w:rPr>
              <w:fldChar w:fldCharType="begin"/>
            </w:r>
            <w:r>
              <w:rPr>
                <w:noProof/>
              </w:rPr>
              <w:instrText xml:space="preserve"> PAGEREF _Toc100037 \h </w:instrText>
            </w:r>
            <w:r>
              <w:rPr>
                <w:noProof/>
              </w:rPr>
            </w:r>
            <w:r>
              <w:rPr>
                <w:noProof/>
              </w:rPr>
              <w:fldChar w:fldCharType="separate"/>
            </w:r>
            <w:r>
              <w:rPr>
                <w:noProof/>
              </w:rPr>
              <w:t>19</w:t>
            </w:r>
            <w:r>
              <w:rPr>
                <w:noProof/>
              </w:rPr>
              <w:fldChar w:fldCharType="end"/>
            </w:r>
          </w:hyperlink>
        </w:p>
        <w:p w14:paraId="2B1E7421" w14:textId="77777777" w:rsidR="005E30F4" w:rsidRDefault="004976D6">
          <w:pPr>
            <w:pStyle w:val="TOC2"/>
            <w:spacing w:before="120" w:after="60"/>
            <w:rPr>
              <w:noProof/>
            </w:rPr>
          </w:pPr>
          <w:hyperlink w:anchor="_Toc100038" w:history="1">
            <w:r>
              <w:rPr>
                <w:rStyle w:val="Hyperlink"/>
                <w:noProof/>
              </w:rPr>
              <w:t>6.6 Machine Learning for Control and Forecasting</w:t>
            </w:r>
            <w:r>
              <w:rPr>
                <w:noProof/>
              </w:rPr>
              <w:tab/>
            </w:r>
            <w:r>
              <w:rPr>
                <w:noProof/>
              </w:rPr>
              <w:fldChar w:fldCharType="begin"/>
            </w:r>
            <w:r>
              <w:rPr>
                <w:noProof/>
              </w:rPr>
              <w:instrText xml:space="preserve"> PAGEREF _Toc100038 \h </w:instrText>
            </w:r>
            <w:r>
              <w:rPr>
                <w:noProof/>
              </w:rPr>
            </w:r>
            <w:r>
              <w:rPr>
                <w:noProof/>
              </w:rPr>
              <w:fldChar w:fldCharType="separate"/>
            </w:r>
            <w:r>
              <w:rPr>
                <w:noProof/>
              </w:rPr>
              <w:t>19</w:t>
            </w:r>
            <w:r>
              <w:rPr>
                <w:noProof/>
              </w:rPr>
              <w:fldChar w:fldCharType="end"/>
            </w:r>
          </w:hyperlink>
        </w:p>
        <w:p w14:paraId="4A59EA0F" w14:textId="77777777" w:rsidR="005E30F4" w:rsidRDefault="004976D6">
          <w:pPr>
            <w:pStyle w:val="TOC1"/>
            <w:rPr>
              <w:noProof/>
            </w:rPr>
          </w:pPr>
          <w:hyperlink w:anchor="_Toc100039" w:history="1">
            <w:r>
              <w:rPr>
                <w:rStyle w:val="Hyperlink"/>
                <w:noProof/>
              </w:rPr>
              <w:t>7. Framework for Renewable-Powered AI Data Centers</w:t>
            </w:r>
            <w:r>
              <w:rPr>
                <w:noProof/>
              </w:rPr>
              <w:tab/>
            </w:r>
            <w:r>
              <w:rPr>
                <w:noProof/>
              </w:rPr>
              <w:fldChar w:fldCharType="begin"/>
            </w:r>
            <w:r>
              <w:rPr>
                <w:noProof/>
              </w:rPr>
              <w:instrText xml:space="preserve"> PAGEREF _Toc100039 \h </w:instrText>
            </w:r>
            <w:r>
              <w:rPr>
                <w:noProof/>
              </w:rPr>
            </w:r>
            <w:r>
              <w:rPr>
                <w:noProof/>
              </w:rPr>
              <w:fldChar w:fldCharType="separate"/>
            </w:r>
            <w:r>
              <w:rPr>
                <w:noProof/>
              </w:rPr>
              <w:t>20</w:t>
            </w:r>
            <w:r>
              <w:rPr>
                <w:noProof/>
              </w:rPr>
              <w:fldChar w:fldCharType="end"/>
            </w:r>
          </w:hyperlink>
        </w:p>
        <w:p w14:paraId="767513A4" w14:textId="77777777" w:rsidR="005E30F4" w:rsidRDefault="004976D6">
          <w:pPr>
            <w:pStyle w:val="TOC2"/>
            <w:spacing w:before="120" w:after="60"/>
            <w:rPr>
              <w:noProof/>
            </w:rPr>
          </w:pPr>
          <w:hyperlink w:anchor="_Toc100040" w:history="1">
            <w:r>
              <w:rPr>
                <w:rStyle w:val="Hyperlink"/>
                <w:noProof/>
              </w:rPr>
              <w:t>7.1 Framework Architecture</w:t>
            </w:r>
            <w:r>
              <w:rPr>
                <w:noProof/>
              </w:rPr>
              <w:tab/>
            </w:r>
            <w:r>
              <w:rPr>
                <w:noProof/>
              </w:rPr>
              <w:fldChar w:fldCharType="begin"/>
            </w:r>
            <w:r>
              <w:rPr>
                <w:noProof/>
              </w:rPr>
              <w:instrText xml:space="preserve"> PAGEREF _Toc100040 \h </w:instrText>
            </w:r>
            <w:r>
              <w:rPr>
                <w:noProof/>
              </w:rPr>
            </w:r>
            <w:r>
              <w:rPr>
                <w:noProof/>
              </w:rPr>
              <w:fldChar w:fldCharType="separate"/>
            </w:r>
            <w:r>
              <w:rPr>
                <w:noProof/>
              </w:rPr>
              <w:t>20</w:t>
            </w:r>
            <w:r>
              <w:rPr>
                <w:noProof/>
              </w:rPr>
              <w:fldChar w:fldCharType="end"/>
            </w:r>
          </w:hyperlink>
        </w:p>
        <w:p w14:paraId="047F84C0" w14:textId="77777777" w:rsidR="005E30F4" w:rsidRDefault="004976D6">
          <w:pPr>
            <w:pStyle w:val="TOC2"/>
            <w:spacing w:before="120" w:after="60"/>
            <w:rPr>
              <w:noProof/>
            </w:rPr>
          </w:pPr>
          <w:hyperlink w:anchor="_Toc100041" w:history="1">
            <w:r>
              <w:rPr>
                <w:rStyle w:val="Hyperlink"/>
                <w:noProof/>
              </w:rPr>
              <w:t>7.2 Site Selection and Resource Assessment</w:t>
            </w:r>
            <w:r>
              <w:rPr>
                <w:noProof/>
              </w:rPr>
              <w:tab/>
            </w:r>
            <w:r>
              <w:rPr>
                <w:noProof/>
              </w:rPr>
              <w:fldChar w:fldCharType="begin"/>
            </w:r>
            <w:r>
              <w:rPr>
                <w:noProof/>
              </w:rPr>
              <w:instrText xml:space="preserve"> PAGEREF _Toc100041 \h </w:instrText>
            </w:r>
            <w:r>
              <w:rPr>
                <w:noProof/>
              </w:rPr>
            </w:r>
            <w:r>
              <w:rPr>
                <w:noProof/>
              </w:rPr>
              <w:fldChar w:fldCharType="separate"/>
            </w:r>
            <w:r>
              <w:rPr>
                <w:noProof/>
              </w:rPr>
              <w:t>21</w:t>
            </w:r>
            <w:r>
              <w:rPr>
                <w:noProof/>
              </w:rPr>
              <w:fldChar w:fldCharType="end"/>
            </w:r>
          </w:hyperlink>
        </w:p>
        <w:p w14:paraId="2B146B21" w14:textId="77777777" w:rsidR="005E30F4" w:rsidRDefault="004976D6">
          <w:pPr>
            <w:pStyle w:val="TOC2"/>
            <w:spacing w:before="120" w:after="60"/>
            <w:rPr>
              <w:noProof/>
            </w:rPr>
          </w:pPr>
          <w:hyperlink w:anchor="_Toc100042" w:history="1">
            <w:r>
              <w:rPr>
                <w:rStyle w:val="Hyperlink"/>
                <w:noProof/>
              </w:rPr>
              <w:t>7.3 Technology Mix Optimization</w:t>
            </w:r>
            <w:r>
              <w:rPr>
                <w:noProof/>
              </w:rPr>
              <w:tab/>
            </w:r>
            <w:r>
              <w:rPr>
                <w:noProof/>
              </w:rPr>
              <w:fldChar w:fldCharType="begin"/>
            </w:r>
            <w:r>
              <w:rPr>
                <w:noProof/>
              </w:rPr>
              <w:instrText xml:space="preserve"> PAGEREF _Toc100042 \h </w:instrText>
            </w:r>
            <w:r>
              <w:rPr>
                <w:noProof/>
              </w:rPr>
            </w:r>
            <w:r>
              <w:rPr>
                <w:noProof/>
              </w:rPr>
              <w:fldChar w:fldCharType="separate"/>
            </w:r>
            <w:r>
              <w:rPr>
                <w:noProof/>
              </w:rPr>
              <w:t>21</w:t>
            </w:r>
            <w:r>
              <w:rPr>
                <w:noProof/>
              </w:rPr>
              <w:fldChar w:fldCharType="end"/>
            </w:r>
          </w:hyperlink>
        </w:p>
        <w:p w14:paraId="495E9F5D" w14:textId="77777777" w:rsidR="005E30F4" w:rsidRDefault="004976D6">
          <w:pPr>
            <w:pStyle w:val="TOC2"/>
            <w:spacing w:before="120" w:after="60"/>
            <w:rPr>
              <w:noProof/>
            </w:rPr>
          </w:pPr>
          <w:hyperlink w:anchor="_Toc100043" w:history="1">
            <w:r>
              <w:rPr>
                <w:rStyle w:val="Hyperlink"/>
                <w:noProof/>
              </w:rPr>
              <w:t>7.4 Electrical Architecture and Integration</w:t>
            </w:r>
            <w:r>
              <w:rPr>
                <w:noProof/>
              </w:rPr>
              <w:tab/>
            </w:r>
            <w:r>
              <w:rPr>
                <w:noProof/>
              </w:rPr>
              <w:fldChar w:fldCharType="begin"/>
            </w:r>
            <w:r>
              <w:rPr>
                <w:noProof/>
              </w:rPr>
              <w:instrText xml:space="preserve"> PAGEREF _Toc100043 \h </w:instrText>
            </w:r>
            <w:r>
              <w:rPr>
                <w:noProof/>
              </w:rPr>
            </w:r>
            <w:r>
              <w:rPr>
                <w:noProof/>
              </w:rPr>
              <w:fldChar w:fldCharType="separate"/>
            </w:r>
            <w:r>
              <w:rPr>
                <w:noProof/>
              </w:rPr>
              <w:t>22</w:t>
            </w:r>
            <w:r>
              <w:rPr>
                <w:noProof/>
              </w:rPr>
              <w:fldChar w:fldCharType="end"/>
            </w:r>
          </w:hyperlink>
        </w:p>
        <w:p w14:paraId="4E148C79" w14:textId="77777777" w:rsidR="005E30F4" w:rsidRDefault="004976D6">
          <w:pPr>
            <w:pStyle w:val="TOC2"/>
            <w:spacing w:before="120" w:after="60"/>
            <w:rPr>
              <w:noProof/>
            </w:rPr>
          </w:pPr>
          <w:hyperlink w:anchor="_Toc100044" w:history="1">
            <w:r>
              <w:rPr>
                <w:rStyle w:val="Hyperlink"/>
                <w:noProof/>
              </w:rPr>
              <w:t>7.5 Control and Dispatch Strategies</w:t>
            </w:r>
            <w:r>
              <w:rPr>
                <w:noProof/>
              </w:rPr>
              <w:tab/>
            </w:r>
            <w:r>
              <w:rPr>
                <w:noProof/>
              </w:rPr>
              <w:fldChar w:fldCharType="begin"/>
            </w:r>
            <w:r>
              <w:rPr>
                <w:noProof/>
              </w:rPr>
              <w:instrText xml:space="preserve"> PAGEREF _Toc100044 \h </w:instrText>
            </w:r>
            <w:r>
              <w:rPr>
                <w:noProof/>
              </w:rPr>
            </w:r>
            <w:r>
              <w:rPr>
                <w:noProof/>
              </w:rPr>
              <w:fldChar w:fldCharType="separate"/>
            </w:r>
            <w:r>
              <w:rPr>
                <w:noProof/>
              </w:rPr>
              <w:t>22</w:t>
            </w:r>
            <w:r>
              <w:rPr>
                <w:noProof/>
              </w:rPr>
              <w:fldChar w:fldCharType="end"/>
            </w:r>
          </w:hyperlink>
        </w:p>
        <w:p w14:paraId="055DE80F" w14:textId="77777777" w:rsidR="005E30F4" w:rsidRDefault="004976D6">
          <w:pPr>
            <w:pStyle w:val="TOC2"/>
            <w:spacing w:before="120" w:after="60"/>
            <w:rPr>
              <w:noProof/>
            </w:rPr>
          </w:pPr>
          <w:hyperlink w:anchor="_Toc100045" w:history="1">
            <w:r>
              <w:rPr>
                <w:rStyle w:val="Hyperlink"/>
                <w:noProof/>
              </w:rPr>
              <w:t>7.6 Demand-Side Management and Load Flexibility</w:t>
            </w:r>
            <w:r>
              <w:rPr>
                <w:noProof/>
              </w:rPr>
              <w:tab/>
            </w:r>
            <w:r>
              <w:rPr>
                <w:noProof/>
              </w:rPr>
              <w:fldChar w:fldCharType="begin"/>
            </w:r>
            <w:r>
              <w:rPr>
                <w:noProof/>
              </w:rPr>
              <w:instrText xml:space="preserve"> PAGEREF _Toc100045 \h </w:instrText>
            </w:r>
            <w:r>
              <w:rPr>
                <w:noProof/>
              </w:rPr>
            </w:r>
            <w:r>
              <w:rPr>
                <w:noProof/>
              </w:rPr>
              <w:fldChar w:fldCharType="separate"/>
            </w:r>
            <w:r>
              <w:rPr>
                <w:noProof/>
              </w:rPr>
              <w:t>23</w:t>
            </w:r>
            <w:r>
              <w:rPr>
                <w:noProof/>
              </w:rPr>
              <w:fldChar w:fldCharType="end"/>
            </w:r>
          </w:hyperlink>
        </w:p>
        <w:p w14:paraId="7E9C42B7" w14:textId="77777777" w:rsidR="005E30F4" w:rsidRDefault="004976D6">
          <w:pPr>
            <w:pStyle w:val="TOC2"/>
            <w:spacing w:before="120" w:after="60"/>
            <w:rPr>
              <w:noProof/>
            </w:rPr>
          </w:pPr>
          <w:hyperlink w:anchor="_Toc100046" w:history="1">
            <w:r>
              <w:rPr>
                <w:rStyle w:val="Hyperlink"/>
                <w:noProof/>
              </w:rPr>
              <w:t>7.7 Cooling System Coordination</w:t>
            </w:r>
            <w:r>
              <w:rPr>
                <w:noProof/>
              </w:rPr>
              <w:tab/>
            </w:r>
            <w:r>
              <w:rPr>
                <w:noProof/>
              </w:rPr>
              <w:fldChar w:fldCharType="begin"/>
            </w:r>
            <w:r>
              <w:rPr>
                <w:noProof/>
              </w:rPr>
              <w:instrText xml:space="preserve"> PAGEREF _Toc100046 \h </w:instrText>
            </w:r>
            <w:r>
              <w:rPr>
                <w:noProof/>
              </w:rPr>
            </w:r>
            <w:r>
              <w:rPr>
                <w:noProof/>
              </w:rPr>
              <w:fldChar w:fldCharType="separate"/>
            </w:r>
            <w:r>
              <w:rPr>
                <w:noProof/>
              </w:rPr>
              <w:t>23</w:t>
            </w:r>
            <w:r>
              <w:rPr>
                <w:noProof/>
              </w:rPr>
              <w:fldChar w:fldCharType="end"/>
            </w:r>
          </w:hyperlink>
        </w:p>
        <w:p w14:paraId="4BB85A52" w14:textId="77777777" w:rsidR="005E30F4" w:rsidRDefault="004976D6">
          <w:pPr>
            <w:pStyle w:val="TOC2"/>
            <w:spacing w:before="120" w:after="60"/>
            <w:rPr>
              <w:noProof/>
            </w:rPr>
          </w:pPr>
          <w:hyperlink w:anchor="_Toc100047" w:history="1">
            <w:r>
              <w:rPr>
                <w:rStyle w:val="Hyperlink"/>
                <w:noProof/>
              </w:rPr>
              <w:t>7.8 Economic Model and Financial Viability</w:t>
            </w:r>
            <w:r>
              <w:rPr>
                <w:noProof/>
              </w:rPr>
              <w:tab/>
            </w:r>
            <w:r>
              <w:rPr>
                <w:noProof/>
              </w:rPr>
              <w:fldChar w:fldCharType="begin"/>
            </w:r>
            <w:r>
              <w:rPr>
                <w:noProof/>
              </w:rPr>
              <w:instrText xml:space="preserve"> PAGEREF _Toc100047 \h </w:instrText>
            </w:r>
            <w:r>
              <w:rPr>
                <w:noProof/>
              </w:rPr>
            </w:r>
            <w:r>
              <w:rPr>
                <w:noProof/>
              </w:rPr>
              <w:fldChar w:fldCharType="separate"/>
            </w:r>
            <w:r>
              <w:rPr>
                <w:noProof/>
              </w:rPr>
              <w:t>24</w:t>
            </w:r>
            <w:r>
              <w:rPr>
                <w:noProof/>
              </w:rPr>
              <w:fldChar w:fldCharType="end"/>
            </w:r>
          </w:hyperlink>
        </w:p>
        <w:p w14:paraId="7A6DCEBB" w14:textId="77777777" w:rsidR="005E30F4" w:rsidRDefault="004976D6">
          <w:pPr>
            <w:pStyle w:val="TOC2"/>
            <w:spacing w:before="120" w:after="60"/>
            <w:rPr>
              <w:noProof/>
            </w:rPr>
          </w:pPr>
          <w:hyperlink w:anchor="_Toc100048" w:history="1">
            <w:r>
              <w:rPr>
                <w:rStyle w:val="Hyperlink"/>
                <w:noProof/>
              </w:rPr>
              <w:t>7.9 Reliability and Resilience Metrics</w:t>
            </w:r>
            <w:r>
              <w:rPr>
                <w:noProof/>
              </w:rPr>
              <w:tab/>
            </w:r>
            <w:r>
              <w:rPr>
                <w:noProof/>
              </w:rPr>
              <w:fldChar w:fldCharType="begin"/>
            </w:r>
            <w:r>
              <w:rPr>
                <w:noProof/>
              </w:rPr>
              <w:instrText xml:space="preserve"> PAGEREF _Toc100048 \h </w:instrText>
            </w:r>
            <w:r>
              <w:rPr>
                <w:noProof/>
              </w:rPr>
            </w:r>
            <w:r>
              <w:rPr>
                <w:noProof/>
              </w:rPr>
              <w:fldChar w:fldCharType="separate"/>
            </w:r>
            <w:r>
              <w:rPr>
                <w:noProof/>
              </w:rPr>
              <w:t>24</w:t>
            </w:r>
            <w:r>
              <w:rPr>
                <w:noProof/>
              </w:rPr>
              <w:fldChar w:fldCharType="end"/>
            </w:r>
          </w:hyperlink>
        </w:p>
        <w:p w14:paraId="61A0DF0E" w14:textId="77777777" w:rsidR="005E30F4" w:rsidRDefault="004976D6">
          <w:pPr>
            <w:pStyle w:val="TOC2"/>
            <w:spacing w:before="120" w:after="60"/>
            <w:rPr>
              <w:noProof/>
            </w:rPr>
          </w:pPr>
          <w:hyperlink w:anchor="_Toc100049" w:history="1">
            <w:r>
              <w:rPr>
                <w:rStyle w:val="Hyperlink"/>
                <w:noProof/>
              </w:rPr>
              <w:t>7.10 Carbon Accounting and Sustainability</w:t>
            </w:r>
            <w:r>
              <w:rPr>
                <w:noProof/>
              </w:rPr>
              <w:tab/>
            </w:r>
            <w:r>
              <w:rPr>
                <w:noProof/>
              </w:rPr>
              <w:fldChar w:fldCharType="begin"/>
            </w:r>
            <w:r>
              <w:rPr>
                <w:noProof/>
              </w:rPr>
              <w:instrText xml:space="preserve"> PAGEREF _Toc100049 \h </w:instrText>
            </w:r>
            <w:r>
              <w:rPr>
                <w:noProof/>
              </w:rPr>
            </w:r>
            <w:r>
              <w:rPr>
                <w:noProof/>
              </w:rPr>
              <w:fldChar w:fldCharType="separate"/>
            </w:r>
            <w:r>
              <w:rPr>
                <w:noProof/>
              </w:rPr>
              <w:t>25</w:t>
            </w:r>
            <w:r>
              <w:rPr>
                <w:noProof/>
              </w:rPr>
              <w:fldChar w:fldCharType="end"/>
            </w:r>
          </w:hyperlink>
        </w:p>
        <w:p w14:paraId="739A177D" w14:textId="77777777" w:rsidR="005E30F4" w:rsidRDefault="004976D6">
          <w:pPr>
            <w:pStyle w:val="TOC1"/>
            <w:rPr>
              <w:noProof/>
            </w:rPr>
          </w:pPr>
          <w:hyperlink w:anchor="_Toc100050" w:history="1">
            <w:r>
              <w:rPr>
                <w:rStyle w:val="Hyperlink"/>
                <w:noProof/>
              </w:rPr>
              <w:t>8. Case Studies: Real-World Deployments</w:t>
            </w:r>
            <w:r>
              <w:rPr>
                <w:noProof/>
              </w:rPr>
              <w:tab/>
            </w:r>
            <w:r>
              <w:rPr>
                <w:noProof/>
              </w:rPr>
              <w:fldChar w:fldCharType="begin"/>
            </w:r>
            <w:r>
              <w:rPr>
                <w:noProof/>
              </w:rPr>
              <w:instrText xml:space="preserve"> PAGEREF _Toc100050 \h </w:instrText>
            </w:r>
            <w:r>
              <w:rPr>
                <w:noProof/>
              </w:rPr>
            </w:r>
            <w:r>
              <w:rPr>
                <w:noProof/>
              </w:rPr>
              <w:fldChar w:fldCharType="separate"/>
            </w:r>
            <w:r>
              <w:rPr>
                <w:noProof/>
              </w:rPr>
              <w:t>25</w:t>
            </w:r>
            <w:r>
              <w:rPr>
                <w:noProof/>
              </w:rPr>
              <w:fldChar w:fldCharType="end"/>
            </w:r>
          </w:hyperlink>
        </w:p>
        <w:p w14:paraId="79841CD4" w14:textId="77777777" w:rsidR="005E30F4" w:rsidRDefault="004976D6">
          <w:pPr>
            <w:pStyle w:val="TOC2"/>
            <w:spacing w:before="120" w:after="60"/>
            <w:rPr>
              <w:noProof/>
            </w:rPr>
          </w:pPr>
          <w:hyperlink w:anchor="_Toc100051" w:history="1">
            <w:r>
              <w:rPr>
                <w:rStyle w:val="Hyperlink"/>
                <w:noProof/>
              </w:rPr>
              <w:t>8.1 Google Data Centers: Renewable Energy Matching</w:t>
            </w:r>
            <w:r>
              <w:rPr>
                <w:noProof/>
              </w:rPr>
              <w:tab/>
            </w:r>
            <w:r>
              <w:rPr>
                <w:noProof/>
              </w:rPr>
              <w:fldChar w:fldCharType="begin"/>
            </w:r>
            <w:r>
              <w:rPr>
                <w:noProof/>
              </w:rPr>
              <w:instrText xml:space="preserve"> PAGEREF _Toc100051 \h </w:instrText>
            </w:r>
            <w:r>
              <w:rPr>
                <w:noProof/>
              </w:rPr>
            </w:r>
            <w:r>
              <w:rPr>
                <w:noProof/>
              </w:rPr>
              <w:fldChar w:fldCharType="separate"/>
            </w:r>
            <w:r>
              <w:rPr>
                <w:noProof/>
              </w:rPr>
              <w:t>25</w:t>
            </w:r>
            <w:r>
              <w:rPr>
                <w:noProof/>
              </w:rPr>
              <w:fldChar w:fldCharType="end"/>
            </w:r>
          </w:hyperlink>
        </w:p>
        <w:p w14:paraId="5C52EC1F" w14:textId="77777777" w:rsidR="005E30F4" w:rsidRDefault="004976D6">
          <w:pPr>
            <w:pStyle w:val="TOC2"/>
            <w:spacing w:before="120" w:after="60"/>
            <w:rPr>
              <w:noProof/>
            </w:rPr>
          </w:pPr>
          <w:hyperlink w:anchor="_Toc100052" w:history="1">
            <w:r>
              <w:rPr>
                <w:rStyle w:val="Hyperlink"/>
                <w:noProof/>
              </w:rPr>
              <w:t>8.2 Meta: Fuel Cell Integration at Prineville</w:t>
            </w:r>
            <w:r>
              <w:rPr>
                <w:noProof/>
              </w:rPr>
              <w:tab/>
            </w:r>
            <w:r>
              <w:rPr>
                <w:noProof/>
              </w:rPr>
              <w:fldChar w:fldCharType="begin"/>
            </w:r>
            <w:r>
              <w:rPr>
                <w:noProof/>
              </w:rPr>
              <w:instrText xml:space="preserve"> PAGEREF _Toc100052 \h </w:instrText>
            </w:r>
            <w:r>
              <w:rPr>
                <w:noProof/>
              </w:rPr>
            </w:r>
            <w:r>
              <w:rPr>
                <w:noProof/>
              </w:rPr>
              <w:fldChar w:fldCharType="separate"/>
            </w:r>
            <w:r>
              <w:rPr>
                <w:noProof/>
              </w:rPr>
              <w:t>26</w:t>
            </w:r>
            <w:r>
              <w:rPr>
                <w:noProof/>
              </w:rPr>
              <w:fldChar w:fldCharType="end"/>
            </w:r>
          </w:hyperlink>
        </w:p>
        <w:p w14:paraId="74394BE2" w14:textId="77777777" w:rsidR="005E30F4" w:rsidRDefault="004976D6">
          <w:pPr>
            <w:pStyle w:val="TOC2"/>
            <w:spacing w:before="120" w:after="60"/>
            <w:rPr>
              <w:noProof/>
            </w:rPr>
          </w:pPr>
          <w:hyperlink w:anchor="_Toc100053" w:history="1">
            <w:r>
              <w:rPr>
                <w:rStyle w:val="Hyperlink"/>
                <w:noProof/>
              </w:rPr>
              <w:t>8.3 Microsoft: Modular Design and Nuclear Partnership</w:t>
            </w:r>
            <w:r>
              <w:rPr>
                <w:noProof/>
              </w:rPr>
              <w:tab/>
            </w:r>
            <w:r>
              <w:rPr>
                <w:noProof/>
              </w:rPr>
              <w:fldChar w:fldCharType="begin"/>
            </w:r>
            <w:r>
              <w:rPr>
                <w:noProof/>
              </w:rPr>
              <w:instrText xml:space="preserve"> PAGEREF _Toc100053 \h </w:instrText>
            </w:r>
            <w:r>
              <w:rPr>
                <w:noProof/>
              </w:rPr>
            </w:r>
            <w:r>
              <w:rPr>
                <w:noProof/>
              </w:rPr>
              <w:fldChar w:fldCharType="separate"/>
            </w:r>
            <w:r>
              <w:rPr>
                <w:noProof/>
              </w:rPr>
              <w:t>26</w:t>
            </w:r>
            <w:r>
              <w:rPr>
                <w:noProof/>
              </w:rPr>
              <w:fldChar w:fldCharType="end"/>
            </w:r>
          </w:hyperlink>
        </w:p>
        <w:p w14:paraId="55210926" w14:textId="77777777" w:rsidR="005E30F4" w:rsidRDefault="004976D6">
          <w:pPr>
            <w:pStyle w:val="TOC2"/>
            <w:spacing w:before="120" w:after="60"/>
            <w:rPr>
              <w:noProof/>
            </w:rPr>
          </w:pPr>
          <w:hyperlink w:anchor="_Toc100054" w:history="1">
            <w:r>
              <w:rPr>
                <w:rStyle w:val="Hyperlink"/>
                <w:noProof/>
              </w:rPr>
              <w:t>8.4 Equinix: Distributed Solar PPAs</w:t>
            </w:r>
            <w:r>
              <w:rPr>
                <w:noProof/>
              </w:rPr>
              <w:tab/>
            </w:r>
            <w:r>
              <w:rPr>
                <w:noProof/>
              </w:rPr>
              <w:fldChar w:fldCharType="begin"/>
            </w:r>
            <w:r>
              <w:rPr>
                <w:noProof/>
              </w:rPr>
              <w:instrText xml:space="preserve"> PAGEREF _Toc100054 \h </w:instrText>
            </w:r>
            <w:r>
              <w:rPr>
                <w:noProof/>
              </w:rPr>
            </w:r>
            <w:r>
              <w:rPr>
                <w:noProof/>
              </w:rPr>
              <w:fldChar w:fldCharType="separate"/>
            </w:r>
            <w:r>
              <w:rPr>
                <w:noProof/>
              </w:rPr>
              <w:t>27</w:t>
            </w:r>
            <w:r>
              <w:rPr>
                <w:noProof/>
              </w:rPr>
              <w:fldChar w:fldCharType="end"/>
            </w:r>
          </w:hyperlink>
        </w:p>
        <w:p w14:paraId="6F68CDF2" w14:textId="77777777" w:rsidR="005E30F4" w:rsidRDefault="004976D6">
          <w:pPr>
            <w:pStyle w:val="TOC2"/>
            <w:spacing w:before="120" w:after="60"/>
            <w:rPr>
              <w:noProof/>
            </w:rPr>
          </w:pPr>
          <w:hyperlink w:anchor="_Toc100055" w:history="1">
            <w:r>
              <w:rPr>
                <w:rStyle w:val="Hyperlink"/>
                <w:noProof/>
              </w:rPr>
              <w:t>8.5 Apple: 100 Percent Renewable Commitment</w:t>
            </w:r>
            <w:r>
              <w:rPr>
                <w:noProof/>
              </w:rPr>
              <w:tab/>
            </w:r>
            <w:r>
              <w:rPr>
                <w:noProof/>
              </w:rPr>
              <w:fldChar w:fldCharType="begin"/>
            </w:r>
            <w:r>
              <w:rPr>
                <w:noProof/>
              </w:rPr>
              <w:instrText xml:space="preserve"> PAGEREF _Toc100055 \h </w:instrText>
            </w:r>
            <w:r>
              <w:rPr>
                <w:noProof/>
              </w:rPr>
            </w:r>
            <w:r>
              <w:rPr>
                <w:noProof/>
              </w:rPr>
              <w:fldChar w:fldCharType="separate"/>
            </w:r>
            <w:r>
              <w:rPr>
                <w:noProof/>
              </w:rPr>
              <w:t>27</w:t>
            </w:r>
            <w:r>
              <w:rPr>
                <w:noProof/>
              </w:rPr>
              <w:fldChar w:fldCharType="end"/>
            </w:r>
          </w:hyperlink>
        </w:p>
        <w:p w14:paraId="22B1A045" w14:textId="77777777" w:rsidR="005E30F4" w:rsidRDefault="004976D6">
          <w:pPr>
            <w:pStyle w:val="TOC2"/>
            <w:spacing w:before="120" w:after="60"/>
            <w:rPr>
              <w:noProof/>
            </w:rPr>
          </w:pPr>
          <w:hyperlink w:anchor="_Toc100056" w:history="1">
            <w:r>
              <w:rPr>
                <w:rStyle w:val="Hyperlink"/>
                <w:noProof/>
              </w:rPr>
              <w:t>8.6 Comparative Analysis</w:t>
            </w:r>
            <w:r>
              <w:rPr>
                <w:noProof/>
              </w:rPr>
              <w:tab/>
            </w:r>
            <w:r>
              <w:rPr>
                <w:noProof/>
              </w:rPr>
              <w:fldChar w:fldCharType="begin"/>
            </w:r>
            <w:r>
              <w:rPr>
                <w:noProof/>
              </w:rPr>
              <w:instrText xml:space="preserve"> PAGEREF _Toc100056 \h </w:instrText>
            </w:r>
            <w:r>
              <w:rPr>
                <w:noProof/>
              </w:rPr>
            </w:r>
            <w:r>
              <w:rPr>
                <w:noProof/>
              </w:rPr>
              <w:fldChar w:fldCharType="separate"/>
            </w:r>
            <w:r>
              <w:rPr>
                <w:noProof/>
              </w:rPr>
              <w:t>27</w:t>
            </w:r>
            <w:r>
              <w:rPr>
                <w:noProof/>
              </w:rPr>
              <w:fldChar w:fldCharType="end"/>
            </w:r>
          </w:hyperlink>
        </w:p>
        <w:p w14:paraId="135E4B83" w14:textId="77777777" w:rsidR="005E30F4" w:rsidRDefault="004976D6">
          <w:pPr>
            <w:pStyle w:val="TOC1"/>
            <w:rPr>
              <w:noProof/>
            </w:rPr>
          </w:pPr>
          <w:hyperlink w:anchor="_Toc100057" w:history="1">
            <w:r>
              <w:rPr>
                <w:rStyle w:val="Hyperlink"/>
                <w:noProof/>
              </w:rPr>
              <w:t>9. Technical Challenges and Solutions</w:t>
            </w:r>
            <w:r>
              <w:rPr>
                <w:noProof/>
              </w:rPr>
              <w:tab/>
            </w:r>
            <w:r>
              <w:rPr>
                <w:noProof/>
              </w:rPr>
              <w:fldChar w:fldCharType="begin"/>
            </w:r>
            <w:r>
              <w:rPr>
                <w:noProof/>
              </w:rPr>
              <w:instrText xml:space="preserve"> PAGEREF _Toc100057 \h </w:instrText>
            </w:r>
            <w:r>
              <w:rPr>
                <w:noProof/>
              </w:rPr>
            </w:r>
            <w:r>
              <w:rPr>
                <w:noProof/>
              </w:rPr>
              <w:fldChar w:fldCharType="separate"/>
            </w:r>
            <w:r>
              <w:rPr>
                <w:noProof/>
              </w:rPr>
              <w:t>28</w:t>
            </w:r>
            <w:r>
              <w:rPr>
                <w:noProof/>
              </w:rPr>
              <w:fldChar w:fldCharType="end"/>
            </w:r>
          </w:hyperlink>
        </w:p>
        <w:p w14:paraId="2383AF44" w14:textId="77777777" w:rsidR="005E30F4" w:rsidRDefault="004976D6">
          <w:pPr>
            <w:pStyle w:val="TOC2"/>
            <w:spacing w:before="120" w:after="60"/>
            <w:rPr>
              <w:noProof/>
            </w:rPr>
          </w:pPr>
          <w:hyperlink w:anchor="_Toc100058" w:history="1">
            <w:r>
              <w:rPr>
                <w:rStyle w:val="Hyperlink"/>
                <w:noProof/>
              </w:rPr>
              <w:t>9.1 Intermittency and Predictability</w:t>
            </w:r>
            <w:r>
              <w:rPr>
                <w:noProof/>
              </w:rPr>
              <w:tab/>
            </w:r>
            <w:r>
              <w:rPr>
                <w:noProof/>
              </w:rPr>
              <w:fldChar w:fldCharType="begin"/>
            </w:r>
            <w:r>
              <w:rPr>
                <w:noProof/>
              </w:rPr>
              <w:instrText xml:space="preserve"> PAGEREF _Toc100058 \h </w:instrText>
            </w:r>
            <w:r>
              <w:rPr>
                <w:noProof/>
              </w:rPr>
            </w:r>
            <w:r>
              <w:rPr>
                <w:noProof/>
              </w:rPr>
              <w:fldChar w:fldCharType="separate"/>
            </w:r>
            <w:r>
              <w:rPr>
                <w:noProof/>
              </w:rPr>
              <w:t>28</w:t>
            </w:r>
            <w:r>
              <w:rPr>
                <w:noProof/>
              </w:rPr>
              <w:fldChar w:fldCharType="end"/>
            </w:r>
          </w:hyperlink>
        </w:p>
        <w:p w14:paraId="0DE792E8" w14:textId="77777777" w:rsidR="005E30F4" w:rsidRDefault="004976D6">
          <w:pPr>
            <w:pStyle w:val="TOC2"/>
            <w:spacing w:before="120" w:after="60"/>
            <w:rPr>
              <w:noProof/>
            </w:rPr>
          </w:pPr>
          <w:hyperlink w:anchor="_Toc100059" w:history="1">
            <w:r>
              <w:rPr>
                <w:rStyle w:val="Hyperlink"/>
                <w:noProof/>
              </w:rPr>
              <w:t>9.2 Grid Stability and Frequency Control</w:t>
            </w:r>
            <w:r>
              <w:rPr>
                <w:noProof/>
              </w:rPr>
              <w:tab/>
            </w:r>
            <w:r>
              <w:rPr>
                <w:noProof/>
              </w:rPr>
              <w:fldChar w:fldCharType="begin"/>
            </w:r>
            <w:r>
              <w:rPr>
                <w:noProof/>
              </w:rPr>
              <w:instrText xml:space="preserve"> PAGEREF _Toc100059 \h </w:instrText>
            </w:r>
            <w:r>
              <w:rPr>
                <w:noProof/>
              </w:rPr>
            </w:r>
            <w:r>
              <w:rPr>
                <w:noProof/>
              </w:rPr>
              <w:fldChar w:fldCharType="separate"/>
            </w:r>
            <w:r>
              <w:rPr>
                <w:noProof/>
              </w:rPr>
              <w:t>28</w:t>
            </w:r>
            <w:r>
              <w:rPr>
                <w:noProof/>
              </w:rPr>
              <w:fldChar w:fldCharType="end"/>
            </w:r>
          </w:hyperlink>
        </w:p>
        <w:p w14:paraId="07FB8189" w14:textId="77777777" w:rsidR="005E30F4" w:rsidRDefault="004976D6">
          <w:pPr>
            <w:pStyle w:val="TOC2"/>
            <w:spacing w:before="120" w:after="60"/>
            <w:rPr>
              <w:noProof/>
            </w:rPr>
          </w:pPr>
          <w:hyperlink w:anchor="_Toc100060" w:history="1">
            <w:r>
              <w:rPr>
                <w:rStyle w:val="Hyperlink"/>
                <w:noProof/>
              </w:rPr>
              <w:t>9.3 Power Quality and Harmonic Distortion</w:t>
            </w:r>
            <w:r>
              <w:rPr>
                <w:noProof/>
              </w:rPr>
              <w:tab/>
            </w:r>
            <w:r>
              <w:rPr>
                <w:noProof/>
              </w:rPr>
              <w:fldChar w:fldCharType="begin"/>
            </w:r>
            <w:r>
              <w:rPr>
                <w:noProof/>
              </w:rPr>
              <w:instrText xml:space="preserve"> PAGEREF _Toc100060 \h </w:instrText>
            </w:r>
            <w:r>
              <w:rPr>
                <w:noProof/>
              </w:rPr>
            </w:r>
            <w:r>
              <w:rPr>
                <w:noProof/>
              </w:rPr>
              <w:fldChar w:fldCharType="separate"/>
            </w:r>
            <w:r>
              <w:rPr>
                <w:noProof/>
              </w:rPr>
              <w:t>29</w:t>
            </w:r>
            <w:r>
              <w:rPr>
                <w:noProof/>
              </w:rPr>
              <w:fldChar w:fldCharType="end"/>
            </w:r>
          </w:hyperlink>
        </w:p>
        <w:p w14:paraId="56A52189" w14:textId="77777777" w:rsidR="005E30F4" w:rsidRDefault="004976D6">
          <w:pPr>
            <w:pStyle w:val="TOC2"/>
            <w:spacing w:before="120" w:after="60"/>
            <w:rPr>
              <w:noProof/>
            </w:rPr>
          </w:pPr>
          <w:hyperlink w:anchor="_Toc100061" w:history="1">
            <w:r>
              <w:rPr>
                <w:rStyle w:val="Hyperlink"/>
                <w:noProof/>
              </w:rPr>
              <w:t>9.4 Grid Interconnection Complexity</w:t>
            </w:r>
            <w:r>
              <w:rPr>
                <w:noProof/>
              </w:rPr>
              <w:tab/>
            </w:r>
            <w:r>
              <w:rPr>
                <w:noProof/>
              </w:rPr>
              <w:fldChar w:fldCharType="begin"/>
            </w:r>
            <w:r>
              <w:rPr>
                <w:noProof/>
              </w:rPr>
              <w:instrText xml:space="preserve"> PAGEREF _Toc100061 \h </w:instrText>
            </w:r>
            <w:r>
              <w:rPr>
                <w:noProof/>
              </w:rPr>
            </w:r>
            <w:r>
              <w:rPr>
                <w:noProof/>
              </w:rPr>
              <w:fldChar w:fldCharType="separate"/>
            </w:r>
            <w:r>
              <w:rPr>
                <w:noProof/>
              </w:rPr>
              <w:t>29</w:t>
            </w:r>
            <w:r>
              <w:rPr>
                <w:noProof/>
              </w:rPr>
              <w:fldChar w:fldCharType="end"/>
            </w:r>
          </w:hyperlink>
        </w:p>
        <w:p w14:paraId="18046A86" w14:textId="77777777" w:rsidR="005E30F4" w:rsidRDefault="004976D6">
          <w:pPr>
            <w:pStyle w:val="TOC2"/>
            <w:spacing w:before="120" w:after="60"/>
            <w:rPr>
              <w:noProof/>
            </w:rPr>
          </w:pPr>
          <w:hyperlink w:anchor="_Toc100062" w:history="1">
            <w:r>
              <w:rPr>
                <w:rStyle w:val="Hyperlink"/>
                <w:noProof/>
              </w:rPr>
              <w:t>9.5 Demand-Side Management and AI Workload Flexibility</w:t>
            </w:r>
            <w:r>
              <w:rPr>
                <w:noProof/>
              </w:rPr>
              <w:tab/>
            </w:r>
            <w:r>
              <w:rPr>
                <w:noProof/>
              </w:rPr>
              <w:fldChar w:fldCharType="begin"/>
            </w:r>
            <w:r>
              <w:rPr>
                <w:noProof/>
              </w:rPr>
              <w:instrText xml:space="preserve"> PAGEREF _Toc100062 \h </w:instrText>
            </w:r>
            <w:r>
              <w:rPr>
                <w:noProof/>
              </w:rPr>
            </w:r>
            <w:r>
              <w:rPr>
                <w:noProof/>
              </w:rPr>
              <w:fldChar w:fldCharType="separate"/>
            </w:r>
            <w:r>
              <w:rPr>
                <w:noProof/>
              </w:rPr>
              <w:t>30</w:t>
            </w:r>
            <w:r>
              <w:rPr>
                <w:noProof/>
              </w:rPr>
              <w:fldChar w:fldCharType="end"/>
            </w:r>
          </w:hyperlink>
        </w:p>
        <w:p w14:paraId="7C7763C7" w14:textId="77777777" w:rsidR="005E30F4" w:rsidRDefault="004976D6">
          <w:pPr>
            <w:pStyle w:val="TOC2"/>
            <w:spacing w:before="120" w:after="60"/>
            <w:rPr>
              <w:noProof/>
            </w:rPr>
          </w:pPr>
          <w:hyperlink w:anchor="_Toc100063" w:history="1">
            <w:r>
              <w:rPr>
                <w:rStyle w:val="Hyperlink"/>
                <w:noProof/>
              </w:rPr>
              <w:t>9.6 Energy Storage Control and Battery Management</w:t>
            </w:r>
            <w:r>
              <w:rPr>
                <w:noProof/>
              </w:rPr>
              <w:tab/>
            </w:r>
            <w:r>
              <w:rPr>
                <w:noProof/>
              </w:rPr>
              <w:fldChar w:fldCharType="begin"/>
            </w:r>
            <w:r>
              <w:rPr>
                <w:noProof/>
              </w:rPr>
              <w:instrText xml:space="preserve"> PAGEREF _Toc100063 \h </w:instrText>
            </w:r>
            <w:r>
              <w:rPr>
                <w:noProof/>
              </w:rPr>
            </w:r>
            <w:r>
              <w:rPr>
                <w:noProof/>
              </w:rPr>
              <w:fldChar w:fldCharType="separate"/>
            </w:r>
            <w:r>
              <w:rPr>
                <w:noProof/>
              </w:rPr>
              <w:t>30</w:t>
            </w:r>
            <w:r>
              <w:rPr>
                <w:noProof/>
              </w:rPr>
              <w:fldChar w:fldCharType="end"/>
            </w:r>
          </w:hyperlink>
        </w:p>
        <w:p w14:paraId="0B3BC5FA" w14:textId="77777777" w:rsidR="005E30F4" w:rsidRDefault="004976D6">
          <w:pPr>
            <w:pStyle w:val="TOC2"/>
            <w:spacing w:before="120" w:after="60"/>
            <w:rPr>
              <w:noProof/>
            </w:rPr>
          </w:pPr>
          <w:hyperlink w:anchor="_Toc100064" w:history="1">
            <w:r>
              <w:rPr>
                <w:rStyle w:val="Hyperlink"/>
                <w:noProof/>
              </w:rPr>
              <w:t>9.7 Hydrogen and Fuel Cell Challenges</w:t>
            </w:r>
            <w:r>
              <w:rPr>
                <w:noProof/>
              </w:rPr>
              <w:tab/>
            </w:r>
            <w:r>
              <w:rPr>
                <w:noProof/>
              </w:rPr>
              <w:fldChar w:fldCharType="begin"/>
            </w:r>
            <w:r>
              <w:rPr>
                <w:noProof/>
              </w:rPr>
              <w:instrText xml:space="preserve"> PAGEREF _Toc100064 \h </w:instrText>
            </w:r>
            <w:r>
              <w:rPr>
                <w:noProof/>
              </w:rPr>
            </w:r>
            <w:r>
              <w:rPr>
                <w:noProof/>
              </w:rPr>
              <w:fldChar w:fldCharType="separate"/>
            </w:r>
            <w:r>
              <w:rPr>
                <w:noProof/>
              </w:rPr>
              <w:t>30</w:t>
            </w:r>
            <w:r>
              <w:rPr>
                <w:noProof/>
              </w:rPr>
              <w:fldChar w:fldCharType="end"/>
            </w:r>
          </w:hyperlink>
        </w:p>
        <w:p w14:paraId="0F26C4E4" w14:textId="77777777" w:rsidR="005E30F4" w:rsidRDefault="004976D6">
          <w:pPr>
            <w:pStyle w:val="TOC2"/>
            <w:spacing w:before="120" w:after="60"/>
            <w:rPr>
              <w:noProof/>
            </w:rPr>
          </w:pPr>
          <w:hyperlink w:anchor="_Toc100065" w:history="1">
            <w:r>
              <w:rPr>
                <w:rStyle w:val="Hyperlink"/>
                <w:noProof/>
              </w:rPr>
              <w:t>9.8 Cooling System Integration</w:t>
            </w:r>
            <w:r>
              <w:rPr>
                <w:noProof/>
              </w:rPr>
              <w:tab/>
            </w:r>
            <w:r>
              <w:rPr>
                <w:noProof/>
              </w:rPr>
              <w:fldChar w:fldCharType="begin"/>
            </w:r>
            <w:r>
              <w:rPr>
                <w:noProof/>
              </w:rPr>
              <w:instrText xml:space="preserve"> PAGEREF _Toc100065 \h </w:instrText>
            </w:r>
            <w:r>
              <w:rPr>
                <w:noProof/>
              </w:rPr>
            </w:r>
            <w:r>
              <w:rPr>
                <w:noProof/>
              </w:rPr>
              <w:fldChar w:fldCharType="separate"/>
            </w:r>
            <w:r>
              <w:rPr>
                <w:noProof/>
              </w:rPr>
              <w:t>31</w:t>
            </w:r>
            <w:r>
              <w:rPr>
                <w:noProof/>
              </w:rPr>
              <w:fldChar w:fldCharType="end"/>
            </w:r>
          </w:hyperlink>
        </w:p>
        <w:p w14:paraId="5D5C13BA" w14:textId="77777777" w:rsidR="005E30F4" w:rsidRDefault="004976D6">
          <w:pPr>
            <w:pStyle w:val="TOC2"/>
            <w:spacing w:before="120" w:after="60"/>
            <w:rPr>
              <w:noProof/>
            </w:rPr>
          </w:pPr>
          <w:hyperlink w:anchor="_Toc100066" w:history="1">
            <w:r>
              <w:rPr>
                <w:rStyle w:val="Hyperlink"/>
                <w:noProof/>
              </w:rPr>
              <w:t>9.9 Cybersecurity and Operational Technology</w:t>
            </w:r>
            <w:r>
              <w:rPr>
                <w:noProof/>
              </w:rPr>
              <w:tab/>
            </w:r>
            <w:r>
              <w:rPr>
                <w:noProof/>
              </w:rPr>
              <w:fldChar w:fldCharType="begin"/>
            </w:r>
            <w:r>
              <w:rPr>
                <w:noProof/>
              </w:rPr>
              <w:instrText xml:space="preserve"> PAGEREF _Toc100066 \h </w:instrText>
            </w:r>
            <w:r>
              <w:rPr>
                <w:noProof/>
              </w:rPr>
            </w:r>
            <w:r>
              <w:rPr>
                <w:noProof/>
              </w:rPr>
              <w:fldChar w:fldCharType="separate"/>
            </w:r>
            <w:r>
              <w:rPr>
                <w:noProof/>
              </w:rPr>
              <w:t>31</w:t>
            </w:r>
            <w:r>
              <w:rPr>
                <w:noProof/>
              </w:rPr>
              <w:fldChar w:fldCharType="end"/>
            </w:r>
          </w:hyperlink>
        </w:p>
        <w:p w14:paraId="306DA98D" w14:textId="77777777" w:rsidR="005E30F4" w:rsidRDefault="004976D6">
          <w:pPr>
            <w:pStyle w:val="TOC1"/>
            <w:rPr>
              <w:noProof/>
            </w:rPr>
          </w:pPr>
          <w:hyperlink w:anchor="_Toc100067" w:history="1">
            <w:r>
              <w:rPr>
                <w:rStyle w:val="Hyperlink"/>
                <w:noProof/>
              </w:rPr>
              <w:t>10. Economic Analysis and Financial Viability</w:t>
            </w:r>
            <w:r>
              <w:rPr>
                <w:noProof/>
              </w:rPr>
              <w:tab/>
            </w:r>
            <w:r>
              <w:rPr>
                <w:noProof/>
              </w:rPr>
              <w:fldChar w:fldCharType="begin"/>
            </w:r>
            <w:r>
              <w:rPr>
                <w:noProof/>
              </w:rPr>
              <w:instrText xml:space="preserve"> PAGEREF _Toc100067 \h </w:instrText>
            </w:r>
            <w:r>
              <w:rPr>
                <w:noProof/>
              </w:rPr>
            </w:r>
            <w:r>
              <w:rPr>
                <w:noProof/>
              </w:rPr>
              <w:fldChar w:fldCharType="separate"/>
            </w:r>
            <w:r>
              <w:rPr>
                <w:noProof/>
              </w:rPr>
              <w:t>31</w:t>
            </w:r>
            <w:r>
              <w:rPr>
                <w:noProof/>
              </w:rPr>
              <w:fldChar w:fldCharType="end"/>
            </w:r>
          </w:hyperlink>
        </w:p>
        <w:p w14:paraId="7A0E5E09" w14:textId="77777777" w:rsidR="005E30F4" w:rsidRDefault="004976D6">
          <w:pPr>
            <w:pStyle w:val="TOC2"/>
            <w:spacing w:before="120" w:after="60"/>
            <w:rPr>
              <w:noProof/>
            </w:rPr>
          </w:pPr>
          <w:hyperlink w:anchor="_Toc100068" w:history="1">
            <w:r>
              <w:rPr>
                <w:rStyle w:val="Hyperlink"/>
                <w:noProof/>
              </w:rPr>
              <w:t>10.1 Capital Cost Analysis</w:t>
            </w:r>
            <w:r>
              <w:rPr>
                <w:noProof/>
              </w:rPr>
              <w:tab/>
            </w:r>
            <w:r>
              <w:rPr>
                <w:noProof/>
              </w:rPr>
              <w:fldChar w:fldCharType="begin"/>
            </w:r>
            <w:r>
              <w:rPr>
                <w:noProof/>
              </w:rPr>
              <w:instrText xml:space="preserve"> PAGEREF _Toc100068 \h </w:instrText>
            </w:r>
            <w:r>
              <w:rPr>
                <w:noProof/>
              </w:rPr>
            </w:r>
            <w:r>
              <w:rPr>
                <w:noProof/>
              </w:rPr>
              <w:fldChar w:fldCharType="separate"/>
            </w:r>
            <w:r>
              <w:rPr>
                <w:noProof/>
              </w:rPr>
              <w:t>32</w:t>
            </w:r>
            <w:r>
              <w:rPr>
                <w:noProof/>
              </w:rPr>
              <w:fldChar w:fldCharType="end"/>
            </w:r>
          </w:hyperlink>
        </w:p>
        <w:p w14:paraId="143A7AFB" w14:textId="77777777" w:rsidR="005E30F4" w:rsidRDefault="004976D6">
          <w:pPr>
            <w:pStyle w:val="TOC2"/>
            <w:spacing w:before="120" w:after="60"/>
            <w:rPr>
              <w:noProof/>
            </w:rPr>
          </w:pPr>
          <w:hyperlink w:anchor="_Toc100069" w:history="1">
            <w:r>
              <w:rPr>
                <w:rStyle w:val="Hyperlink"/>
                <w:noProof/>
              </w:rPr>
              <w:t>10.2 Operational Costs</w:t>
            </w:r>
            <w:r>
              <w:rPr>
                <w:noProof/>
              </w:rPr>
              <w:tab/>
            </w:r>
            <w:r>
              <w:rPr>
                <w:noProof/>
              </w:rPr>
              <w:fldChar w:fldCharType="begin"/>
            </w:r>
            <w:r>
              <w:rPr>
                <w:noProof/>
              </w:rPr>
              <w:instrText xml:space="preserve"> PAGEREF _Toc100069 \h </w:instrText>
            </w:r>
            <w:r>
              <w:rPr>
                <w:noProof/>
              </w:rPr>
            </w:r>
            <w:r>
              <w:rPr>
                <w:noProof/>
              </w:rPr>
              <w:fldChar w:fldCharType="separate"/>
            </w:r>
            <w:r>
              <w:rPr>
                <w:noProof/>
              </w:rPr>
              <w:t>32</w:t>
            </w:r>
            <w:r>
              <w:rPr>
                <w:noProof/>
              </w:rPr>
              <w:fldChar w:fldCharType="end"/>
            </w:r>
          </w:hyperlink>
        </w:p>
        <w:p w14:paraId="228C9E77" w14:textId="77777777" w:rsidR="005E30F4" w:rsidRDefault="004976D6">
          <w:pPr>
            <w:pStyle w:val="TOC2"/>
            <w:spacing w:before="120" w:after="60"/>
            <w:rPr>
              <w:noProof/>
            </w:rPr>
          </w:pPr>
          <w:hyperlink w:anchor="_Toc100070" w:history="1">
            <w:r>
              <w:rPr>
                <w:rStyle w:val="Hyperlink"/>
                <w:noProof/>
              </w:rPr>
              <w:t>10.3 Levelized Cost of Energy</w:t>
            </w:r>
            <w:r>
              <w:rPr>
                <w:noProof/>
              </w:rPr>
              <w:tab/>
            </w:r>
            <w:r>
              <w:rPr>
                <w:noProof/>
              </w:rPr>
              <w:fldChar w:fldCharType="begin"/>
            </w:r>
            <w:r>
              <w:rPr>
                <w:noProof/>
              </w:rPr>
              <w:instrText xml:space="preserve"> PAGEREF _Toc100070 \h </w:instrText>
            </w:r>
            <w:r>
              <w:rPr>
                <w:noProof/>
              </w:rPr>
            </w:r>
            <w:r>
              <w:rPr>
                <w:noProof/>
              </w:rPr>
              <w:fldChar w:fldCharType="separate"/>
            </w:r>
            <w:r>
              <w:rPr>
                <w:noProof/>
              </w:rPr>
              <w:t>32</w:t>
            </w:r>
            <w:r>
              <w:rPr>
                <w:noProof/>
              </w:rPr>
              <w:fldChar w:fldCharType="end"/>
            </w:r>
          </w:hyperlink>
        </w:p>
        <w:p w14:paraId="07A80650" w14:textId="77777777" w:rsidR="005E30F4" w:rsidRDefault="004976D6">
          <w:pPr>
            <w:pStyle w:val="TOC2"/>
            <w:spacing w:before="120" w:after="60"/>
            <w:rPr>
              <w:noProof/>
            </w:rPr>
          </w:pPr>
          <w:hyperlink w:anchor="_Toc100071" w:history="1">
            <w:r>
              <w:rPr>
                <w:rStyle w:val="Hyperlink"/>
                <w:noProof/>
              </w:rPr>
              <w:t>10.4 Power Purchase Agreements</w:t>
            </w:r>
            <w:r>
              <w:rPr>
                <w:noProof/>
              </w:rPr>
              <w:tab/>
            </w:r>
            <w:r>
              <w:rPr>
                <w:noProof/>
              </w:rPr>
              <w:fldChar w:fldCharType="begin"/>
            </w:r>
            <w:r>
              <w:rPr>
                <w:noProof/>
              </w:rPr>
              <w:instrText xml:space="preserve"> PAGEREF _Toc100071 \h </w:instrText>
            </w:r>
            <w:r>
              <w:rPr>
                <w:noProof/>
              </w:rPr>
            </w:r>
            <w:r>
              <w:rPr>
                <w:noProof/>
              </w:rPr>
              <w:fldChar w:fldCharType="separate"/>
            </w:r>
            <w:r>
              <w:rPr>
                <w:noProof/>
              </w:rPr>
              <w:t>33</w:t>
            </w:r>
            <w:r>
              <w:rPr>
                <w:noProof/>
              </w:rPr>
              <w:fldChar w:fldCharType="end"/>
            </w:r>
          </w:hyperlink>
        </w:p>
        <w:p w14:paraId="5406DEB0" w14:textId="77777777" w:rsidR="005E30F4" w:rsidRDefault="004976D6">
          <w:pPr>
            <w:pStyle w:val="TOC2"/>
            <w:spacing w:before="120" w:after="60"/>
            <w:rPr>
              <w:noProof/>
            </w:rPr>
          </w:pPr>
          <w:hyperlink w:anchor="_Toc100072" w:history="1">
            <w:r>
              <w:rPr>
                <w:rStyle w:val="Hyperlink"/>
                <w:noProof/>
              </w:rPr>
              <w:t>10.5 Tax Credits and Incentives</w:t>
            </w:r>
            <w:r>
              <w:rPr>
                <w:noProof/>
              </w:rPr>
              <w:tab/>
            </w:r>
            <w:r>
              <w:rPr>
                <w:noProof/>
              </w:rPr>
              <w:fldChar w:fldCharType="begin"/>
            </w:r>
            <w:r>
              <w:rPr>
                <w:noProof/>
              </w:rPr>
              <w:instrText xml:space="preserve"> PAGEREF _Toc100072 \h </w:instrText>
            </w:r>
            <w:r>
              <w:rPr>
                <w:noProof/>
              </w:rPr>
            </w:r>
            <w:r>
              <w:rPr>
                <w:noProof/>
              </w:rPr>
              <w:fldChar w:fldCharType="separate"/>
            </w:r>
            <w:r>
              <w:rPr>
                <w:noProof/>
              </w:rPr>
              <w:t>33</w:t>
            </w:r>
            <w:r>
              <w:rPr>
                <w:noProof/>
              </w:rPr>
              <w:fldChar w:fldCharType="end"/>
            </w:r>
          </w:hyperlink>
        </w:p>
        <w:p w14:paraId="2699E58C" w14:textId="77777777" w:rsidR="005E30F4" w:rsidRDefault="004976D6">
          <w:pPr>
            <w:pStyle w:val="TOC2"/>
            <w:spacing w:before="120" w:after="60"/>
            <w:rPr>
              <w:noProof/>
            </w:rPr>
          </w:pPr>
          <w:hyperlink w:anchor="_Toc100073" w:history="1">
            <w:r>
              <w:rPr>
                <w:rStyle w:val="Hyperlink"/>
                <w:noProof/>
              </w:rPr>
              <w:t>10.6 Financial Modeling: NPV and IRR</w:t>
            </w:r>
            <w:r>
              <w:rPr>
                <w:noProof/>
              </w:rPr>
              <w:tab/>
            </w:r>
            <w:r>
              <w:rPr>
                <w:noProof/>
              </w:rPr>
              <w:fldChar w:fldCharType="begin"/>
            </w:r>
            <w:r>
              <w:rPr>
                <w:noProof/>
              </w:rPr>
              <w:instrText xml:space="preserve"> PAGEREF _Toc100073 \h </w:instrText>
            </w:r>
            <w:r>
              <w:rPr>
                <w:noProof/>
              </w:rPr>
            </w:r>
            <w:r>
              <w:rPr>
                <w:noProof/>
              </w:rPr>
              <w:fldChar w:fldCharType="separate"/>
            </w:r>
            <w:r>
              <w:rPr>
                <w:noProof/>
              </w:rPr>
              <w:t>34</w:t>
            </w:r>
            <w:r>
              <w:rPr>
                <w:noProof/>
              </w:rPr>
              <w:fldChar w:fldCharType="end"/>
            </w:r>
          </w:hyperlink>
        </w:p>
        <w:p w14:paraId="7907FD01" w14:textId="77777777" w:rsidR="005E30F4" w:rsidRDefault="004976D6">
          <w:pPr>
            <w:pStyle w:val="TOC2"/>
            <w:spacing w:before="120" w:after="60"/>
            <w:rPr>
              <w:noProof/>
            </w:rPr>
          </w:pPr>
          <w:hyperlink w:anchor="_Toc100074" w:history="1">
            <w:r>
              <w:rPr>
                <w:rStyle w:val="Hyperlink"/>
                <w:noProof/>
              </w:rPr>
              <w:t>10.7 Business Case Summary</w:t>
            </w:r>
            <w:r>
              <w:rPr>
                <w:noProof/>
              </w:rPr>
              <w:tab/>
            </w:r>
            <w:r>
              <w:rPr>
                <w:noProof/>
              </w:rPr>
              <w:fldChar w:fldCharType="begin"/>
            </w:r>
            <w:r>
              <w:rPr>
                <w:noProof/>
              </w:rPr>
              <w:instrText xml:space="preserve"> PAGEREF _Toc100074 \h </w:instrText>
            </w:r>
            <w:r>
              <w:rPr>
                <w:noProof/>
              </w:rPr>
            </w:r>
            <w:r>
              <w:rPr>
                <w:noProof/>
              </w:rPr>
              <w:fldChar w:fldCharType="separate"/>
            </w:r>
            <w:r>
              <w:rPr>
                <w:noProof/>
              </w:rPr>
              <w:t>34</w:t>
            </w:r>
            <w:r>
              <w:rPr>
                <w:noProof/>
              </w:rPr>
              <w:fldChar w:fldCharType="end"/>
            </w:r>
          </w:hyperlink>
        </w:p>
        <w:p w14:paraId="428204B3" w14:textId="77777777" w:rsidR="005E30F4" w:rsidRDefault="004976D6">
          <w:pPr>
            <w:pStyle w:val="TOC1"/>
            <w:rPr>
              <w:noProof/>
            </w:rPr>
          </w:pPr>
          <w:hyperlink w:anchor="_Toc100075" w:history="1">
            <w:r>
              <w:rPr>
                <w:rStyle w:val="Hyperlink"/>
                <w:noProof/>
              </w:rPr>
              <w:t>11. Operational Strategies and Demand-Side Integration</w:t>
            </w:r>
            <w:r>
              <w:rPr>
                <w:noProof/>
              </w:rPr>
              <w:tab/>
            </w:r>
            <w:r>
              <w:rPr>
                <w:noProof/>
              </w:rPr>
              <w:fldChar w:fldCharType="begin"/>
            </w:r>
            <w:r>
              <w:rPr>
                <w:noProof/>
              </w:rPr>
              <w:instrText xml:space="preserve"> PAGEREF _Toc100075 \h </w:instrText>
            </w:r>
            <w:r>
              <w:rPr>
                <w:noProof/>
              </w:rPr>
            </w:r>
            <w:r>
              <w:rPr>
                <w:noProof/>
              </w:rPr>
              <w:fldChar w:fldCharType="separate"/>
            </w:r>
            <w:r>
              <w:rPr>
                <w:noProof/>
              </w:rPr>
              <w:t>35</w:t>
            </w:r>
            <w:r>
              <w:rPr>
                <w:noProof/>
              </w:rPr>
              <w:fldChar w:fldCharType="end"/>
            </w:r>
          </w:hyperlink>
        </w:p>
        <w:p w14:paraId="10FB3241" w14:textId="77777777" w:rsidR="005E30F4" w:rsidRDefault="004976D6">
          <w:pPr>
            <w:pStyle w:val="TOC2"/>
            <w:spacing w:before="120" w:after="60"/>
            <w:rPr>
              <w:noProof/>
            </w:rPr>
          </w:pPr>
          <w:hyperlink w:anchor="_Toc100076" w:history="1">
            <w:r>
              <w:rPr>
                <w:rStyle w:val="Hyperlink"/>
                <w:noProof/>
              </w:rPr>
              <w:t>11.1 Renewable Forecasting and Uncertainty</w:t>
            </w:r>
            <w:r>
              <w:rPr>
                <w:noProof/>
              </w:rPr>
              <w:tab/>
            </w:r>
            <w:r>
              <w:rPr>
                <w:noProof/>
              </w:rPr>
              <w:fldChar w:fldCharType="begin"/>
            </w:r>
            <w:r>
              <w:rPr>
                <w:noProof/>
              </w:rPr>
              <w:instrText xml:space="preserve"> PAGEREF _Toc100076 \h </w:instrText>
            </w:r>
            <w:r>
              <w:rPr>
                <w:noProof/>
              </w:rPr>
            </w:r>
            <w:r>
              <w:rPr>
                <w:noProof/>
              </w:rPr>
              <w:fldChar w:fldCharType="separate"/>
            </w:r>
            <w:r>
              <w:rPr>
                <w:noProof/>
              </w:rPr>
              <w:t>35</w:t>
            </w:r>
            <w:r>
              <w:rPr>
                <w:noProof/>
              </w:rPr>
              <w:fldChar w:fldCharType="end"/>
            </w:r>
          </w:hyperlink>
        </w:p>
        <w:p w14:paraId="0FC39852" w14:textId="77777777" w:rsidR="005E30F4" w:rsidRDefault="004976D6">
          <w:pPr>
            <w:pStyle w:val="TOC2"/>
            <w:spacing w:before="120" w:after="60"/>
            <w:rPr>
              <w:noProof/>
            </w:rPr>
          </w:pPr>
          <w:hyperlink w:anchor="_Toc100077" w:history="1">
            <w:r>
              <w:rPr>
                <w:rStyle w:val="Hyperlink"/>
                <w:noProof/>
              </w:rPr>
              <w:t>11.2 AI Workload Scheduling and Load Shifting</w:t>
            </w:r>
            <w:r>
              <w:rPr>
                <w:noProof/>
              </w:rPr>
              <w:tab/>
            </w:r>
            <w:r>
              <w:rPr>
                <w:noProof/>
              </w:rPr>
              <w:fldChar w:fldCharType="begin"/>
            </w:r>
            <w:r>
              <w:rPr>
                <w:noProof/>
              </w:rPr>
              <w:instrText xml:space="preserve"> PAGEREF _Toc100077 \h </w:instrText>
            </w:r>
            <w:r>
              <w:rPr>
                <w:noProof/>
              </w:rPr>
            </w:r>
            <w:r>
              <w:rPr>
                <w:noProof/>
              </w:rPr>
              <w:fldChar w:fldCharType="separate"/>
            </w:r>
            <w:r>
              <w:rPr>
                <w:noProof/>
              </w:rPr>
              <w:t>35</w:t>
            </w:r>
            <w:r>
              <w:rPr>
                <w:noProof/>
              </w:rPr>
              <w:fldChar w:fldCharType="end"/>
            </w:r>
          </w:hyperlink>
        </w:p>
        <w:p w14:paraId="5DB737D0" w14:textId="77777777" w:rsidR="005E30F4" w:rsidRDefault="004976D6">
          <w:pPr>
            <w:pStyle w:val="TOC2"/>
            <w:spacing w:before="120" w:after="60"/>
            <w:rPr>
              <w:noProof/>
            </w:rPr>
          </w:pPr>
          <w:hyperlink w:anchor="_Toc100078" w:history="1">
            <w:r>
              <w:rPr>
                <w:rStyle w:val="Hyperlink"/>
                <w:noProof/>
              </w:rPr>
              <w:t>11.3 Multi-Facility Load Balancing and Geographic Diversity</w:t>
            </w:r>
            <w:r>
              <w:rPr>
                <w:noProof/>
              </w:rPr>
              <w:tab/>
            </w:r>
            <w:r>
              <w:rPr>
                <w:noProof/>
              </w:rPr>
              <w:fldChar w:fldCharType="begin"/>
            </w:r>
            <w:r>
              <w:rPr>
                <w:noProof/>
              </w:rPr>
              <w:instrText xml:space="preserve"> PAGEREF _Toc100078 \h </w:instrText>
            </w:r>
            <w:r>
              <w:rPr>
                <w:noProof/>
              </w:rPr>
            </w:r>
            <w:r>
              <w:rPr>
                <w:noProof/>
              </w:rPr>
              <w:fldChar w:fldCharType="separate"/>
            </w:r>
            <w:r>
              <w:rPr>
                <w:noProof/>
              </w:rPr>
              <w:t>36</w:t>
            </w:r>
            <w:r>
              <w:rPr>
                <w:noProof/>
              </w:rPr>
              <w:fldChar w:fldCharType="end"/>
            </w:r>
          </w:hyperlink>
        </w:p>
        <w:p w14:paraId="58E4FEFA" w14:textId="77777777" w:rsidR="005E30F4" w:rsidRDefault="004976D6">
          <w:pPr>
            <w:pStyle w:val="TOC2"/>
            <w:spacing w:before="120" w:after="60"/>
            <w:rPr>
              <w:noProof/>
            </w:rPr>
          </w:pPr>
          <w:hyperlink w:anchor="_Toc100079" w:history="1">
            <w:r>
              <w:rPr>
                <w:rStyle w:val="Hyperlink"/>
                <w:noProof/>
              </w:rPr>
              <w:t>11.4 Real-Time Demand Response and Grid Services</w:t>
            </w:r>
            <w:r>
              <w:rPr>
                <w:noProof/>
              </w:rPr>
              <w:tab/>
            </w:r>
            <w:r>
              <w:rPr>
                <w:noProof/>
              </w:rPr>
              <w:fldChar w:fldCharType="begin"/>
            </w:r>
            <w:r>
              <w:rPr>
                <w:noProof/>
              </w:rPr>
              <w:instrText xml:space="preserve"> PAGEREF _Toc100079 \h </w:instrText>
            </w:r>
            <w:r>
              <w:rPr>
                <w:noProof/>
              </w:rPr>
            </w:r>
            <w:r>
              <w:rPr>
                <w:noProof/>
              </w:rPr>
              <w:fldChar w:fldCharType="separate"/>
            </w:r>
            <w:r>
              <w:rPr>
                <w:noProof/>
              </w:rPr>
              <w:t>36</w:t>
            </w:r>
            <w:r>
              <w:rPr>
                <w:noProof/>
              </w:rPr>
              <w:fldChar w:fldCharType="end"/>
            </w:r>
          </w:hyperlink>
        </w:p>
        <w:p w14:paraId="6416A38C" w14:textId="77777777" w:rsidR="005E30F4" w:rsidRDefault="004976D6">
          <w:pPr>
            <w:pStyle w:val="TOC2"/>
            <w:spacing w:before="120" w:after="60"/>
            <w:rPr>
              <w:noProof/>
            </w:rPr>
          </w:pPr>
          <w:hyperlink w:anchor="_Toc100080" w:history="1">
            <w:r>
              <w:rPr>
                <w:rStyle w:val="Hyperlink"/>
                <w:noProof/>
              </w:rPr>
              <w:t>11.5 Energy Management System and Control Architecture</w:t>
            </w:r>
            <w:r>
              <w:rPr>
                <w:noProof/>
              </w:rPr>
              <w:tab/>
            </w:r>
            <w:r>
              <w:rPr>
                <w:noProof/>
              </w:rPr>
              <w:fldChar w:fldCharType="begin"/>
            </w:r>
            <w:r>
              <w:rPr>
                <w:noProof/>
              </w:rPr>
              <w:instrText xml:space="preserve"> PAGEREF _Toc100080 \h </w:instrText>
            </w:r>
            <w:r>
              <w:rPr>
                <w:noProof/>
              </w:rPr>
            </w:r>
            <w:r>
              <w:rPr>
                <w:noProof/>
              </w:rPr>
              <w:fldChar w:fldCharType="separate"/>
            </w:r>
            <w:r>
              <w:rPr>
                <w:noProof/>
              </w:rPr>
              <w:t>37</w:t>
            </w:r>
            <w:r>
              <w:rPr>
                <w:noProof/>
              </w:rPr>
              <w:fldChar w:fldCharType="end"/>
            </w:r>
          </w:hyperlink>
        </w:p>
        <w:p w14:paraId="538D0CD2" w14:textId="77777777" w:rsidR="005E30F4" w:rsidRDefault="004976D6">
          <w:pPr>
            <w:pStyle w:val="TOC2"/>
            <w:spacing w:before="120" w:after="60"/>
            <w:rPr>
              <w:noProof/>
            </w:rPr>
          </w:pPr>
          <w:hyperlink w:anchor="_Toc100081" w:history="1">
            <w:r>
              <w:rPr>
                <w:rStyle w:val="Hyperlink"/>
                <w:noProof/>
              </w:rPr>
              <w:t>11.6 Cooling and Thermal Management Integration</w:t>
            </w:r>
            <w:r>
              <w:rPr>
                <w:noProof/>
              </w:rPr>
              <w:tab/>
            </w:r>
            <w:r>
              <w:rPr>
                <w:noProof/>
              </w:rPr>
              <w:fldChar w:fldCharType="begin"/>
            </w:r>
            <w:r>
              <w:rPr>
                <w:noProof/>
              </w:rPr>
              <w:instrText xml:space="preserve"> PAGEREF _Toc100081 \h </w:instrText>
            </w:r>
            <w:r>
              <w:rPr>
                <w:noProof/>
              </w:rPr>
            </w:r>
            <w:r>
              <w:rPr>
                <w:noProof/>
              </w:rPr>
              <w:fldChar w:fldCharType="separate"/>
            </w:r>
            <w:r>
              <w:rPr>
                <w:noProof/>
              </w:rPr>
              <w:t>37</w:t>
            </w:r>
            <w:r>
              <w:rPr>
                <w:noProof/>
              </w:rPr>
              <w:fldChar w:fldCharType="end"/>
            </w:r>
          </w:hyperlink>
        </w:p>
        <w:p w14:paraId="6531C1C2" w14:textId="77777777" w:rsidR="005E30F4" w:rsidRDefault="004976D6">
          <w:pPr>
            <w:pStyle w:val="TOC1"/>
            <w:rPr>
              <w:noProof/>
            </w:rPr>
          </w:pPr>
          <w:hyperlink w:anchor="_Toc100082" w:history="1">
            <w:r>
              <w:rPr>
                <w:rStyle w:val="Hyperlink"/>
                <w:noProof/>
              </w:rPr>
              <w:t>12. Regulatory, Policy, and Sustainability</w:t>
            </w:r>
            <w:r>
              <w:rPr>
                <w:noProof/>
              </w:rPr>
              <w:tab/>
            </w:r>
            <w:r>
              <w:rPr>
                <w:noProof/>
              </w:rPr>
              <w:fldChar w:fldCharType="begin"/>
            </w:r>
            <w:r>
              <w:rPr>
                <w:noProof/>
              </w:rPr>
              <w:instrText xml:space="preserve"> PAGEREF _Toc100082 \h </w:instrText>
            </w:r>
            <w:r>
              <w:rPr>
                <w:noProof/>
              </w:rPr>
            </w:r>
            <w:r>
              <w:rPr>
                <w:noProof/>
              </w:rPr>
              <w:fldChar w:fldCharType="separate"/>
            </w:r>
            <w:r>
              <w:rPr>
                <w:noProof/>
              </w:rPr>
              <w:t>37</w:t>
            </w:r>
            <w:r>
              <w:rPr>
                <w:noProof/>
              </w:rPr>
              <w:fldChar w:fldCharType="end"/>
            </w:r>
          </w:hyperlink>
        </w:p>
        <w:p w14:paraId="40E317C7" w14:textId="77777777" w:rsidR="005E30F4" w:rsidRDefault="004976D6">
          <w:pPr>
            <w:pStyle w:val="TOC2"/>
            <w:spacing w:before="120" w:after="60"/>
            <w:rPr>
              <w:noProof/>
            </w:rPr>
          </w:pPr>
          <w:hyperlink w:anchor="_Toc100083" w:history="1">
            <w:r>
              <w:rPr>
                <w:rStyle w:val="Hyperlink"/>
                <w:noProof/>
              </w:rPr>
              <w:t>12.1 Grid Interconnection Standards</w:t>
            </w:r>
            <w:r>
              <w:rPr>
                <w:noProof/>
              </w:rPr>
              <w:tab/>
            </w:r>
            <w:r>
              <w:rPr>
                <w:noProof/>
              </w:rPr>
              <w:fldChar w:fldCharType="begin"/>
            </w:r>
            <w:r>
              <w:rPr>
                <w:noProof/>
              </w:rPr>
              <w:instrText xml:space="preserve"> PAGEREF _Toc100083 \h </w:instrText>
            </w:r>
            <w:r>
              <w:rPr>
                <w:noProof/>
              </w:rPr>
            </w:r>
            <w:r>
              <w:rPr>
                <w:noProof/>
              </w:rPr>
              <w:fldChar w:fldCharType="separate"/>
            </w:r>
            <w:r>
              <w:rPr>
                <w:noProof/>
              </w:rPr>
              <w:t>38</w:t>
            </w:r>
            <w:r>
              <w:rPr>
                <w:noProof/>
              </w:rPr>
              <w:fldChar w:fldCharType="end"/>
            </w:r>
          </w:hyperlink>
        </w:p>
        <w:p w14:paraId="63140123" w14:textId="77777777" w:rsidR="005E30F4" w:rsidRDefault="004976D6">
          <w:pPr>
            <w:pStyle w:val="TOC2"/>
            <w:spacing w:before="120" w:after="60"/>
            <w:rPr>
              <w:noProof/>
            </w:rPr>
          </w:pPr>
          <w:hyperlink w:anchor="_Toc100084" w:history="1">
            <w:r>
              <w:rPr>
                <w:rStyle w:val="Hyperlink"/>
                <w:noProof/>
              </w:rPr>
              <w:t>12.2 Renewable Energy Policies and Mandates</w:t>
            </w:r>
            <w:r>
              <w:rPr>
                <w:noProof/>
              </w:rPr>
              <w:tab/>
            </w:r>
            <w:r>
              <w:rPr>
                <w:noProof/>
              </w:rPr>
              <w:fldChar w:fldCharType="begin"/>
            </w:r>
            <w:r>
              <w:rPr>
                <w:noProof/>
              </w:rPr>
              <w:instrText xml:space="preserve"> PAGEREF _Toc100084 \h </w:instrText>
            </w:r>
            <w:r>
              <w:rPr>
                <w:noProof/>
              </w:rPr>
            </w:r>
            <w:r>
              <w:rPr>
                <w:noProof/>
              </w:rPr>
              <w:fldChar w:fldCharType="separate"/>
            </w:r>
            <w:r>
              <w:rPr>
                <w:noProof/>
              </w:rPr>
              <w:t>38</w:t>
            </w:r>
            <w:r>
              <w:rPr>
                <w:noProof/>
              </w:rPr>
              <w:fldChar w:fldCharType="end"/>
            </w:r>
          </w:hyperlink>
        </w:p>
        <w:p w14:paraId="117C7F5F" w14:textId="77777777" w:rsidR="005E30F4" w:rsidRDefault="004976D6">
          <w:pPr>
            <w:pStyle w:val="TOC2"/>
            <w:spacing w:before="120" w:after="60"/>
            <w:rPr>
              <w:noProof/>
            </w:rPr>
          </w:pPr>
          <w:hyperlink w:anchor="_Toc100085" w:history="1">
            <w:r>
              <w:rPr>
                <w:rStyle w:val="Hyperlink"/>
                <w:noProof/>
              </w:rPr>
              <w:t>12.3 Carbon Accounting and Environmental Reporting</w:t>
            </w:r>
            <w:r>
              <w:rPr>
                <w:noProof/>
              </w:rPr>
              <w:tab/>
            </w:r>
            <w:r>
              <w:rPr>
                <w:noProof/>
              </w:rPr>
              <w:fldChar w:fldCharType="begin"/>
            </w:r>
            <w:r>
              <w:rPr>
                <w:noProof/>
              </w:rPr>
              <w:instrText xml:space="preserve"> PAGEREF _Toc100085 \h </w:instrText>
            </w:r>
            <w:r>
              <w:rPr>
                <w:noProof/>
              </w:rPr>
            </w:r>
            <w:r>
              <w:rPr>
                <w:noProof/>
              </w:rPr>
              <w:fldChar w:fldCharType="separate"/>
            </w:r>
            <w:r>
              <w:rPr>
                <w:noProof/>
              </w:rPr>
              <w:t>38</w:t>
            </w:r>
            <w:r>
              <w:rPr>
                <w:noProof/>
              </w:rPr>
              <w:fldChar w:fldCharType="end"/>
            </w:r>
          </w:hyperlink>
        </w:p>
        <w:p w14:paraId="702F2950" w14:textId="77777777" w:rsidR="005E30F4" w:rsidRDefault="004976D6">
          <w:pPr>
            <w:pStyle w:val="TOC2"/>
            <w:spacing w:before="120" w:after="60"/>
            <w:rPr>
              <w:noProof/>
            </w:rPr>
          </w:pPr>
          <w:hyperlink w:anchor="_Toc100086" w:history="1">
            <w:r>
              <w:rPr>
                <w:rStyle w:val="Hyperlink"/>
                <w:noProof/>
              </w:rPr>
              <w:t>12.4 Environmental Impact Assessment</w:t>
            </w:r>
            <w:r>
              <w:rPr>
                <w:noProof/>
              </w:rPr>
              <w:tab/>
            </w:r>
            <w:r>
              <w:rPr>
                <w:noProof/>
              </w:rPr>
              <w:fldChar w:fldCharType="begin"/>
            </w:r>
            <w:r>
              <w:rPr>
                <w:noProof/>
              </w:rPr>
              <w:instrText xml:space="preserve"> PAGEREF _Toc100086 \h </w:instrText>
            </w:r>
            <w:r>
              <w:rPr>
                <w:noProof/>
              </w:rPr>
            </w:r>
            <w:r>
              <w:rPr>
                <w:noProof/>
              </w:rPr>
              <w:fldChar w:fldCharType="separate"/>
            </w:r>
            <w:r>
              <w:rPr>
                <w:noProof/>
              </w:rPr>
              <w:t>39</w:t>
            </w:r>
            <w:r>
              <w:rPr>
                <w:noProof/>
              </w:rPr>
              <w:fldChar w:fldCharType="end"/>
            </w:r>
          </w:hyperlink>
        </w:p>
        <w:p w14:paraId="5C50DF0B" w14:textId="77777777" w:rsidR="005E30F4" w:rsidRDefault="004976D6">
          <w:pPr>
            <w:pStyle w:val="TOC2"/>
            <w:spacing w:before="120" w:after="60"/>
            <w:rPr>
              <w:noProof/>
            </w:rPr>
          </w:pPr>
          <w:hyperlink w:anchor="_Toc100087" w:history="1">
            <w:r>
              <w:rPr>
                <w:rStyle w:val="Hyperlink"/>
                <w:noProof/>
              </w:rPr>
              <w:t>12.5 Regulatory Barriers and Opportunities</w:t>
            </w:r>
            <w:r>
              <w:rPr>
                <w:noProof/>
              </w:rPr>
              <w:tab/>
            </w:r>
            <w:r>
              <w:rPr>
                <w:noProof/>
              </w:rPr>
              <w:fldChar w:fldCharType="begin"/>
            </w:r>
            <w:r>
              <w:rPr>
                <w:noProof/>
              </w:rPr>
              <w:instrText xml:space="preserve"> PAGEREF _Toc100087 \h </w:instrText>
            </w:r>
            <w:r>
              <w:rPr>
                <w:noProof/>
              </w:rPr>
            </w:r>
            <w:r>
              <w:rPr>
                <w:noProof/>
              </w:rPr>
              <w:fldChar w:fldCharType="separate"/>
            </w:r>
            <w:r>
              <w:rPr>
                <w:noProof/>
              </w:rPr>
              <w:t>39</w:t>
            </w:r>
            <w:r>
              <w:rPr>
                <w:noProof/>
              </w:rPr>
              <w:fldChar w:fldCharType="end"/>
            </w:r>
          </w:hyperlink>
        </w:p>
        <w:p w14:paraId="258981F0" w14:textId="77777777" w:rsidR="005E30F4" w:rsidRDefault="004976D6">
          <w:pPr>
            <w:pStyle w:val="TOC2"/>
            <w:spacing w:before="120" w:after="60"/>
            <w:rPr>
              <w:noProof/>
            </w:rPr>
          </w:pPr>
          <w:hyperlink w:anchor="_Toc100088" w:history="1">
            <w:r>
              <w:rPr>
                <w:rStyle w:val="Hyperlink"/>
                <w:noProof/>
              </w:rPr>
              <w:t>12.6 Sustainability Certifications and Reporting</w:t>
            </w:r>
            <w:r>
              <w:rPr>
                <w:noProof/>
              </w:rPr>
              <w:tab/>
            </w:r>
            <w:r>
              <w:rPr>
                <w:noProof/>
              </w:rPr>
              <w:fldChar w:fldCharType="begin"/>
            </w:r>
            <w:r>
              <w:rPr>
                <w:noProof/>
              </w:rPr>
              <w:instrText xml:space="preserve"> PAGEREF _Toc100088 \h </w:instrText>
            </w:r>
            <w:r>
              <w:rPr>
                <w:noProof/>
              </w:rPr>
            </w:r>
            <w:r>
              <w:rPr>
                <w:noProof/>
              </w:rPr>
              <w:fldChar w:fldCharType="separate"/>
            </w:r>
            <w:r>
              <w:rPr>
                <w:noProof/>
              </w:rPr>
              <w:t>39</w:t>
            </w:r>
            <w:r>
              <w:rPr>
                <w:noProof/>
              </w:rPr>
              <w:fldChar w:fldCharType="end"/>
            </w:r>
          </w:hyperlink>
        </w:p>
        <w:p w14:paraId="274A9EF8" w14:textId="77777777" w:rsidR="005E30F4" w:rsidRDefault="004976D6">
          <w:pPr>
            <w:pStyle w:val="TOC1"/>
            <w:rPr>
              <w:noProof/>
            </w:rPr>
          </w:pPr>
          <w:hyperlink w:anchor="_Toc100089" w:history="1">
            <w:r>
              <w:rPr>
                <w:rStyle w:val="Hyperlink"/>
                <w:noProof/>
              </w:rPr>
              <w:t>13. Future Research Directions and Emerging Technologies</w:t>
            </w:r>
            <w:r>
              <w:rPr>
                <w:noProof/>
              </w:rPr>
              <w:tab/>
            </w:r>
            <w:r>
              <w:rPr>
                <w:noProof/>
              </w:rPr>
              <w:fldChar w:fldCharType="begin"/>
            </w:r>
            <w:r>
              <w:rPr>
                <w:noProof/>
              </w:rPr>
              <w:instrText xml:space="preserve"> PAGEREF _Toc100089 \h </w:instrText>
            </w:r>
            <w:r>
              <w:rPr>
                <w:noProof/>
              </w:rPr>
            </w:r>
            <w:r>
              <w:rPr>
                <w:noProof/>
              </w:rPr>
              <w:fldChar w:fldCharType="separate"/>
            </w:r>
            <w:r>
              <w:rPr>
                <w:noProof/>
              </w:rPr>
              <w:t>40</w:t>
            </w:r>
            <w:r>
              <w:rPr>
                <w:noProof/>
              </w:rPr>
              <w:fldChar w:fldCharType="end"/>
            </w:r>
          </w:hyperlink>
        </w:p>
        <w:p w14:paraId="74C14E35" w14:textId="77777777" w:rsidR="005E30F4" w:rsidRDefault="004976D6">
          <w:pPr>
            <w:pStyle w:val="TOC2"/>
            <w:spacing w:before="120" w:after="60"/>
            <w:rPr>
              <w:noProof/>
            </w:rPr>
          </w:pPr>
          <w:hyperlink w:anchor="_Toc100090" w:history="1">
            <w:r>
              <w:rPr>
                <w:rStyle w:val="Hyperlink"/>
                <w:noProof/>
              </w:rPr>
              <w:t>13.1 Next-Generation Computing Paradigms</w:t>
            </w:r>
            <w:r>
              <w:rPr>
                <w:noProof/>
              </w:rPr>
              <w:tab/>
            </w:r>
            <w:r>
              <w:rPr>
                <w:noProof/>
              </w:rPr>
              <w:fldChar w:fldCharType="begin"/>
            </w:r>
            <w:r>
              <w:rPr>
                <w:noProof/>
              </w:rPr>
              <w:instrText xml:space="preserve"> PAGEREF _Toc100090 \h </w:instrText>
            </w:r>
            <w:r>
              <w:rPr>
                <w:noProof/>
              </w:rPr>
            </w:r>
            <w:r>
              <w:rPr>
                <w:noProof/>
              </w:rPr>
              <w:fldChar w:fldCharType="separate"/>
            </w:r>
            <w:r>
              <w:rPr>
                <w:noProof/>
              </w:rPr>
              <w:t>40</w:t>
            </w:r>
            <w:r>
              <w:rPr>
                <w:noProof/>
              </w:rPr>
              <w:fldChar w:fldCharType="end"/>
            </w:r>
          </w:hyperlink>
        </w:p>
        <w:p w14:paraId="36E23759" w14:textId="77777777" w:rsidR="005E30F4" w:rsidRDefault="004976D6">
          <w:pPr>
            <w:pStyle w:val="TOC2"/>
            <w:spacing w:before="120" w:after="60"/>
            <w:rPr>
              <w:noProof/>
            </w:rPr>
          </w:pPr>
          <w:hyperlink w:anchor="_Toc100091" w:history="1">
            <w:r>
              <w:rPr>
                <w:rStyle w:val="Hyperlink"/>
                <w:noProof/>
              </w:rPr>
              <w:t>13.2 Advanced Energy Storage Technologies</w:t>
            </w:r>
            <w:r>
              <w:rPr>
                <w:noProof/>
              </w:rPr>
              <w:tab/>
            </w:r>
            <w:r>
              <w:rPr>
                <w:noProof/>
              </w:rPr>
              <w:fldChar w:fldCharType="begin"/>
            </w:r>
            <w:r>
              <w:rPr>
                <w:noProof/>
              </w:rPr>
              <w:instrText xml:space="preserve"> PAGEREF _Toc100091 \h </w:instrText>
            </w:r>
            <w:r>
              <w:rPr>
                <w:noProof/>
              </w:rPr>
            </w:r>
            <w:r>
              <w:rPr>
                <w:noProof/>
              </w:rPr>
              <w:fldChar w:fldCharType="separate"/>
            </w:r>
            <w:r>
              <w:rPr>
                <w:noProof/>
              </w:rPr>
              <w:t>40</w:t>
            </w:r>
            <w:r>
              <w:rPr>
                <w:noProof/>
              </w:rPr>
              <w:fldChar w:fldCharType="end"/>
            </w:r>
          </w:hyperlink>
        </w:p>
        <w:p w14:paraId="1F7220FC" w14:textId="77777777" w:rsidR="005E30F4" w:rsidRDefault="004976D6">
          <w:pPr>
            <w:pStyle w:val="TOC2"/>
            <w:spacing w:before="120" w:after="60"/>
            <w:rPr>
              <w:noProof/>
            </w:rPr>
          </w:pPr>
          <w:hyperlink w:anchor="_Toc100092" w:history="1">
            <w:r>
              <w:rPr>
                <w:rStyle w:val="Hyperlink"/>
                <w:noProof/>
              </w:rPr>
              <w:t>13.3 AI and Machine Learning for Grid Optimization</w:t>
            </w:r>
            <w:r>
              <w:rPr>
                <w:noProof/>
              </w:rPr>
              <w:tab/>
            </w:r>
            <w:r>
              <w:rPr>
                <w:noProof/>
              </w:rPr>
              <w:fldChar w:fldCharType="begin"/>
            </w:r>
            <w:r>
              <w:rPr>
                <w:noProof/>
              </w:rPr>
              <w:instrText xml:space="preserve"> PAGEREF _Toc100092 \h </w:instrText>
            </w:r>
            <w:r>
              <w:rPr>
                <w:noProof/>
              </w:rPr>
            </w:r>
            <w:r>
              <w:rPr>
                <w:noProof/>
              </w:rPr>
              <w:fldChar w:fldCharType="separate"/>
            </w:r>
            <w:r>
              <w:rPr>
                <w:noProof/>
              </w:rPr>
              <w:t>41</w:t>
            </w:r>
            <w:r>
              <w:rPr>
                <w:noProof/>
              </w:rPr>
              <w:fldChar w:fldCharType="end"/>
            </w:r>
          </w:hyperlink>
        </w:p>
        <w:p w14:paraId="78681A3E" w14:textId="77777777" w:rsidR="005E30F4" w:rsidRDefault="004976D6">
          <w:pPr>
            <w:pStyle w:val="TOC2"/>
            <w:spacing w:before="120" w:after="60"/>
            <w:rPr>
              <w:noProof/>
            </w:rPr>
          </w:pPr>
          <w:hyperlink w:anchor="_Toc100093" w:history="1">
            <w:r>
              <w:rPr>
                <w:rStyle w:val="Hyperlink"/>
                <w:noProof/>
              </w:rPr>
              <w:t>13.4 100 Percent Renewable Grid Challenges</w:t>
            </w:r>
            <w:r>
              <w:rPr>
                <w:noProof/>
              </w:rPr>
              <w:tab/>
            </w:r>
            <w:r>
              <w:rPr>
                <w:noProof/>
              </w:rPr>
              <w:fldChar w:fldCharType="begin"/>
            </w:r>
            <w:r>
              <w:rPr>
                <w:noProof/>
              </w:rPr>
              <w:instrText xml:space="preserve"> PAGEREF _Toc100093 \h </w:instrText>
            </w:r>
            <w:r>
              <w:rPr>
                <w:noProof/>
              </w:rPr>
            </w:r>
            <w:r>
              <w:rPr>
                <w:noProof/>
              </w:rPr>
              <w:fldChar w:fldCharType="separate"/>
            </w:r>
            <w:r>
              <w:rPr>
                <w:noProof/>
              </w:rPr>
              <w:t>41</w:t>
            </w:r>
            <w:r>
              <w:rPr>
                <w:noProof/>
              </w:rPr>
              <w:fldChar w:fldCharType="end"/>
            </w:r>
          </w:hyperlink>
        </w:p>
        <w:p w14:paraId="4CC3AD4A" w14:textId="77777777" w:rsidR="005E30F4" w:rsidRDefault="004976D6">
          <w:pPr>
            <w:pStyle w:val="TOC2"/>
            <w:spacing w:before="120" w:after="60"/>
            <w:rPr>
              <w:noProof/>
            </w:rPr>
          </w:pPr>
          <w:hyperlink w:anchor="_Toc100094" w:history="1">
            <w:r>
              <w:rPr>
                <w:rStyle w:val="Hyperlink"/>
                <w:noProof/>
              </w:rPr>
              <w:t>13.5 Integration with Grid Modernization</w:t>
            </w:r>
            <w:r>
              <w:rPr>
                <w:noProof/>
              </w:rPr>
              <w:tab/>
            </w:r>
            <w:r>
              <w:rPr>
                <w:noProof/>
              </w:rPr>
              <w:fldChar w:fldCharType="begin"/>
            </w:r>
            <w:r>
              <w:rPr>
                <w:noProof/>
              </w:rPr>
              <w:instrText xml:space="preserve"> PAGEREF _Toc100094 \h </w:instrText>
            </w:r>
            <w:r>
              <w:rPr>
                <w:noProof/>
              </w:rPr>
            </w:r>
            <w:r>
              <w:rPr>
                <w:noProof/>
              </w:rPr>
              <w:fldChar w:fldCharType="separate"/>
            </w:r>
            <w:r>
              <w:rPr>
                <w:noProof/>
              </w:rPr>
              <w:t>41</w:t>
            </w:r>
            <w:r>
              <w:rPr>
                <w:noProof/>
              </w:rPr>
              <w:fldChar w:fldCharType="end"/>
            </w:r>
          </w:hyperlink>
        </w:p>
        <w:p w14:paraId="09DBD7F6" w14:textId="77777777" w:rsidR="005E30F4" w:rsidRDefault="004976D6">
          <w:pPr>
            <w:pStyle w:val="TOC2"/>
            <w:spacing w:before="120" w:after="60"/>
            <w:rPr>
              <w:noProof/>
            </w:rPr>
          </w:pPr>
          <w:hyperlink w:anchor="_Toc100095" w:history="1">
            <w:r>
              <w:rPr>
                <w:rStyle w:val="Hyperlink"/>
                <w:noProof/>
              </w:rPr>
              <w:t>13.6 Recommendations for Future Research</w:t>
            </w:r>
            <w:r>
              <w:rPr>
                <w:noProof/>
              </w:rPr>
              <w:tab/>
            </w:r>
            <w:r>
              <w:rPr>
                <w:noProof/>
              </w:rPr>
              <w:fldChar w:fldCharType="begin"/>
            </w:r>
            <w:r>
              <w:rPr>
                <w:noProof/>
              </w:rPr>
              <w:instrText xml:space="preserve"> PAGEREF _Toc100095 \h </w:instrText>
            </w:r>
            <w:r>
              <w:rPr>
                <w:noProof/>
              </w:rPr>
            </w:r>
            <w:r>
              <w:rPr>
                <w:noProof/>
              </w:rPr>
              <w:fldChar w:fldCharType="separate"/>
            </w:r>
            <w:r>
              <w:rPr>
                <w:noProof/>
              </w:rPr>
              <w:t>42</w:t>
            </w:r>
            <w:r>
              <w:rPr>
                <w:noProof/>
              </w:rPr>
              <w:fldChar w:fldCharType="end"/>
            </w:r>
          </w:hyperlink>
        </w:p>
        <w:p w14:paraId="51F8B74E" w14:textId="77777777" w:rsidR="005E30F4" w:rsidRDefault="004976D6">
          <w:pPr>
            <w:pStyle w:val="TOC1"/>
            <w:rPr>
              <w:noProof/>
            </w:rPr>
          </w:pPr>
          <w:hyperlink w:anchor="_Toc100096" w:history="1">
            <w:r>
              <w:rPr>
                <w:rStyle w:val="Hyperlink"/>
                <w:noProof/>
              </w:rPr>
              <w:t>14. Conclusion and Synthesis</w:t>
            </w:r>
            <w:r>
              <w:rPr>
                <w:noProof/>
              </w:rPr>
              <w:tab/>
            </w:r>
            <w:r>
              <w:rPr>
                <w:noProof/>
              </w:rPr>
              <w:fldChar w:fldCharType="begin"/>
            </w:r>
            <w:r>
              <w:rPr>
                <w:noProof/>
              </w:rPr>
              <w:instrText xml:space="preserve"> PAGEREF _Toc100096 \h </w:instrText>
            </w:r>
            <w:r>
              <w:rPr>
                <w:noProof/>
              </w:rPr>
            </w:r>
            <w:r>
              <w:rPr>
                <w:noProof/>
              </w:rPr>
              <w:fldChar w:fldCharType="separate"/>
            </w:r>
            <w:r>
              <w:rPr>
                <w:noProof/>
              </w:rPr>
              <w:t>42</w:t>
            </w:r>
            <w:r>
              <w:rPr>
                <w:noProof/>
              </w:rPr>
              <w:fldChar w:fldCharType="end"/>
            </w:r>
          </w:hyperlink>
        </w:p>
        <w:p w14:paraId="4D9D1B5A" w14:textId="77777777" w:rsidR="005E30F4" w:rsidRDefault="004976D6">
          <w:pPr>
            <w:pStyle w:val="TOC2"/>
            <w:spacing w:before="120" w:after="60"/>
            <w:rPr>
              <w:noProof/>
            </w:rPr>
          </w:pPr>
          <w:hyperlink w:anchor="_Toc100097" w:history="1">
            <w:r>
              <w:rPr>
                <w:rStyle w:val="Hyperlink"/>
                <w:noProof/>
              </w:rPr>
              <w:t>14.1 Key Findings</w:t>
            </w:r>
            <w:r>
              <w:rPr>
                <w:noProof/>
              </w:rPr>
              <w:tab/>
            </w:r>
            <w:r>
              <w:rPr>
                <w:noProof/>
              </w:rPr>
              <w:fldChar w:fldCharType="begin"/>
            </w:r>
            <w:r>
              <w:rPr>
                <w:noProof/>
              </w:rPr>
              <w:instrText xml:space="preserve"> PAGEREF _Toc100097 \h </w:instrText>
            </w:r>
            <w:r>
              <w:rPr>
                <w:noProof/>
              </w:rPr>
            </w:r>
            <w:r>
              <w:rPr>
                <w:noProof/>
              </w:rPr>
              <w:fldChar w:fldCharType="separate"/>
            </w:r>
            <w:r>
              <w:rPr>
                <w:noProof/>
              </w:rPr>
              <w:t>42</w:t>
            </w:r>
            <w:r>
              <w:rPr>
                <w:noProof/>
              </w:rPr>
              <w:fldChar w:fldCharType="end"/>
            </w:r>
          </w:hyperlink>
        </w:p>
        <w:p w14:paraId="1F2F3ABE" w14:textId="77777777" w:rsidR="005E30F4" w:rsidRDefault="004976D6">
          <w:pPr>
            <w:pStyle w:val="TOC2"/>
            <w:spacing w:before="120" w:after="60"/>
            <w:rPr>
              <w:noProof/>
            </w:rPr>
          </w:pPr>
          <w:hyperlink w:anchor="_Toc100098" w:history="1">
            <w:r>
              <w:rPr>
                <w:rStyle w:val="Hyperlink"/>
                <w:noProof/>
              </w:rPr>
              <w:t>14.2 Framework Summary and Validation</w:t>
            </w:r>
            <w:r>
              <w:rPr>
                <w:noProof/>
              </w:rPr>
              <w:tab/>
            </w:r>
            <w:r>
              <w:rPr>
                <w:noProof/>
              </w:rPr>
              <w:fldChar w:fldCharType="begin"/>
            </w:r>
            <w:r>
              <w:rPr>
                <w:noProof/>
              </w:rPr>
              <w:instrText xml:space="preserve"> PAGEREF _Toc100098 \h </w:instrText>
            </w:r>
            <w:r>
              <w:rPr>
                <w:noProof/>
              </w:rPr>
            </w:r>
            <w:r>
              <w:rPr>
                <w:noProof/>
              </w:rPr>
              <w:fldChar w:fldCharType="separate"/>
            </w:r>
            <w:r>
              <w:rPr>
                <w:noProof/>
              </w:rPr>
              <w:t>43</w:t>
            </w:r>
            <w:r>
              <w:rPr>
                <w:noProof/>
              </w:rPr>
              <w:fldChar w:fldCharType="end"/>
            </w:r>
          </w:hyperlink>
        </w:p>
        <w:p w14:paraId="71ED45D7" w14:textId="77777777" w:rsidR="005E30F4" w:rsidRDefault="004976D6">
          <w:pPr>
            <w:pStyle w:val="TOC2"/>
            <w:spacing w:before="120" w:after="60"/>
            <w:rPr>
              <w:noProof/>
            </w:rPr>
          </w:pPr>
          <w:hyperlink w:anchor="_Toc100099" w:history="1">
            <w:r>
              <w:rPr>
                <w:rStyle w:val="Hyperlink"/>
                <w:noProof/>
              </w:rPr>
              <w:t>14.3 Comparative Advantages</w:t>
            </w:r>
            <w:r>
              <w:rPr>
                <w:noProof/>
              </w:rPr>
              <w:tab/>
            </w:r>
            <w:r>
              <w:rPr>
                <w:noProof/>
              </w:rPr>
              <w:fldChar w:fldCharType="begin"/>
            </w:r>
            <w:r>
              <w:rPr>
                <w:noProof/>
              </w:rPr>
              <w:instrText xml:space="preserve"> PAGEREF _Toc100099 \h </w:instrText>
            </w:r>
            <w:r>
              <w:rPr>
                <w:noProof/>
              </w:rPr>
            </w:r>
            <w:r>
              <w:rPr>
                <w:noProof/>
              </w:rPr>
              <w:fldChar w:fldCharType="separate"/>
            </w:r>
            <w:r>
              <w:rPr>
                <w:noProof/>
              </w:rPr>
              <w:t>43</w:t>
            </w:r>
            <w:r>
              <w:rPr>
                <w:noProof/>
              </w:rPr>
              <w:fldChar w:fldCharType="end"/>
            </w:r>
          </w:hyperlink>
        </w:p>
        <w:p w14:paraId="369D3980" w14:textId="77777777" w:rsidR="005E30F4" w:rsidRDefault="004976D6">
          <w:pPr>
            <w:pStyle w:val="TOC2"/>
            <w:spacing w:before="120" w:after="60"/>
            <w:rPr>
              <w:noProof/>
            </w:rPr>
          </w:pPr>
          <w:hyperlink w:anchor="_Toc100100" w:history="1">
            <w:r>
              <w:rPr>
                <w:rStyle w:val="Hyperlink"/>
                <w:noProof/>
              </w:rPr>
              <w:t>14.4 Implementation Pathway and Timeline</w:t>
            </w:r>
            <w:r>
              <w:rPr>
                <w:noProof/>
              </w:rPr>
              <w:tab/>
            </w:r>
            <w:r>
              <w:rPr>
                <w:noProof/>
              </w:rPr>
              <w:fldChar w:fldCharType="begin"/>
            </w:r>
            <w:r>
              <w:rPr>
                <w:noProof/>
              </w:rPr>
              <w:instrText xml:space="preserve"> PAGEREF _Toc100100 \h </w:instrText>
            </w:r>
            <w:r>
              <w:rPr>
                <w:noProof/>
              </w:rPr>
            </w:r>
            <w:r>
              <w:rPr>
                <w:noProof/>
              </w:rPr>
              <w:fldChar w:fldCharType="separate"/>
            </w:r>
            <w:r>
              <w:rPr>
                <w:noProof/>
              </w:rPr>
              <w:t>43</w:t>
            </w:r>
            <w:r>
              <w:rPr>
                <w:noProof/>
              </w:rPr>
              <w:fldChar w:fldCharType="end"/>
            </w:r>
          </w:hyperlink>
        </w:p>
        <w:p w14:paraId="48B3A8A9" w14:textId="77777777" w:rsidR="005E30F4" w:rsidRDefault="004976D6">
          <w:pPr>
            <w:pStyle w:val="TOC2"/>
            <w:spacing w:before="120" w:after="60"/>
            <w:rPr>
              <w:noProof/>
            </w:rPr>
          </w:pPr>
          <w:hyperlink w:anchor="_Toc100101" w:history="1">
            <w:r>
              <w:rPr>
                <w:rStyle w:val="Hyperlink"/>
                <w:noProof/>
              </w:rPr>
              <w:t>14.5 Stakeholder Recommendations</w:t>
            </w:r>
            <w:r>
              <w:rPr>
                <w:noProof/>
              </w:rPr>
              <w:tab/>
            </w:r>
            <w:r>
              <w:rPr>
                <w:noProof/>
              </w:rPr>
              <w:fldChar w:fldCharType="begin"/>
            </w:r>
            <w:r>
              <w:rPr>
                <w:noProof/>
              </w:rPr>
              <w:instrText xml:space="preserve"> PAGEREF _Toc100101 \h </w:instrText>
            </w:r>
            <w:r>
              <w:rPr>
                <w:noProof/>
              </w:rPr>
            </w:r>
            <w:r>
              <w:rPr>
                <w:noProof/>
              </w:rPr>
              <w:fldChar w:fldCharType="separate"/>
            </w:r>
            <w:r>
              <w:rPr>
                <w:noProof/>
              </w:rPr>
              <w:t>44</w:t>
            </w:r>
            <w:r>
              <w:rPr>
                <w:noProof/>
              </w:rPr>
              <w:fldChar w:fldCharType="end"/>
            </w:r>
          </w:hyperlink>
        </w:p>
        <w:p w14:paraId="2F5A27F9" w14:textId="77777777" w:rsidR="005E30F4" w:rsidRDefault="004976D6">
          <w:pPr>
            <w:pStyle w:val="TOC2"/>
            <w:spacing w:before="120" w:after="60"/>
            <w:rPr>
              <w:noProof/>
            </w:rPr>
          </w:pPr>
          <w:hyperlink w:anchor="_Toc100102" w:history="1">
            <w:r>
              <w:rPr>
                <w:rStyle w:val="Hyperlink"/>
                <w:noProof/>
              </w:rPr>
              <w:t>14.6 Vision for 2035-2045</w:t>
            </w:r>
            <w:r>
              <w:rPr>
                <w:noProof/>
              </w:rPr>
              <w:tab/>
            </w:r>
            <w:r>
              <w:rPr>
                <w:noProof/>
              </w:rPr>
              <w:fldChar w:fldCharType="begin"/>
            </w:r>
            <w:r>
              <w:rPr>
                <w:noProof/>
              </w:rPr>
              <w:instrText xml:space="preserve"> PAGEREF _Toc100102 \h </w:instrText>
            </w:r>
            <w:r>
              <w:rPr>
                <w:noProof/>
              </w:rPr>
            </w:r>
            <w:r>
              <w:rPr>
                <w:noProof/>
              </w:rPr>
              <w:fldChar w:fldCharType="separate"/>
            </w:r>
            <w:r>
              <w:rPr>
                <w:noProof/>
              </w:rPr>
              <w:t>44</w:t>
            </w:r>
            <w:r>
              <w:rPr>
                <w:noProof/>
              </w:rPr>
              <w:fldChar w:fldCharType="end"/>
            </w:r>
          </w:hyperlink>
        </w:p>
        <w:p w14:paraId="30BC475C" w14:textId="77777777" w:rsidR="005E30F4" w:rsidRDefault="004976D6">
          <w:pPr>
            <w:pStyle w:val="TOC1"/>
            <w:rPr>
              <w:noProof/>
            </w:rPr>
          </w:pPr>
          <w:hyperlink w:anchor="_Toc100103" w:history="1">
            <w:r>
              <w:rPr>
                <w:rStyle w:val="Hyperlink"/>
                <w:noProof/>
              </w:rPr>
              <w:t>References</w:t>
            </w:r>
            <w:r>
              <w:rPr>
                <w:noProof/>
              </w:rPr>
              <w:tab/>
            </w:r>
            <w:r>
              <w:rPr>
                <w:noProof/>
              </w:rPr>
              <w:fldChar w:fldCharType="begin"/>
            </w:r>
            <w:r>
              <w:rPr>
                <w:noProof/>
              </w:rPr>
              <w:instrText xml:space="preserve"> PAGEREF _Toc100103 \h </w:instrText>
            </w:r>
            <w:r>
              <w:rPr>
                <w:noProof/>
              </w:rPr>
            </w:r>
            <w:r>
              <w:rPr>
                <w:noProof/>
              </w:rPr>
              <w:fldChar w:fldCharType="separate"/>
            </w:r>
            <w:r>
              <w:rPr>
                <w:noProof/>
              </w:rPr>
              <w:t>44</w:t>
            </w:r>
            <w:r>
              <w:rPr>
                <w:noProof/>
              </w:rPr>
              <w:fldChar w:fldCharType="end"/>
            </w:r>
          </w:hyperlink>
        </w:p>
        <w:p w14:paraId="420A6E56" w14:textId="77777777" w:rsidR="005E30F4" w:rsidRDefault="004976D6">
          <w:r>
            <w:fldChar w:fldCharType="end"/>
          </w:r>
        </w:p>
      </w:sdtContent>
    </w:sdt>
    <w:p w14:paraId="2537B1E2" w14:textId="77777777" w:rsidR="005E30F4" w:rsidRDefault="004976D6">
      <w:pPr>
        <w:spacing w:before="200" w:after="200"/>
        <w:jc w:val="center"/>
      </w:pPr>
      <w:r>
        <w:rPr>
          <w:i/>
          <w:iCs/>
          <w:color w:val="999999"/>
          <w:sz w:val="18"/>
          <w:szCs w:val="18"/>
        </w:rPr>
        <w:t>[Note: Right-click Table of Contents and select 'Update Field' to refresh page numbers after opening in Word]</w:t>
      </w:r>
    </w:p>
    <w:p w14:paraId="64B0005E" w14:textId="77777777" w:rsidR="005E30F4" w:rsidRDefault="004976D6">
      <w:r>
        <w:br w:type="page"/>
      </w:r>
    </w:p>
    <w:p w14:paraId="4F0B0B1C" w14:textId="77777777" w:rsidR="005E30F4" w:rsidRDefault="005E30F4">
      <w:pPr>
        <w:sectPr w:rsidR="005E30F4">
          <w:headerReference w:type="default" r:id="rId7"/>
          <w:footerReference w:type="default" r:id="rId8"/>
          <w:footerReference w:type="first" r:id="rId9"/>
          <w:pgSz w:w="11906" w:h="16838"/>
          <w:pgMar w:top="1440" w:right="1417" w:bottom="1440" w:left="1701" w:header="708" w:footer="708" w:gutter="0"/>
          <w:cols w:space="720"/>
          <w:titlePg/>
          <w:docGrid w:linePitch="360"/>
        </w:sectPr>
      </w:pPr>
    </w:p>
    <w:p w14:paraId="75B61FC3" w14:textId="77777777" w:rsidR="005E30F4" w:rsidRDefault="004976D6">
      <w:pPr>
        <w:pStyle w:val="Heading1"/>
        <w:keepNext/>
      </w:pPr>
      <w:bookmarkStart w:id="2" w:name="_Toc100002"/>
      <w:r>
        <w:lastRenderedPageBreak/>
        <w:t>1. Introduction</w:t>
      </w:r>
      <w:bookmarkEnd w:id="2"/>
    </w:p>
    <w:p w14:paraId="66ED7FF0" w14:textId="77777777" w:rsidR="005E30F4" w:rsidRDefault="004976D6">
      <w:pPr>
        <w:pStyle w:val="Heading2"/>
        <w:keepNext/>
      </w:pPr>
      <w:bookmarkStart w:id="3" w:name="_Toc100003"/>
      <w:r>
        <w:t>1.1 Global Data Center Energy Consumption and AI Workload Growth</w:t>
      </w:r>
      <w:bookmarkEnd w:id="3"/>
    </w:p>
    <w:p w14:paraId="4051FD05" w14:textId="77777777" w:rsidR="005E30F4" w:rsidRDefault="004976D6">
      <w:pPr>
        <w:spacing w:after="120"/>
        <w:ind w:firstLine="480"/>
        <w:jc w:val="both"/>
      </w:pPr>
      <w:r>
        <w:t>The global digital infrastructure has undergone a transformative evolution over the past decade, driven primarily by the explosive growth of artificial intelligence applications. Data centers, which form the backbone of this infrastructure, consumed approximately 415 TWh of electricity in 2024, representing roughly 1.5 percent of global electricity demand [1], [2]. The International Energy Agency (IEA) projects that this consumption could reach 945 TWh by 2030 under current growth trajectories, driven predominantly by AI training and inference workloads [3]. This dramatic increase, equivalent to adding the electricity consumption of a country the size of Japan to the global grid within six years, underscores the urgency of developing sustainable energy strategies for data center operations.</w:t>
      </w:r>
    </w:p>
    <w:p w14:paraId="246472B3" w14:textId="77777777" w:rsidR="005E30F4" w:rsidRDefault="004976D6">
      <w:pPr>
        <w:spacing w:after="120"/>
        <w:ind w:firstLine="480"/>
        <w:jc w:val="both"/>
      </w:pPr>
      <w:r>
        <w:t xml:space="preserve">The energy footprint of individual AI models illustrates the scale of this challenge. Training GPT-3, a 175-billion-parameter language model developed by OpenAI, consumed approximately 1,287 MWh of electricity and produced an estimated 552 tonnes of CO2 equivalent emissions [4], [5]. The subsequent GPT-4 model, with substantially more parameters, likely required even greater energy expenditure, though precise figures remain proprietary. BLOOM, a 176-billion-parameter open-source model, consumed approximately 433 MWh during its training phase [6]. These figures represent single training events; the total energy consumed by ongoing inference operations serving billions of user queries annually far exceeds training energy costs. Research by Li (2023) estimates that each GPT-3 inference query consumes approximately 2.9 </w:t>
      </w:r>
      <w:proofErr w:type="spellStart"/>
      <w:r>
        <w:t>Wh</w:t>
      </w:r>
      <w:proofErr w:type="spellEnd"/>
      <w:r>
        <w:t>, and with millions of daily queries, the cumulative energy demand becomes substantial [7].</w:t>
      </w:r>
    </w:p>
    <w:p w14:paraId="3C90F440" w14:textId="77777777" w:rsidR="005E30F4" w:rsidRDefault="004976D6">
      <w:pPr>
        <w:spacing w:after="120"/>
        <w:ind w:firstLine="480"/>
        <w:jc w:val="both"/>
      </w:pPr>
      <w:r>
        <w:t>The Goldman Sachs Research division has projected that AI will drive a 165 percent increase in data center power demand by 2030, representing one of the most significant inflection points in electricity demand growth since the electrification of industry [8]. The Uptime Institute's 2024 Global Data Center Survey reported that the average Power Usage Effectiveness (PUE) across surveyed facilities remained at 1.56, a figure that has shown negligible improvement over the past five years, indicating persistent inefficiencies in data center operations [9]. Meanwhile, AI-specific accelerators such as the NVIDIA H100 GPU, with a thermal design power (TDP) of up to 700 watts per unit, are pushing compute density to levels that challenge conventional cooling and power delivery architectures [10].</w:t>
      </w:r>
    </w:p>
    <w:p w14:paraId="1FF71012" w14:textId="77777777" w:rsidR="005E30F4" w:rsidRDefault="004976D6">
      <w:pPr>
        <w:keepNext/>
        <w:spacing w:before="200" w:after="100"/>
        <w:jc w:val="center"/>
      </w:pPr>
      <w:r>
        <w:rPr>
          <w:noProof/>
        </w:rPr>
        <w:lastRenderedPageBreak/>
        <w:drawing>
          <wp:inline distT="0" distB="0" distL="0" distR="0" wp14:anchorId="459C9FC4" wp14:editId="24A9EBA3">
            <wp:extent cx="43815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743200"/>
                    </a:xfrm>
                    <a:prstGeom prst="rect">
                      <a:avLst/>
                    </a:prstGeom>
                  </pic:spPr>
                </pic:pic>
              </a:graphicData>
            </a:graphic>
          </wp:inline>
        </w:drawing>
      </w:r>
    </w:p>
    <w:p w14:paraId="64304DB1" w14:textId="77777777" w:rsidR="005E30F4" w:rsidRDefault="004976D6">
      <w:pPr>
        <w:spacing w:after="200"/>
        <w:jc w:val="center"/>
      </w:pPr>
      <w:r>
        <w:rPr>
          <w:i/>
          <w:iCs/>
          <w:color w:val="333333"/>
          <w:sz w:val="20"/>
          <w:szCs w:val="20"/>
        </w:rPr>
        <w:t>Fig. 1. Global data center electricity consumption and projections (2015-2030). Source: IEA, 2025 [1], [3].</w:t>
      </w:r>
    </w:p>
    <w:p w14:paraId="2C216042" w14:textId="77777777" w:rsidR="005E30F4" w:rsidRDefault="004976D6">
      <w:pPr>
        <w:pStyle w:val="Heading2"/>
        <w:keepNext/>
      </w:pPr>
      <w:bookmarkStart w:id="4" w:name="_Toc100004"/>
      <w:r>
        <w:t>1.2 The Renewable Energy Imperative</w:t>
      </w:r>
      <w:bookmarkEnd w:id="4"/>
    </w:p>
    <w:p w14:paraId="17769F78" w14:textId="77777777" w:rsidR="005E30F4" w:rsidRDefault="004976D6">
      <w:pPr>
        <w:spacing w:after="120"/>
        <w:ind w:firstLine="480"/>
        <w:jc w:val="both"/>
      </w:pPr>
      <w:r>
        <w:t>The integration of renewable energy sources into data center power systems is driven by three converging imperatives: climate commitments, favorable cost trends, and increasing technical feasibility. Under the Paris Agreement, over 130 countries have committed to net-zero emissions by 2050, and the information technology sector has emerged as a critical focus area for decarbonization efforts [11]. Major technology companies, including Google, Microsoft, and Meta, have pledged to achieve 24/7 carbon-free energy (CFE) operations by 2030, a standard that requires matching every hour of electricity consumption with clean generation, rather than relying on annual renewable energy certificate (REC) accounting [12].</w:t>
      </w:r>
    </w:p>
    <w:p w14:paraId="3CD069C1" w14:textId="77777777" w:rsidR="005E30F4" w:rsidRDefault="004976D6">
      <w:pPr>
        <w:spacing w:after="120"/>
        <w:ind w:firstLine="480"/>
        <w:jc w:val="both"/>
      </w:pPr>
      <w:r>
        <w:t xml:space="preserve">The cost trajectory of renewable energy technologies has fundamentally altered the economic calculus for data center power procurement. Solar photovoltaic module prices have declined by over 90 percent since 2010, reaching approximately $0.15 to $0.25 per watt for commercial-grade modules in 2024, with total installed system costs for utility-scale ground-mounted arrays ranging from $0.75 to $1.40 per watt [13], [14]. Wind energy has followed a parallel trajectory, with onshore wind achieving capacity factors of 25 to 40 percent and levelized costs of electricity (LCOE) of $25 to $45 per MWh, making it one of the most cost-competitive generation sources globally [15], [16]. Battery energy storage systems have experienced dramatic cost reductions, with lithium-ion pack prices falling from $300 per kWh in 2020 to $108 per kWh in 2025, according to </w:t>
      </w:r>
      <w:proofErr w:type="spellStart"/>
      <w:r>
        <w:t>BloombergNEF's</w:t>
      </w:r>
      <w:proofErr w:type="spellEnd"/>
      <w:r>
        <w:t xml:space="preserve"> annual survey [17].</w:t>
      </w:r>
    </w:p>
    <w:p w14:paraId="2275DC91" w14:textId="77777777" w:rsidR="005E30F4" w:rsidRDefault="004976D6">
      <w:pPr>
        <w:spacing w:after="120"/>
        <w:ind w:firstLine="480"/>
        <w:jc w:val="both"/>
      </w:pPr>
      <w:r>
        <w:t xml:space="preserve">Technical feasibility has improved substantially through advances in inverter technology, grid-forming control algorithms, and sophisticated energy management </w:t>
      </w:r>
      <w:r>
        <w:lastRenderedPageBreak/>
        <w:t>systems. Grid-forming inverters can now provide synthetic inertia, voltage support, and frequency regulation capabilities that were previously exclusive to synchronous generators, enabling higher penetration levels of variable renewable energy without compromising grid stability [18]. Simultaneously, the emergence of sophisticated load management techniques, including AI workload scheduling and demand response participation, provides new mechanisms for balancing supply and demand in real-time [19].</w:t>
      </w:r>
    </w:p>
    <w:p w14:paraId="1E9B7D25" w14:textId="77777777" w:rsidR="005E30F4" w:rsidRDefault="004976D6">
      <w:pPr>
        <w:pStyle w:val="Heading2"/>
        <w:keepNext/>
      </w:pPr>
      <w:bookmarkStart w:id="5" w:name="_Toc100005"/>
      <w:r>
        <w:t>1.3 Core Challenges in Renewable Integration</w:t>
      </w:r>
      <w:bookmarkEnd w:id="5"/>
    </w:p>
    <w:p w14:paraId="4E1CBF72" w14:textId="77777777" w:rsidR="005E30F4" w:rsidRDefault="004976D6">
      <w:pPr>
        <w:spacing w:after="120"/>
        <w:ind w:firstLine="480"/>
        <w:jc w:val="both"/>
      </w:pPr>
      <w:r>
        <w:t>Despite favorable economic and technological trends, significant challenges remain in achieving reliable, renewable-powered data center operations. The fundamental challenge of intermittency, inherent to solar and wind generation, creates mismatches between supply availability and demand that must be managed through a combination of energy storage, demand flexibility, and grid interconnection [20]. Cloud cover can reduce solar output by 60 to 90 percent within minutes, while wind generation can fluctuate by 30 to 50 percent over hourly timescales [21]. These variability patterns require storage systems capable of bridging gaps ranging from minutes to days, depending on the specific resource profile and load requirements.</w:t>
      </w:r>
    </w:p>
    <w:p w14:paraId="3FE94B6F" w14:textId="77777777" w:rsidR="005E30F4" w:rsidRDefault="004976D6">
      <w:pPr>
        <w:spacing w:after="120"/>
        <w:ind w:firstLine="480"/>
        <w:jc w:val="both"/>
      </w:pPr>
      <w:r>
        <w:t>Power quality presents another critical concern. Data center loads, particularly computing equipment using switched-mode power supplies (SMPS), generate significant harmonic distortion. The proliferation of nonlinear loads, including variable frequency drives (VFDs) for cooling systems and LED lighting, exacerbates total harmonic distortion (THD) levels, which must be maintained below 5 percent per IEEE 519 standards [22]. The addition of inverter-based renewable energy sources introduces additional harmonic sources, requiring careful design of filtering and power conditioning systems to maintain compliance with power quality standards.</w:t>
      </w:r>
    </w:p>
    <w:p w14:paraId="73FFC50D" w14:textId="77777777" w:rsidR="005E30F4" w:rsidRDefault="004976D6">
      <w:pPr>
        <w:spacing w:after="120"/>
        <w:ind w:firstLine="480"/>
        <w:jc w:val="both"/>
      </w:pPr>
      <w:r>
        <w:t>Grid interconnection complexity constitutes a formidable barrier to deployment. In congested grid regions such as those managed by CAISO and PJM in the United States, interconnection queues have expanded to three to five years, with study costs ranging from $50,000 to $500,000 and required grid upgrades potentially exceeding $10 million [23]. FERC Order 2023, finalized in July 2023, aims to address these bottlenecks through standardized procedures and timelines for inverter-based resource interconnection, but full implementation will require several years [24].</w:t>
      </w:r>
    </w:p>
    <w:p w14:paraId="36377ADC" w14:textId="77777777" w:rsidR="005E30F4" w:rsidRDefault="004976D6">
      <w:pPr>
        <w:pStyle w:val="Heading2"/>
        <w:keepNext/>
      </w:pPr>
      <w:bookmarkStart w:id="6" w:name="_Toc100006"/>
      <w:r>
        <w:t>1.4 Research Gap and Thesis Statement</w:t>
      </w:r>
      <w:bookmarkEnd w:id="6"/>
    </w:p>
    <w:p w14:paraId="09711C92" w14:textId="77777777" w:rsidR="005E30F4" w:rsidRDefault="004976D6">
      <w:pPr>
        <w:spacing w:after="120"/>
        <w:ind w:firstLine="480"/>
        <w:jc w:val="both"/>
      </w:pPr>
      <w:r>
        <w:t xml:space="preserve">While existing literature addresses individual components of renewable energy integration, such as specific storage technologies, grid interconnection standards, or corporate procurement strategies, a significant gap exists in comprehensive frameworks that </w:t>
      </w:r>
      <w:r>
        <w:lastRenderedPageBreak/>
        <w:t>integrate all dimensions of renewable-powered data center design and operation. Most published work focuses on either the technical aspects of power systems or the economic dimensions of energy procurement, without providing a holistic framework that addresses both simultaneously [25]. Furthermore, the rapid evolution of AI workload characteristics, including the shift toward increasingly power-dense accelerators, requires updated analysis that reflects current hardware capabilities and their implications for infrastructure design [26].</w:t>
      </w:r>
    </w:p>
    <w:p w14:paraId="5361CDED" w14:textId="77777777" w:rsidR="005E30F4" w:rsidRDefault="004976D6">
      <w:pPr>
        <w:spacing w:after="120"/>
        <w:ind w:firstLine="480"/>
        <w:jc w:val="both"/>
      </w:pPr>
      <w:r>
        <w:t>This paper addresses this gap by proposing and validating a comprehensive, seven-component framework for designing, deploying, and operating renewable-powered AI data centers. The framework encompasses: (1) site assessment and resource evaluation, (2) technology mix optimization, (3) electrical architecture and integration design, (4) hierarchical control and dispatch strategies, (5) demand-side workload flexibility, (6) economic viability modeling, and (7) resilience and sustainability compliance. The central thesis posits that hybrid systems combining renewable generation, energy storage, grid interconnection, and demand-side flexibility can achieve economically viable, highly reliable, and environmentally sustainable AI data center operations across diverse geographic and climatic conditions.</w:t>
      </w:r>
    </w:p>
    <w:p w14:paraId="6A25E279" w14:textId="77777777" w:rsidR="005E30F4" w:rsidRDefault="004976D6">
      <w:pPr>
        <w:spacing w:after="120"/>
        <w:ind w:firstLine="480"/>
        <w:jc w:val="both"/>
      </w:pPr>
      <w:r>
        <w:t>The remainder of this paper is organized as follows: Chapter 2 provides a comprehensive literature review of the state of the art; Chapter 3 establishes the electrical fundamentals; Chapters 4 and 5 characterize renewable resources and energy storage technologies; Chapter 6 addresses power system modeling and simulation; Chapter 7 presents the core framework; Chapters 8 through 10 examine case studies, technical challenges, and economic analysis; Chapters 11 and 12 cover operational strategies and regulatory considerations; Chapter 13 identifies future research directions; and Chapter 14 synthesizes conclusions and recommendations.</w:t>
      </w:r>
    </w:p>
    <w:p w14:paraId="4A6E32F1" w14:textId="77777777" w:rsidR="005E30F4" w:rsidRDefault="004976D6">
      <w:pPr>
        <w:pStyle w:val="Heading1"/>
        <w:keepNext/>
      </w:pPr>
      <w:bookmarkStart w:id="7" w:name="_Toc100007"/>
      <w:r>
        <w:t>2. Literature Review and State-of-the-Art</w:t>
      </w:r>
      <w:bookmarkEnd w:id="7"/>
    </w:p>
    <w:p w14:paraId="00A5327A" w14:textId="77777777" w:rsidR="005E30F4" w:rsidRDefault="004976D6">
      <w:pPr>
        <w:spacing w:after="120"/>
        <w:ind w:firstLine="480"/>
        <w:jc w:val="both"/>
      </w:pPr>
      <w:r>
        <w:t>This chapter synthesizes the existing body of knowledge across five domains critical to renewable-powered AI data centers: data center power consumption, renewable energy technologies, energy storage systems, microgrid and grid integration, and industry case studies. The review draws upon over 160 sources published between 2015 and 2025, with emphasis on the most recent and impactful contributions.</w:t>
      </w:r>
    </w:p>
    <w:p w14:paraId="5C8E2D83" w14:textId="77777777" w:rsidR="005E30F4" w:rsidRDefault="004976D6">
      <w:pPr>
        <w:pStyle w:val="Heading2"/>
        <w:keepNext/>
      </w:pPr>
      <w:bookmarkStart w:id="8" w:name="_Toc100008"/>
      <w:r>
        <w:t>2.1 AI Data Center Power Consumption</w:t>
      </w:r>
      <w:bookmarkEnd w:id="8"/>
    </w:p>
    <w:p w14:paraId="5574E776" w14:textId="77777777" w:rsidR="005E30F4" w:rsidRDefault="004976D6">
      <w:pPr>
        <w:spacing w:after="120"/>
        <w:ind w:firstLine="480"/>
        <w:jc w:val="both"/>
      </w:pPr>
      <w:r>
        <w:t xml:space="preserve">The power consumption characteristics of AI data centers differ fundamentally from traditional enterprise facilities due to the concentrated, high-intensity nature of GPU and TPU workloads. Modern AI accelerators, exemplified by the NVIDIA H100 Tensor Core </w:t>
      </w:r>
      <w:r>
        <w:lastRenderedPageBreak/>
        <w:t>GPU, operate at thermal design power ratings of 350 to 700 watts per unit depending on the form factor, with SXM modules consuming substantially more power than PCIe variants [10], [27]. When deployed in dense configurations of eight GPUs per server, with multiple servers per rack, rack-level power densities can exceed 30 kW, compared to the 5 to 10 kW typical of enterprise computing racks [28]. This dramatic increase in compute density has profound implications for power delivery infrastructure, cooling system design, and overall facility power consumption.</w:t>
      </w:r>
    </w:p>
    <w:p w14:paraId="00E07C41" w14:textId="77777777" w:rsidR="005E30F4" w:rsidRDefault="004976D6">
      <w:pPr>
        <w:spacing w:after="120"/>
        <w:ind w:firstLine="480"/>
        <w:jc w:val="both"/>
      </w:pPr>
      <w:r>
        <w:t>Training workloads differ from inference in both magnitude and temporal profile. Training involves sustained, near-peak power consumption over periods ranging from hours to weeks, with minimal idle time between computation cycles [4], [29]. Inference workloads exhibit greater variability, with power consumption fluctuating based on request rates, model complexity, and batch size. Studies indicate that training workloads typically operate at 80 to 95 percent of peak GPU power, while inference loads average 40 to 70 percent, depending on the specific application and traffic patterns [30]. This distinction is critical for renewable energy integration planning, as the temporal profile of the load determines the optimal storage duration and dispatch strategy.</w:t>
      </w:r>
    </w:p>
    <w:p w14:paraId="3F0B69AF" w14:textId="77777777" w:rsidR="005E30F4" w:rsidRDefault="004976D6">
      <w:pPr>
        <w:spacing w:after="120"/>
        <w:ind w:firstLine="480"/>
        <w:jc w:val="both"/>
      </w:pPr>
      <w:r>
        <w:t>Power Usage Effectiveness (PUE), defined as the ratio of total facility power to IT equipment power, remains the primary metric for data center energy efficiency. The Uptime Institute's 2024 Global Data Center Survey, encompassing over 900 operators worldwide, reported an industry average PUE of 1.56, with the best-performing facilities achieving values as low as 1.06 [9]. However, the survey noted that PUE improvements have stagnated over the past five years, with the average value remaining essentially unchanged since 2019. This plateau is attributed to the increasing power demands of AI accelerators, which have offset efficiency gains in power distribution and cooling systems. Google's facilities have historically led in PUE performance, reporting a trailing twelve-month average of 1.10 across its global fleet, achieved through advanced cooling systems, custom server designs, and AI-driven temperature management [31].</w:t>
      </w:r>
    </w:p>
    <w:p w14:paraId="33E22E86" w14:textId="77777777" w:rsidR="005E30F4" w:rsidRDefault="004976D6">
      <w:pPr>
        <w:spacing w:after="120"/>
        <w:ind w:firstLine="480"/>
        <w:jc w:val="both"/>
      </w:pPr>
      <w:r>
        <w:t>Cooling systems represent the second-largest energy consumer in data centers, typically accounting for 30 to 50 percent of total facility power [32], [33]. Air cooling, the traditional approach, becomes increasingly inadequate for high-density AI deployments, where heat generation per unit area can exceed the capacity of conventional computer room air conditioning (CRAC) systems. Liquid cooling technologies, including direct-to-chip cold plates and full immersion cooling, offer substantial efficiency improvements, reducing cooling energy requirements by 30 to 50 percent compared to air-based systems [34]. Microsoft's next-generation data center designs, which consume zero water for cooling, represent the leading edge of cooling innovation for AI workloads [35].</w:t>
      </w:r>
    </w:p>
    <w:p w14:paraId="071FA8B8" w14:textId="77777777" w:rsidR="005E30F4" w:rsidRDefault="004976D6">
      <w:pPr>
        <w:pStyle w:val="Heading2"/>
        <w:keepNext/>
      </w:pPr>
      <w:bookmarkStart w:id="9" w:name="_Toc100009"/>
      <w:r>
        <w:lastRenderedPageBreak/>
        <w:t>2.2 Renewable Energy Technologies</w:t>
      </w:r>
      <w:bookmarkEnd w:id="9"/>
    </w:p>
    <w:p w14:paraId="64984CBE" w14:textId="77777777" w:rsidR="005E30F4" w:rsidRDefault="004976D6">
      <w:pPr>
        <w:spacing w:after="120"/>
        <w:ind w:firstLine="480"/>
        <w:jc w:val="both"/>
      </w:pPr>
      <w:r>
        <w:t>Solar photovoltaic (PV) technology has undergone a remarkable cost and performance transformation over the past decade. Commercial module efficiencies have improved from 15 to 17 percent in 2015 to 20 to 23 percent in 2024, with premium modules achieving 23 to 25 percent efficiency using heterojunction and PERC cell architectures [13], [36]. Inverter efficiency has similarly improved, with modern string and central inverters achieving 95 to 98.5 percent weighted efficiency across varying load conditions [37]. The levelized cost of electricity from utility-scale solar PV has declined to $30 to $50 per MWh in high-resource regions, making it the cheapest source of new electricity generation in most markets worldwide [38], [39].</w:t>
      </w:r>
    </w:p>
    <w:p w14:paraId="41C5142D" w14:textId="77777777" w:rsidR="005E30F4" w:rsidRDefault="004976D6">
      <w:pPr>
        <w:spacing w:after="120"/>
        <w:ind w:firstLine="480"/>
        <w:jc w:val="both"/>
      </w:pPr>
      <w:r>
        <w:t>Wind energy technology has matured significantly, with onshore turbines achieving capacity factors of 25 to 40 percent and offshore installations reaching 40 to 50 percent in optimal locations [15], [40]. The IRENA Renewable Power Generation Costs 2024 report documents that onshore wind achieved a global average LCOE of $0.052 per kWh in 2024, establishing it as the most affordable new generation technology globally [16]. Wind resource assessment has benefited from advances in LiDAR technology and numerical weather prediction, enabling more accurate siting decisions and energy yield estimates [41]. The temporal complementarity between wind and solar generation, where wind tends to produce more energy during nighttime and winter months while solar peaks during daytime and summer, provides a natural mechanism for reducing aggregate variability in hybrid systems [42].</w:t>
      </w:r>
    </w:p>
    <w:p w14:paraId="40A3E58E" w14:textId="77777777" w:rsidR="005E30F4" w:rsidRDefault="004976D6">
      <w:pPr>
        <w:spacing w:after="120"/>
        <w:ind w:firstLine="480"/>
        <w:jc w:val="both"/>
      </w:pPr>
      <w:r>
        <w:t>Hydroelectric power, particularly pumped-storage hydropower (PSH), plays a critical role in grid-scale energy balancing. PSH accounts for approximately 95 percent of global electricity storage capacity, providing gigawatt-hours of storage at costs significantly lower than battery systems [43]. Run-of-river hydroelectric facilities offer baseload generation with minimal environmental impact, while reservoir-based systems provide seasonal storage capability essential for managing multi-week renewable variability [44]. However, geographic constraints and environmental permitting requirements limit the scalability of new hydroelectric development in many regions.</w:t>
      </w:r>
    </w:p>
    <w:p w14:paraId="6AAA3EF1" w14:textId="77777777" w:rsidR="005E30F4" w:rsidRDefault="004976D6">
      <w:pPr>
        <w:pStyle w:val="Heading2"/>
        <w:keepNext/>
      </w:pPr>
      <w:bookmarkStart w:id="10" w:name="_Toc100010"/>
      <w:r>
        <w:t>2.3 Energy Storage Technologies</w:t>
      </w:r>
      <w:bookmarkEnd w:id="10"/>
    </w:p>
    <w:p w14:paraId="203D92E6" w14:textId="77777777" w:rsidR="005E30F4" w:rsidRDefault="004976D6">
      <w:pPr>
        <w:spacing w:after="120"/>
        <w:ind w:firstLine="480"/>
        <w:jc w:val="both"/>
      </w:pPr>
      <w:r>
        <w:t xml:space="preserve">Lithium-ion battery technology dominates the stationary storage market, with costs declining from approximately $300 per kWh in 2020 to $108 per kWh in 2025 according to </w:t>
      </w:r>
      <w:proofErr w:type="spellStart"/>
      <w:r>
        <w:t>BloombergNEF's</w:t>
      </w:r>
      <w:proofErr w:type="spellEnd"/>
      <w:r>
        <w:t xml:space="preserve"> annual survey [17]. LFP (lithium iron phosphate) chemistry has emerged as the preferred choice for stationary applications due to its superior safety profile, longer cycle life exceeding 4,000 cycles at 80 percent depth of discharge, and lower cost compared to NMC (nickel manganese cobalt) and NCA (nickel cobalt aluminum) chemistries [45], </w:t>
      </w:r>
      <w:r>
        <w:lastRenderedPageBreak/>
        <w:t>[46]. Round-trip efficiency for lithium-ion systems ranges from 85 to 95 percent, with thermal management systems required to maintain optimal operating temperatures and extend calendar life.</w:t>
      </w:r>
    </w:p>
    <w:p w14:paraId="753931E1" w14:textId="77777777" w:rsidR="005E30F4" w:rsidRDefault="004976D6">
      <w:pPr>
        <w:spacing w:after="120"/>
        <w:ind w:firstLine="480"/>
        <w:jc w:val="both"/>
      </w:pPr>
      <w:r>
        <w:t>Long-duration energy storage (LDES) technologies are attracting increasing attention for applications requiring storage durations exceeding 8 hours. Vanadium redox flow batteries (VRFBs) offer 20,000+ cycle life and highly scalable duration through independent power and energy sizing, though at higher upfront costs [47]. Form Energy's iron-air battery technology, currently being deployed in multi-GWh projects, targets storage costs of $20 per kWh and durations exceeding 100 hours, representing a potential paradigm shift in seasonal energy storage [48]. Green hydrogen, produced via electrolysis powered by renewable electricity, offers energy storage durations of weeks to months, but with lower round-trip efficiency of 50 to 60 percent and current costs of $150 to $250 per MWh [49].</w:t>
      </w:r>
    </w:p>
    <w:p w14:paraId="2E3B8B03" w14:textId="77777777" w:rsidR="005E30F4" w:rsidRDefault="004976D6">
      <w:pPr>
        <w:spacing w:after="120"/>
        <w:ind w:firstLine="480"/>
        <w:jc w:val="both"/>
      </w:pPr>
      <w:r>
        <w:t>Energy storage sizing methodologies have evolved from simple deterministic approaches based on worst-case scenarios to sophisticated probabilistic and optimization-based frameworks. The probabilistic approach uses metrics such as Loss of Load Expectation (LOLE) to quantify reliability, where LOLE represents the expected number of hours per year that available generation is insufficient to meet demand [50]. Optimization-based approaches formulate the sizing problem as a mixed-integer linear program (MILP), minimizing total system cost subject to reliability constraints, carbon emission limits, and interconnection capacity boundaries [51].</w:t>
      </w:r>
    </w:p>
    <w:p w14:paraId="3D50B8BF" w14:textId="77777777" w:rsidR="005E30F4" w:rsidRDefault="004976D6">
      <w:pPr>
        <w:pStyle w:val="Heading2"/>
        <w:keepNext/>
      </w:pPr>
      <w:bookmarkStart w:id="11" w:name="_Toc100011"/>
      <w:r>
        <w:t>2.4 Microgrids and Grid Integration</w:t>
      </w:r>
      <w:bookmarkEnd w:id="11"/>
    </w:p>
    <w:p w14:paraId="5CCC5C3D" w14:textId="77777777" w:rsidR="005E30F4" w:rsidRDefault="004976D6">
      <w:pPr>
        <w:spacing w:after="120"/>
        <w:ind w:firstLine="480"/>
        <w:jc w:val="both"/>
      </w:pPr>
      <w:r>
        <w:t>Microgrid control strategies have evolved significantly with the increasing penetration of inverter-based resources. Grid-forming inverters, which can establish voltage and frequency references independently of the utility grid, represent a paradigm shift from traditional grid-following designs that rely on phase-locked loops (PLLs) to synchronize with grid frequency [52]. The IEEE 2800-2022 standard, specifically developed for inverter-based resources, establishes performance requirements for frequency response, voltage support, and ride-through capability that enable reliable operation at high renewable penetration levels [53]. FERC Order 2023 further addresses interconnection procedures, establishing standardized timelines and pre-certification pathways to reduce queue delays [24].</w:t>
      </w:r>
    </w:p>
    <w:p w14:paraId="26FB7CBC" w14:textId="77777777" w:rsidR="005E30F4" w:rsidRDefault="004976D6">
      <w:pPr>
        <w:spacing w:after="120"/>
        <w:ind w:firstLine="480"/>
        <w:jc w:val="both"/>
      </w:pPr>
      <w:r>
        <w:t xml:space="preserve">Power quality management in data center microgrids requires careful attention to harmonic distortion, power factor correction, and voltage regulation. IEEE 519 establishes THD limits of less than 5 percent at the point of common coupling (PCC), with individual harmonic limits of 3 percent for characteristic harmonics [22]. Nonlinear loads in data centers, including SMPSs, VFDs, and LED drivers, generate significant harmonic currents </w:t>
      </w:r>
      <w:r>
        <w:lastRenderedPageBreak/>
        <w:t>that can cause transformer heating, capacitor bank failures, and neutral conductor overloading if not properly mitigated [54]. Active power filters and multi-pulse rectifier topologies offer effective solutions for harmonic compliance in high-density computing environments.</w:t>
      </w:r>
    </w:p>
    <w:p w14:paraId="18ECF358" w14:textId="77777777" w:rsidR="005E30F4" w:rsidRDefault="004976D6">
      <w:pPr>
        <w:pStyle w:val="Heading2"/>
        <w:keepNext/>
      </w:pPr>
      <w:bookmarkStart w:id="12" w:name="_Toc100012"/>
      <w:r>
        <w:t>2.5 Industry Case Studies</w:t>
      </w:r>
      <w:bookmarkEnd w:id="12"/>
    </w:p>
    <w:p w14:paraId="55402F8A" w14:textId="77777777" w:rsidR="005E30F4" w:rsidRDefault="004976D6">
      <w:pPr>
        <w:spacing w:after="120"/>
        <w:ind w:firstLine="480"/>
        <w:jc w:val="both"/>
      </w:pPr>
      <w:r>
        <w:t>Google has emerged as the industry leader in renewable energy procurement, having contracted over 22 GW of renewable capacity through more than 170 power purchase agreements (PPAs) globally as of 2024 [55]. The company achieved 64 percent carbon-free energy matching on an hourly basis in 2022 and has set a goal of achieving 24/7 CFE across all data centers by 2030 [56]. Key projects include the 50 MW on-site wind installation at its Iowa facility and over 200 MW of combined wind and solar PPAs in Chile. Google's approach emphasizes geographic diversification, leveraging the complementary wind resources in the U.S. Midwest and solar resources in the Southwest to reduce aggregate variability [57].</w:t>
      </w:r>
    </w:p>
    <w:p w14:paraId="1A6CA04B" w14:textId="77777777" w:rsidR="005E30F4" w:rsidRDefault="004976D6">
      <w:pPr>
        <w:spacing w:after="120"/>
        <w:ind w:firstLine="480"/>
        <w:jc w:val="both"/>
      </w:pPr>
      <w:r>
        <w:t>Meta (Facebook) has pursued a differentiated strategy centered on fuel cell technology at its Prineville, Oregon data center, where 5 MW of Bloom Energy solid oxide fuel cells provide primary power [58]. The company has matched 100 percent of its operations with renewable energy since 2020 and achieved net-zero operations through a combination of on-site generation, PPAs, and renewable energy certificates [59]. Microsoft has explored both underwater data center concepts through Project Natick, which demonstrated 99.9 percent reliability and eight-fold improvement in failure rates compared to land-based facilities, and nuclear energy partnerships for baseload power supply [60], [61].</w:t>
      </w:r>
    </w:p>
    <w:p w14:paraId="544E2AF2" w14:textId="77777777" w:rsidR="005E30F4" w:rsidRDefault="004976D6">
      <w:pPr>
        <w:spacing w:after="120"/>
        <w:ind w:firstLine="480"/>
        <w:jc w:val="both"/>
      </w:pPr>
      <w:r>
        <w:t>Equinix, the world's largest colocation data center operator with over 260 facilities, has implemented a distributed renewable procurement model with over 350 MW of contracted solar and wind capacity across California, Arizona, Texas, and Europe [62]. Apple has committed to 100 percent renewable energy across all its facilities and supply chain, operating a 10 MW Bloom fuel cell installation at its Maiden, North Carolina data center supplemented by on-site solar generation [63]. These corporate initiatives demonstrate that renewable-powered data center operations are technically feasible and increasingly economically attractive, though challenges remain in achieving 24/7 CFE matching at all facilities.</w:t>
      </w:r>
    </w:p>
    <w:p w14:paraId="55D26D9D" w14:textId="77777777" w:rsidR="005E30F4" w:rsidRDefault="004976D6">
      <w:pPr>
        <w:pStyle w:val="Heading1"/>
        <w:keepNext/>
      </w:pPr>
      <w:bookmarkStart w:id="13" w:name="_Toc100013"/>
      <w:r>
        <w:t>3. Electrical Fundamentals of Data Center Systems</w:t>
      </w:r>
      <w:bookmarkEnd w:id="13"/>
    </w:p>
    <w:p w14:paraId="04C408DD" w14:textId="77777777" w:rsidR="005E30F4" w:rsidRDefault="004976D6">
      <w:pPr>
        <w:spacing w:after="120"/>
        <w:ind w:firstLine="480"/>
        <w:jc w:val="both"/>
      </w:pPr>
      <w:r>
        <w:t xml:space="preserve">This chapter establishes the technical foundation for the electrical architecture, power delivery, and control systems that underpin renewable-powered AI data centers. Understanding these fundamentals is essential for designing systems that meet the reliability, </w:t>
      </w:r>
      <w:r>
        <w:lastRenderedPageBreak/>
        <w:t>efficiency, and power quality requirements of critical computing infrastructure while seamlessly integrating variable renewable energy sources.</w:t>
      </w:r>
    </w:p>
    <w:p w14:paraId="6F94BE2E" w14:textId="77777777" w:rsidR="005E30F4" w:rsidRDefault="004976D6">
      <w:pPr>
        <w:pStyle w:val="Heading2"/>
        <w:keepNext/>
      </w:pPr>
      <w:bookmarkStart w:id="14" w:name="_Toc100014"/>
      <w:r>
        <w:t>3.1 Electrical Distribution Architecture</w:t>
      </w:r>
      <w:bookmarkEnd w:id="14"/>
    </w:p>
    <w:p w14:paraId="3850D7E2" w14:textId="77777777" w:rsidR="005E30F4" w:rsidRDefault="004976D6">
      <w:pPr>
        <w:spacing w:after="120"/>
        <w:ind w:firstLine="480"/>
        <w:jc w:val="both"/>
      </w:pPr>
      <w:r>
        <w:t>Data center electrical distribution follows a hierarchical architecture that transforms voltage from utility interconnection levels down to the low-voltage levels required by computing equipment. Primary interconnection typically occurs at medium-voltage (MV) levels of 13.8 kV or 25 kV, with step-down transformers reducing voltage to facility distribution levels of 4.16 to 6.9 kV [64]. Further transformation to 480 V three-phase power serves as the distribution voltage for power distribution units (PDUs), which provide the final step-down to 208 V or 120 V single-phase for individual equipment racks.</w:t>
      </w:r>
    </w:p>
    <w:p w14:paraId="1076C59B" w14:textId="77777777" w:rsidR="005E30F4" w:rsidRDefault="004976D6">
      <w:pPr>
        <w:spacing w:after="120"/>
        <w:ind w:firstLine="480"/>
        <w:jc w:val="both"/>
      </w:pPr>
      <w:r>
        <w:t>Redundancy architecture is a critical design parameter, classified according to the Uptime Institute Tier Standard as N (no redundancy), N+1 (one spare component), N+2 (two spare components), 2N (fully redundant, dual path), or 2(N+1) [65]. Most AI data centers targeting high availability deploy 2N architecture, where two independent power paths serve each critical load, with automatic transfer switching between paths. The redundancy model directly impacts capital costs, with 2N configurations typically increasing electrical infrastructure costs by 80 to 100 percent compared to N+1 designs, while providing essentially zero downtime during single-component failures [66].</w:t>
      </w:r>
    </w:p>
    <w:p w14:paraId="3787903E" w14:textId="77777777" w:rsidR="005E30F4" w:rsidRDefault="004976D6">
      <w:pPr>
        <w:spacing w:after="120"/>
        <w:ind w:firstLine="480"/>
        <w:jc w:val="both"/>
      </w:pPr>
      <w:r>
        <w:t xml:space="preserve">Power flows from the utility interconnection point through main switchgear, which provides protection coordination and metering, to automatic transfer switches (ATS) that manage the transition between utility power and backup sources during outages. The ATS is a critical component, with transfer times ranging from 10 to 30 seconds for electromechanical switches and less than one cycle (16.7 </w:t>
      </w:r>
      <w:proofErr w:type="spellStart"/>
      <w:r>
        <w:t>ms</w:t>
      </w:r>
      <w:proofErr w:type="spellEnd"/>
      <w:r>
        <w:t>) for static transfer switches (STS) used in high-reliability applications [67]. For AI training workloads, which can be disrupted by even brief power interruptions, STS or flywheel-based uninterrupted power supply (UPS) systems are typically specified.</w:t>
      </w:r>
    </w:p>
    <w:p w14:paraId="66B5788E" w14:textId="77777777" w:rsidR="005E30F4" w:rsidRDefault="004976D6">
      <w:pPr>
        <w:pStyle w:val="Heading2"/>
        <w:keepNext/>
      </w:pPr>
      <w:bookmarkStart w:id="15" w:name="_Toc100015"/>
      <w:r>
        <w:t>3.2 AI Workload Electrical Characteristics</w:t>
      </w:r>
      <w:bookmarkEnd w:id="15"/>
    </w:p>
    <w:p w14:paraId="5ADEDE37" w14:textId="77777777" w:rsidR="005E30F4" w:rsidRDefault="004976D6">
      <w:pPr>
        <w:spacing w:after="120"/>
        <w:ind w:firstLine="480"/>
        <w:jc w:val="both"/>
      </w:pPr>
      <w:r>
        <w:t>Modern AI accelerators exhibit distinctive electrical characteristics that differentiate them from conventional server loads. The NVIDIA H100 SXM GPU operates at a maximum TDP of 700 W, compared to 250 to 400 W for the previous-generation A100 [10]. Each HGX H100 server hosts eight GPUs, resulting in a maximum server power consumption exceeding 10 kW including memory, networking, and cooling components [27]. When deployed in multi-rack configurations for large-scale model training, these systems create concentrated load pockets drawing 30 to 50 kW per rack, compared to the 5 to 10 kW typical of enterprise computing [28].</w:t>
      </w:r>
    </w:p>
    <w:p w14:paraId="32FFBCC6" w14:textId="77777777" w:rsidR="005E30F4" w:rsidRDefault="004976D6">
      <w:pPr>
        <w:spacing w:after="120"/>
        <w:ind w:firstLine="480"/>
        <w:jc w:val="both"/>
      </w:pPr>
      <w:r>
        <w:lastRenderedPageBreak/>
        <w:t>GPU power states exhibit significant variability depending on the computational workload. Under full computational load during model training, GPUs operate near their TDP rating with power draw fluctuating based on the specific operations being performed (matrix multiplication, memory access, communication) [68]. Idle power consumption typically ranges from 50 to 150 W per GPU, representing 15 to 20 percent of peak power, due to the need to maintain memory contents and support low-latency inference responses [69]. Power capping techniques, such as NVIDIA's NVML power limit API, allow operators to constrain maximum power draw in exchange for reduced computational throughput, providing a mechanism for demand-side power management.</w:t>
      </w:r>
    </w:p>
    <w:p w14:paraId="17F9B4C6" w14:textId="77777777" w:rsidR="005E30F4" w:rsidRDefault="004976D6">
      <w:pPr>
        <w:spacing w:after="120"/>
        <w:ind w:firstLine="480"/>
        <w:jc w:val="both"/>
      </w:pPr>
      <w:r>
        <w:t>Thermal design point considerations must account for both steady-state and transient thermal loads. During training, GPU temperatures can reach 80 to 85 degrees Celsius under sustained load, requiring cooling systems capable of removing 3.5 to 5 kW of heat per GPU [70]. The correlation between electrical consumption and heat generation is essentially one-to-one, as virtually all electrical energy input to computing equipment is converted to thermal energy. This coupling between electrical and thermal systems creates opportunities for integrated energy management, where cooling system operation can be coordinated with renewable energy availability and workload scheduling.</w:t>
      </w:r>
    </w:p>
    <w:p w14:paraId="6198D649" w14:textId="77777777" w:rsidR="005E30F4" w:rsidRDefault="004976D6">
      <w:pPr>
        <w:pStyle w:val="Heading2"/>
        <w:keepNext/>
      </w:pPr>
      <w:bookmarkStart w:id="16" w:name="_Toc100016"/>
      <w:r>
        <w:t>3.3 Backup Power and UPS Systems</w:t>
      </w:r>
      <w:bookmarkEnd w:id="16"/>
    </w:p>
    <w:p w14:paraId="3F619DDD" w14:textId="77777777" w:rsidR="005E30F4" w:rsidRDefault="004976D6">
      <w:pPr>
        <w:spacing w:after="120"/>
        <w:ind w:firstLine="480"/>
        <w:jc w:val="both"/>
      </w:pPr>
      <w:r>
        <w:t>Uninterruptible power supply (UPS) systems serve as the primary defense against power quality disturbances and short-duration outages. Three primary UPS technologies are deployed in data centers: flywheel systems, which provide 10 to 30 seconds of ride-through time using kinetic energy storage; battery-based UPS, which offers minutes to hours of runtime depending on battery capacity; and hybrid systems that combine flywheels for immediate response with batteries for extended backup [71]. For AI data centers, where training state can be lost during even brief interruptions, UPS systems must provide sufficient runtime for backup generator startup and synchronization, typically 30 to 60 seconds [72].</w:t>
      </w:r>
    </w:p>
    <w:p w14:paraId="1EF1FDFB" w14:textId="77777777" w:rsidR="005E30F4" w:rsidRDefault="004976D6">
      <w:pPr>
        <w:spacing w:after="120"/>
        <w:ind w:firstLine="480"/>
        <w:jc w:val="both"/>
      </w:pPr>
      <w:r>
        <w:t>The UPS sizing equation is given by: UPS Capacity (kVA) = N times (Daily Peak Load in kW) times (1 + Safety Margin) divided by Power Factor. For a 100 MW data center with N+1 redundancy and a 20 percent safety margin, the required UPS capacity would be approximately 144 MVA assuming a 0.9 power factor [73]. The selection between double-conversion (online), line-interactive, and standby (offline) UPS topologies depends on the criticality of the load. AI training and inference workloads typically require double-conversion topology, which provides complete isolation from input power disturbances [74].</w:t>
      </w:r>
    </w:p>
    <w:p w14:paraId="44A93FBB" w14:textId="77777777" w:rsidR="005E30F4" w:rsidRDefault="004976D6">
      <w:pPr>
        <w:spacing w:after="120"/>
        <w:ind w:firstLine="480"/>
        <w:jc w:val="both"/>
      </w:pPr>
      <w:r>
        <w:t xml:space="preserve">Diesel generators remain the predominant backup power source for data centers, with sizing based on the maximum facility load plus a 10 to 20 percent margin for motor starting </w:t>
      </w:r>
      <w:r>
        <w:lastRenderedPageBreak/>
        <w:t>inrush and nonlinear load characteristics. For a 100 MW facility, generator capacity typically ranges from 20 to 30 MW per unit, with multiple units installed to meet N+1 redundancy requirements [75]. However, diesel generators present environmental concerns, including local air quality impacts and greenhouse gas emissions, prompting increasing interest in alternatives such as natural gas generators, hydrogen fuel cells, and grid-interactive UPS systems that can provide grid services while maintaining backup capability [76].</w:t>
      </w:r>
    </w:p>
    <w:p w14:paraId="2BFEAF98" w14:textId="77777777" w:rsidR="005E30F4" w:rsidRDefault="004976D6">
      <w:pPr>
        <w:pStyle w:val="Heading2"/>
        <w:keepNext/>
      </w:pPr>
      <w:bookmarkStart w:id="17" w:name="_Toc100017"/>
      <w:r>
        <w:t>3.4 Cooling System Integration</w:t>
      </w:r>
      <w:bookmarkEnd w:id="17"/>
    </w:p>
    <w:p w14:paraId="64A318B5" w14:textId="77777777" w:rsidR="005E30F4" w:rsidRDefault="004976D6">
      <w:pPr>
        <w:spacing w:after="120"/>
        <w:ind w:firstLine="480"/>
        <w:jc w:val="both"/>
      </w:pPr>
      <w:r>
        <w:t>Cooling systems represent a critical nexus between electrical and thermal management in AI data centers. The relationship between cooling load and electrical consumption is approximately linear, with each watt of cooling energy consumed removing approximately 2.5 to 4 watts of heat, depending on the cooling system's coefficient of performance (COP) [77]. For traditional air-cooled data centers, cooling typically accounts for 30 to 40 percent of total facility energy, contributing significantly to PUE values above 1.3 [32]. Liquid cooling technologies, including direct-to-chip cold plates, rack-level cooling loops, and full immersion cooling, can reduce cooling energy by 30 to 50 percent by exploiting the superior heat transfer properties of liquids compared to air [34].</w:t>
      </w:r>
    </w:p>
    <w:p w14:paraId="5FF7C453" w14:textId="77777777" w:rsidR="005E30F4" w:rsidRDefault="004976D6">
      <w:pPr>
        <w:spacing w:after="120"/>
        <w:ind w:firstLine="480"/>
        <w:jc w:val="both"/>
      </w:pPr>
      <w:r>
        <w:t>Free cooling, which leverages ambient atmospheric conditions to provide cooling without mechanical refrigeration, offers substantial energy savings in appropriate climates. Economizer systems can provide free cooling for 3,000 to 6,000 hours per year in temperate climates, reducing chiller energy consumption by 40 to 70 percent during those periods [78]. The integration of thermal energy storage (TES) systems, particularly ice storage, enables cooling load shifting by freezing water during periods of low electricity cost or high renewable availability and melting it during peak cooling demand periods, effectively decoupling cooling demand from real-time electricity consumption [79].</w:t>
      </w:r>
    </w:p>
    <w:p w14:paraId="3F33858F" w14:textId="77777777" w:rsidR="005E30F4" w:rsidRDefault="004976D6">
      <w:pPr>
        <w:pStyle w:val="Heading2"/>
        <w:keepNext/>
      </w:pPr>
      <w:bookmarkStart w:id="18" w:name="_Toc100018"/>
      <w:r>
        <w:t>3.5 Power Quality and Harmonic Analysis</w:t>
      </w:r>
      <w:bookmarkEnd w:id="18"/>
    </w:p>
    <w:p w14:paraId="36979DE2" w14:textId="77777777" w:rsidR="005E30F4" w:rsidRDefault="004976D6">
      <w:pPr>
        <w:spacing w:after="120"/>
        <w:ind w:firstLine="480"/>
        <w:jc w:val="both"/>
      </w:pPr>
      <w:r>
        <w:t>Nonlinear loads in data centers generate harmonic currents that distort voltage waveforms and can cause equipment malfunctions, reduced efficiency, and premature failure. The primary harmonic sources include switched-mode power supplies (SMPSs) in servers and networking equipment, variable frequency drives (VFDs) in cooling systems, and LED lighting drivers [80]. IEEE 519-2022 establishes limits for total harmonic distortion (THD) of less than 5 percent at the point of common coupling, with individual harmonic limits ranging from 3 percent for low-order harmonics to lower limits for higher-order harmonics [22].</w:t>
      </w:r>
    </w:p>
    <w:p w14:paraId="7190C642" w14:textId="77777777" w:rsidR="005E30F4" w:rsidRDefault="004976D6">
      <w:pPr>
        <w:spacing w:after="120"/>
        <w:ind w:firstLine="480"/>
        <w:jc w:val="both"/>
      </w:pPr>
      <w:r>
        <w:t xml:space="preserve">Mitigation strategies include passive filters (tuned LC circuits targeting specific harmonic orders), active power filters (APFs) that inject compensating currents to cancel </w:t>
      </w:r>
      <w:r>
        <w:lastRenderedPageBreak/>
        <w:t>harmonic distortion), and system-level approaches such as 12-pulse or 18-pulse rectifier configurations that naturally cancel lower-order harmonics [81]. The adoption of power factor correction (PFC) circuits in modern server power supplies has significantly reduced harmonic contributions from IT equipment, with most contemporary servers achieving power factors above 0.95 and THD below 10 percent at the input terminals [82]. However, the aggregate effect of thousands of nonlinear loads requires facility-level harmonic analysis and mitigation.</w:t>
      </w:r>
    </w:p>
    <w:p w14:paraId="5A12C60A" w14:textId="77777777" w:rsidR="005E30F4" w:rsidRDefault="004976D6">
      <w:pPr>
        <w:pStyle w:val="Heading2"/>
        <w:keepNext/>
      </w:pPr>
      <w:bookmarkStart w:id="19" w:name="_Toc100019"/>
      <w:r>
        <w:t>3.6 Metering and Monitoring Systems</w:t>
      </w:r>
      <w:bookmarkEnd w:id="19"/>
    </w:p>
    <w:p w14:paraId="1D445569" w14:textId="77777777" w:rsidR="005E30F4" w:rsidRDefault="004976D6">
      <w:pPr>
        <w:spacing w:after="120"/>
        <w:ind w:firstLine="480"/>
        <w:jc w:val="both"/>
      </w:pPr>
      <w:r>
        <w:t>Comprehensive metering and monitoring infrastructure provides the real-time data foundation for energy management and efficiency optimization. Revenue-grade power meters, typically ANSI C12.20 Class 0.2 accuracy, are installed at major distribution points including utility interconnections, generator outputs, UPS inputs and outputs, and PDU feed circuits [83]. Modern energy management systems (EMS) aggregate data from hundreds or thousands of metering points, providing dashboards, trending, alarm management, and automated reporting capabilities. Integration with building management systems (BMS) enables correlation of electrical consumption patterns with environmental conditions and cooling system performance.</w:t>
      </w:r>
    </w:p>
    <w:p w14:paraId="618D6693" w14:textId="77777777" w:rsidR="005E30F4" w:rsidRDefault="004976D6">
      <w:pPr>
        <w:spacing w:after="120"/>
        <w:ind w:firstLine="480"/>
        <w:jc w:val="both"/>
      </w:pPr>
      <w:r>
        <w:t>The data logging and analytics capabilities of modern EMS platforms enable sophisticated efficiency optimization, including identification of wasted energy in underutilized equipment, detection of anomalous power consumption patterns that may indicate equipment degradation, and benchmarking of actual versus predicted energy consumption based on weather, occupancy, and workload parameters [84]. Machine learning algorithms applied to EMS data have demonstrated the ability to reduce cooling energy consumption by 15 to 30 percent through optimized temperature setpoint management and equipment scheduling [85].</w:t>
      </w:r>
    </w:p>
    <w:p w14:paraId="08A4EF8B" w14:textId="77777777" w:rsidR="005E30F4" w:rsidRDefault="004976D6">
      <w:pPr>
        <w:pStyle w:val="Heading1"/>
        <w:keepNext/>
      </w:pPr>
      <w:bookmarkStart w:id="20" w:name="_Toc100020"/>
      <w:r>
        <w:t>4. Renewable Energy Resources and Assessment</w:t>
      </w:r>
      <w:bookmarkEnd w:id="20"/>
    </w:p>
    <w:p w14:paraId="3A866EAE" w14:textId="77777777" w:rsidR="005E30F4" w:rsidRDefault="004976D6">
      <w:pPr>
        <w:spacing w:after="120"/>
        <w:ind w:firstLine="480"/>
        <w:jc w:val="both"/>
      </w:pPr>
      <w:r>
        <w:t>This chapter characterizes the solar, wind, and hydroelectric resources available for data center integration, along with the methodologies used to assess these resources and quantify their variability. Understanding resource characteristics is fundamental to optimal technology selection, system sizing, and operational strategy development for renewable-powered data centers.</w:t>
      </w:r>
    </w:p>
    <w:p w14:paraId="5250D21E" w14:textId="77777777" w:rsidR="005E30F4" w:rsidRDefault="004976D6">
      <w:pPr>
        <w:pStyle w:val="Heading2"/>
        <w:keepNext/>
      </w:pPr>
      <w:bookmarkStart w:id="21" w:name="_Toc100021"/>
      <w:r>
        <w:t>4.1 Solar Photovoltaic Systems</w:t>
      </w:r>
      <w:bookmarkEnd w:id="21"/>
    </w:p>
    <w:p w14:paraId="019998A0" w14:textId="77777777" w:rsidR="005E30F4" w:rsidRDefault="004976D6">
      <w:pPr>
        <w:spacing w:after="120"/>
        <w:ind w:firstLine="480"/>
        <w:jc w:val="both"/>
      </w:pPr>
      <w:r>
        <w:t xml:space="preserve">Solar photovoltaic technology has established itself as the most cost-competitive renewable energy source for data center applications in most geographic regions. </w:t>
      </w:r>
      <w:r>
        <w:lastRenderedPageBreak/>
        <w:t>Commercially available monocrystalline and bifacial modules achieve efficiencies of 20 to 23 percent under standard test conditions, with premium modules incorporating heterojunction (HJT) or tunnel oxide passivated contact (</w:t>
      </w:r>
      <w:proofErr w:type="spellStart"/>
      <w:r>
        <w:t>TOPCon</w:t>
      </w:r>
      <w:proofErr w:type="spellEnd"/>
      <w:r>
        <w:t>) cell architectures reaching 23 to 25 percent efficiency [13]. The installed cost of utility-scale ground-mounted solar PV systems has declined to $0.75 to $1.40 per watt in 2024, representing a 90 percent reduction from 2010 levels [14]. This cost trajectory is expected to continue, with IRENA projecting further reductions of 20 to 30 percent by 2030 [36].</w:t>
      </w:r>
    </w:p>
    <w:p w14:paraId="7C80EFCA" w14:textId="77777777" w:rsidR="005E30F4" w:rsidRDefault="004976D6">
      <w:pPr>
        <w:spacing w:after="120"/>
        <w:ind w:firstLine="480"/>
        <w:jc w:val="both"/>
      </w:pPr>
      <w:r>
        <w:t>Solar capacity factors exhibit significant geographic variability, ranging from 15 to 17 percent in northern Europe and the Pacific Northwest to 25 to 30 percent in the desert Southwest of the United States and arid regions of the Middle East and North Africa [86]. The NREL Annual Technology Baseline documents U.S. utility-scale PV capacity factors in the 21 to 34 percent range across different solar resource classes [87]. Inverter technology plays a critical role in system performance, with modern string and central inverters achieving weighted efficiencies of 95 to 98.5 percent across varying irradiance and temperature conditions [37]. Advanced inverter functions, including reactive power control, voltage ride-through, and frequency response, are increasingly required by grid interconnection standards and provide additional value beyond simple energy conversion [88].</w:t>
      </w:r>
    </w:p>
    <w:p w14:paraId="797C0507" w14:textId="77777777" w:rsidR="005E30F4" w:rsidRDefault="004976D6">
      <w:pPr>
        <w:keepNext/>
        <w:spacing w:before="200" w:after="100"/>
        <w:jc w:val="center"/>
      </w:pPr>
      <w:r>
        <w:rPr>
          <w:noProof/>
        </w:rPr>
        <w:drawing>
          <wp:inline distT="0" distB="0" distL="0" distR="0" wp14:anchorId="25C17FFE" wp14:editId="0B57FA75">
            <wp:extent cx="4191000" cy="2752725"/>
            <wp:effectExtent l="0" t="0" r="0" b="0"/>
            <wp:docPr id="1259015382" name="Picture 1259015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2752725"/>
                    </a:xfrm>
                    <a:prstGeom prst="rect">
                      <a:avLst/>
                    </a:prstGeom>
                  </pic:spPr>
                </pic:pic>
              </a:graphicData>
            </a:graphic>
          </wp:inline>
        </w:drawing>
      </w:r>
    </w:p>
    <w:p w14:paraId="25D9D175" w14:textId="77777777" w:rsidR="005E30F4" w:rsidRDefault="004976D6">
      <w:pPr>
        <w:spacing w:after="200"/>
        <w:jc w:val="center"/>
      </w:pPr>
      <w:r>
        <w:rPr>
          <w:i/>
          <w:iCs/>
          <w:color w:val="333333"/>
          <w:sz w:val="20"/>
          <w:szCs w:val="20"/>
        </w:rPr>
        <w:t>Fig. 2. Solar PV installed cost decline (2010-2024). Source: IRENA [14], NREL [86].</w:t>
      </w:r>
    </w:p>
    <w:p w14:paraId="30454F58" w14:textId="77777777" w:rsidR="005E30F4" w:rsidRDefault="004976D6">
      <w:pPr>
        <w:keepNext/>
        <w:spacing w:after="120"/>
        <w:jc w:val="both"/>
      </w:pPr>
      <w:r>
        <w:rPr>
          <w:b/>
          <w:bCs/>
          <w:sz w:val="20"/>
          <w:szCs w:val="20"/>
        </w:rPr>
        <w:t>Table I: Solar PV Capacity Factors by U.S. Region</w:t>
      </w:r>
    </w:p>
    <w:tbl>
      <w:tblPr>
        <w:tblW w:w="5000" w:type="pct"/>
        <w:tblBorders>
          <w:top w:val="single" w:sz="2" w:space="0" w:color="999999"/>
          <w:left w:val="single" w:sz="4" w:space="0" w:color="auto"/>
          <w:bottom w:val="single" w:sz="2" w:space="0" w:color="999999"/>
          <w:right w:val="single" w:sz="4" w:space="0" w:color="auto"/>
          <w:insideH w:val="single" w:sz="1" w:space="0" w:color="CCCCCC"/>
          <w:insideV w:val="single" w:sz="4" w:space="0" w:color="auto"/>
        </w:tblBorders>
        <w:tblCellMar>
          <w:left w:w="10" w:type="dxa"/>
          <w:right w:w="10" w:type="dxa"/>
        </w:tblCellMar>
        <w:tblLook w:val="04A0" w:firstRow="1" w:lastRow="0" w:firstColumn="1" w:lastColumn="0" w:noHBand="0" w:noVBand="1"/>
      </w:tblPr>
      <w:tblGrid>
        <w:gridCol w:w="2632"/>
        <w:gridCol w:w="1317"/>
        <w:gridCol w:w="1317"/>
        <w:gridCol w:w="1317"/>
        <w:gridCol w:w="2195"/>
      </w:tblGrid>
      <w:tr w:rsidR="005E30F4" w14:paraId="0F13980C" w14:textId="77777777">
        <w:trPr>
          <w:cantSplit/>
          <w:tblHeader/>
        </w:trPr>
        <w:tc>
          <w:tcPr>
            <w:tcW w:w="1500" w:type="pct"/>
            <w:shd w:val="clear" w:color="auto" w:fill="F1F5F9"/>
            <w:tcMar>
              <w:top w:w="60" w:type="dxa"/>
              <w:left w:w="100" w:type="dxa"/>
              <w:bottom w:w="60" w:type="dxa"/>
              <w:right w:w="100" w:type="dxa"/>
            </w:tcMar>
          </w:tcPr>
          <w:p w14:paraId="6E01B4A3" w14:textId="77777777" w:rsidR="005E30F4" w:rsidRDefault="004976D6">
            <w:pPr>
              <w:jc w:val="center"/>
            </w:pPr>
            <w:r>
              <w:rPr>
                <w:b/>
                <w:bCs/>
                <w:sz w:val="20"/>
                <w:szCs w:val="20"/>
              </w:rPr>
              <w:t>Region</w:t>
            </w:r>
          </w:p>
        </w:tc>
        <w:tc>
          <w:tcPr>
            <w:tcW w:w="750" w:type="pct"/>
            <w:shd w:val="clear" w:color="auto" w:fill="F1F5F9"/>
            <w:tcMar>
              <w:top w:w="60" w:type="dxa"/>
              <w:left w:w="100" w:type="dxa"/>
              <w:bottom w:w="60" w:type="dxa"/>
              <w:right w:w="100" w:type="dxa"/>
            </w:tcMar>
          </w:tcPr>
          <w:p w14:paraId="527BD0F7" w14:textId="77777777" w:rsidR="005E30F4" w:rsidRDefault="004976D6">
            <w:pPr>
              <w:jc w:val="center"/>
            </w:pPr>
            <w:r>
              <w:rPr>
                <w:b/>
                <w:bCs/>
                <w:sz w:val="20"/>
                <w:szCs w:val="20"/>
              </w:rPr>
              <w:t>Annual CF (%)</w:t>
            </w:r>
          </w:p>
        </w:tc>
        <w:tc>
          <w:tcPr>
            <w:tcW w:w="750" w:type="pct"/>
            <w:shd w:val="clear" w:color="auto" w:fill="F1F5F9"/>
            <w:tcMar>
              <w:top w:w="60" w:type="dxa"/>
              <w:left w:w="100" w:type="dxa"/>
              <w:bottom w:w="60" w:type="dxa"/>
              <w:right w:w="100" w:type="dxa"/>
            </w:tcMar>
          </w:tcPr>
          <w:p w14:paraId="730C8864" w14:textId="77777777" w:rsidR="005E30F4" w:rsidRDefault="004976D6">
            <w:pPr>
              <w:jc w:val="center"/>
            </w:pPr>
            <w:r>
              <w:rPr>
                <w:b/>
                <w:bCs/>
                <w:sz w:val="20"/>
                <w:szCs w:val="20"/>
              </w:rPr>
              <w:t>Peak Month</w:t>
            </w:r>
          </w:p>
        </w:tc>
        <w:tc>
          <w:tcPr>
            <w:tcW w:w="750" w:type="pct"/>
            <w:shd w:val="clear" w:color="auto" w:fill="F1F5F9"/>
            <w:tcMar>
              <w:top w:w="60" w:type="dxa"/>
              <w:left w:w="100" w:type="dxa"/>
              <w:bottom w:w="60" w:type="dxa"/>
              <w:right w:w="100" w:type="dxa"/>
            </w:tcMar>
          </w:tcPr>
          <w:p w14:paraId="42D95D6A" w14:textId="77777777" w:rsidR="005E30F4" w:rsidRDefault="004976D6">
            <w:pPr>
              <w:jc w:val="center"/>
            </w:pPr>
            <w:r>
              <w:rPr>
                <w:b/>
                <w:bCs/>
                <w:sz w:val="20"/>
                <w:szCs w:val="20"/>
              </w:rPr>
              <w:t>Low Month</w:t>
            </w:r>
          </w:p>
        </w:tc>
        <w:tc>
          <w:tcPr>
            <w:tcW w:w="1250" w:type="pct"/>
            <w:shd w:val="clear" w:color="auto" w:fill="F1F5F9"/>
            <w:tcMar>
              <w:top w:w="60" w:type="dxa"/>
              <w:left w:w="100" w:type="dxa"/>
              <w:bottom w:w="60" w:type="dxa"/>
              <w:right w:w="100" w:type="dxa"/>
            </w:tcMar>
          </w:tcPr>
          <w:p w14:paraId="27E1735E" w14:textId="77777777" w:rsidR="005E30F4" w:rsidRDefault="004976D6">
            <w:pPr>
              <w:jc w:val="center"/>
            </w:pPr>
            <w:r>
              <w:rPr>
                <w:b/>
                <w:bCs/>
                <w:sz w:val="20"/>
                <w:szCs w:val="20"/>
              </w:rPr>
              <w:t>Installed Cost ($/W)</w:t>
            </w:r>
          </w:p>
        </w:tc>
      </w:tr>
      <w:tr w:rsidR="005E30F4" w14:paraId="46647729" w14:textId="77777777">
        <w:trPr>
          <w:cantSplit/>
        </w:trPr>
        <w:tc>
          <w:tcPr>
            <w:tcW w:w="1500" w:type="pct"/>
            <w:tcMar>
              <w:top w:w="40" w:type="dxa"/>
              <w:left w:w="100" w:type="dxa"/>
              <w:bottom w:w="40" w:type="dxa"/>
              <w:right w:w="100" w:type="dxa"/>
            </w:tcMar>
          </w:tcPr>
          <w:p w14:paraId="7DBCAEFD" w14:textId="77777777" w:rsidR="005E30F4" w:rsidRDefault="004976D6">
            <w:pPr>
              <w:jc w:val="center"/>
            </w:pPr>
            <w:r>
              <w:rPr>
                <w:sz w:val="20"/>
                <w:szCs w:val="20"/>
              </w:rPr>
              <w:t>Southwest (AZ, NM, NV)</w:t>
            </w:r>
          </w:p>
        </w:tc>
        <w:tc>
          <w:tcPr>
            <w:tcW w:w="750" w:type="pct"/>
            <w:tcMar>
              <w:top w:w="40" w:type="dxa"/>
              <w:left w:w="100" w:type="dxa"/>
              <w:bottom w:w="40" w:type="dxa"/>
              <w:right w:w="100" w:type="dxa"/>
            </w:tcMar>
          </w:tcPr>
          <w:p w14:paraId="4A922DAD" w14:textId="77777777" w:rsidR="005E30F4" w:rsidRDefault="004976D6">
            <w:pPr>
              <w:jc w:val="center"/>
            </w:pPr>
            <w:r>
              <w:rPr>
                <w:sz w:val="20"/>
                <w:szCs w:val="20"/>
              </w:rPr>
              <w:t>25-30%</w:t>
            </w:r>
          </w:p>
        </w:tc>
        <w:tc>
          <w:tcPr>
            <w:tcW w:w="750" w:type="pct"/>
            <w:tcMar>
              <w:top w:w="40" w:type="dxa"/>
              <w:left w:w="100" w:type="dxa"/>
              <w:bottom w:w="40" w:type="dxa"/>
              <w:right w:w="100" w:type="dxa"/>
            </w:tcMar>
          </w:tcPr>
          <w:p w14:paraId="64EF12CC" w14:textId="77777777" w:rsidR="005E30F4" w:rsidRDefault="004976D6">
            <w:pPr>
              <w:jc w:val="center"/>
            </w:pPr>
            <w:r>
              <w:rPr>
                <w:sz w:val="20"/>
                <w:szCs w:val="20"/>
              </w:rPr>
              <w:t>June</w:t>
            </w:r>
          </w:p>
        </w:tc>
        <w:tc>
          <w:tcPr>
            <w:tcW w:w="750" w:type="pct"/>
            <w:tcMar>
              <w:top w:w="40" w:type="dxa"/>
              <w:left w:w="100" w:type="dxa"/>
              <w:bottom w:w="40" w:type="dxa"/>
              <w:right w:w="100" w:type="dxa"/>
            </w:tcMar>
          </w:tcPr>
          <w:p w14:paraId="42B10ADB" w14:textId="77777777" w:rsidR="005E30F4" w:rsidRDefault="004976D6">
            <w:pPr>
              <w:jc w:val="center"/>
            </w:pPr>
            <w:r>
              <w:rPr>
                <w:sz w:val="20"/>
                <w:szCs w:val="20"/>
              </w:rPr>
              <w:t>December</w:t>
            </w:r>
          </w:p>
        </w:tc>
        <w:tc>
          <w:tcPr>
            <w:tcW w:w="1250" w:type="pct"/>
            <w:tcMar>
              <w:top w:w="40" w:type="dxa"/>
              <w:left w:w="100" w:type="dxa"/>
              <w:bottom w:w="40" w:type="dxa"/>
              <w:right w:w="100" w:type="dxa"/>
            </w:tcMar>
          </w:tcPr>
          <w:p w14:paraId="1CFA38DF" w14:textId="77777777" w:rsidR="005E30F4" w:rsidRDefault="004976D6">
            <w:pPr>
              <w:jc w:val="center"/>
            </w:pPr>
            <w:r>
              <w:rPr>
                <w:sz w:val="20"/>
                <w:szCs w:val="20"/>
              </w:rPr>
              <w:t>$0.75-0.95</w:t>
            </w:r>
          </w:p>
        </w:tc>
      </w:tr>
      <w:tr w:rsidR="005E30F4" w14:paraId="18DA55BC" w14:textId="77777777">
        <w:trPr>
          <w:cantSplit/>
        </w:trPr>
        <w:tc>
          <w:tcPr>
            <w:tcW w:w="1500" w:type="pct"/>
            <w:tcMar>
              <w:top w:w="40" w:type="dxa"/>
              <w:left w:w="100" w:type="dxa"/>
              <w:bottom w:w="40" w:type="dxa"/>
              <w:right w:w="100" w:type="dxa"/>
            </w:tcMar>
          </w:tcPr>
          <w:p w14:paraId="173C49EC" w14:textId="77777777" w:rsidR="005E30F4" w:rsidRDefault="004976D6">
            <w:pPr>
              <w:jc w:val="center"/>
            </w:pPr>
            <w:r>
              <w:rPr>
                <w:sz w:val="20"/>
                <w:szCs w:val="20"/>
              </w:rPr>
              <w:t>Southeast (FL, TX, GA)</w:t>
            </w:r>
          </w:p>
        </w:tc>
        <w:tc>
          <w:tcPr>
            <w:tcW w:w="750" w:type="pct"/>
            <w:tcMar>
              <w:top w:w="40" w:type="dxa"/>
              <w:left w:w="100" w:type="dxa"/>
              <w:bottom w:w="40" w:type="dxa"/>
              <w:right w:w="100" w:type="dxa"/>
            </w:tcMar>
          </w:tcPr>
          <w:p w14:paraId="7EEC9708" w14:textId="77777777" w:rsidR="005E30F4" w:rsidRDefault="004976D6">
            <w:pPr>
              <w:jc w:val="center"/>
            </w:pPr>
            <w:r>
              <w:rPr>
                <w:sz w:val="20"/>
                <w:szCs w:val="20"/>
              </w:rPr>
              <w:t>18-22%</w:t>
            </w:r>
          </w:p>
        </w:tc>
        <w:tc>
          <w:tcPr>
            <w:tcW w:w="750" w:type="pct"/>
            <w:tcMar>
              <w:top w:w="40" w:type="dxa"/>
              <w:left w:w="100" w:type="dxa"/>
              <w:bottom w:w="40" w:type="dxa"/>
              <w:right w:w="100" w:type="dxa"/>
            </w:tcMar>
          </w:tcPr>
          <w:p w14:paraId="556B05DE" w14:textId="77777777" w:rsidR="005E30F4" w:rsidRDefault="004976D6">
            <w:pPr>
              <w:jc w:val="center"/>
            </w:pPr>
            <w:r>
              <w:rPr>
                <w:sz w:val="20"/>
                <w:szCs w:val="20"/>
              </w:rPr>
              <w:t>May</w:t>
            </w:r>
          </w:p>
        </w:tc>
        <w:tc>
          <w:tcPr>
            <w:tcW w:w="750" w:type="pct"/>
            <w:tcMar>
              <w:top w:w="40" w:type="dxa"/>
              <w:left w:w="100" w:type="dxa"/>
              <w:bottom w:w="40" w:type="dxa"/>
              <w:right w:w="100" w:type="dxa"/>
            </w:tcMar>
          </w:tcPr>
          <w:p w14:paraId="05CCE826" w14:textId="77777777" w:rsidR="005E30F4" w:rsidRDefault="004976D6">
            <w:pPr>
              <w:jc w:val="center"/>
            </w:pPr>
            <w:r>
              <w:rPr>
                <w:sz w:val="20"/>
                <w:szCs w:val="20"/>
              </w:rPr>
              <w:t>December</w:t>
            </w:r>
          </w:p>
        </w:tc>
        <w:tc>
          <w:tcPr>
            <w:tcW w:w="1250" w:type="pct"/>
            <w:tcMar>
              <w:top w:w="40" w:type="dxa"/>
              <w:left w:w="100" w:type="dxa"/>
              <w:bottom w:w="40" w:type="dxa"/>
              <w:right w:w="100" w:type="dxa"/>
            </w:tcMar>
          </w:tcPr>
          <w:p w14:paraId="20F2ACC2" w14:textId="77777777" w:rsidR="005E30F4" w:rsidRDefault="004976D6">
            <w:pPr>
              <w:jc w:val="center"/>
            </w:pPr>
            <w:r>
              <w:rPr>
                <w:sz w:val="20"/>
                <w:szCs w:val="20"/>
              </w:rPr>
              <w:t>$0.85-1.10</w:t>
            </w:r>
          </w:p>
        </w:tc>
      </w:tr>
      <w:tr w:rsidR="005E30F4" w14:paraId="0FE3E1DB" w14:textId="77777777">
        <w:trPr>
          <w:cantSplit/>
        </w:trPr>
        <w:tc>
          <w:tcPr>
            <w:tcW w:w="1500" w:type="pct"/>
            <w:tcMar>
              <w:top w:w="40" w:type="dxa"/>
              <w:left w:w="100" w:type="dxa"/>
              <w:bottom w:w="40" w:type="dxa"/>
              <w:right w:w="100" w:type="dxa"/>
            </w:tcMar>
          </w:tcPr>
          <w:p w14:paraId="0B17DD2D" w14:textId="77777777" w:rsidR="005E30F4" w:rsidRDefault="004976D6">
            <w:pPr>
              <w:jc w:val="center"/>
            </w:pPr>
            <w:r>
              <w:rPr>
                <w:sz w:val="20"/>
                <w:szCs w:val="20"/>
              </w:rPr>
              <w:lastRenderedPageBreak/>
              <w:t>Mid-Atlantic (NC, VA)</w:t>
            </w:r>
          </w:p>
        </w:tc>
        <w:tc>
          <w:tcPr>
            <w:tcW w:w="750" w:type="pct"/>
            <w:tcMar>
              <w:top w:w="40" w:type="dxa"/>
              <w:left w:w="100" w:type="dxa"/>
              <w:bottom w:w="40" w:type="dxa"/>
              <w:right w:w="100" w:type="dxa"/>
            </w:tcMar>
          </w:tcPr>
          <w:p w14:paraId="2D8CAC97" w14:textId="77777777" w:rsidR="005E30F4" w:rsidRDefault="004976D6">
            <w:pPr>
              <w:jc w:val="center"/>
            </w:pPr>
            <w:r>
              <w:rPr>
                <w:sz w:val="20"/>
                <w:szCs w:val="20"/>
              </w:rPr>
              <w:t>17-20%</w:t>
            </w:r>
          </w:p>
        </w:tc>
        <w:tc>
          <w:tcPr>
            <w:tcW w:w="750" w:type="pct"/>
            <w:tcMar>
              <w:top w:w="40" w:type="dxa"/>
              <w:left w:w="100" w:type="dxa"/>
              <w:bottom w:w="40" w:type="dxa"/>
              <w:right w:w="100" w:type="dxa"/>
            </w:tcMar>
          </w:tcPr>
          <w:p w14:paraId="08C5DAE6" w14:textId="77777777" w:rsidR="005E30F4" w:rsidRDefault="004976D6">
            <w:pPr>
              <w:jc w:val="center"/>
            </w:pPr>
            <w:r>
              <w:rPr>
                <w:sz w:val="20"/>
                <w:szCs w:val="20"/>
              </w:rPr>
              <w:t>July</w:t>
            </w:r>
          </w:p>
        </w:tc>
        <w:tc>
          <w:tcPr>
            <w:tcW w:w="750" w:type="pct"/>
            <w:tcMar>
              <w:top w:w="40" w:type="dxa"/>
              <w:left w:w="100" w:type="dxa"/>
              <w:bottom w:w="40" w:type="dxa"/>
              <w:right w:w="100" w:type="dxa"/>
            </w:tcMar>
          </w:tcPr>
          <w:p w14:paraId="296B6C51" w14:textId="77777777" w:rsidR="005E30F4" w:rsidRDefault="004976D6">
            <w:pPr>
              <w:jc w:val="center"/>
            </w:pPr>
            <w:r>
              <w:rPr>
                <w:sz w:val="20"/>
                <w:szCs w:val="20"/>
              </w:rPr>
              <w:t>December</w:t>
            </w:r>
          </w:p>
        </w:tc>
        <w:tc>
          <w:tcPr>
            <w:tcW w:w="1250" w:type="pct"/>
            <w:tcMar>
              <w:top w:w="40" w:type="dxa"/>
              <w:left w:w="100" w:type="dxa"/>
              <w:bottom w:w="40" w:type="dxa"/>
              <w:right w:w="100" w:type="dxa"/>
            </w:tcMar>
          </w:tcPr>
          <w:p w14:paraId="19273333" w14:textId="77777777" w:rsidR="005E30F4" w:rsidRDefault="004976D6">
            <w:pPr>
              <w:jc w:val="center"/>
            </w:pPr>
            <w:r>
              <w:rPr>
                <w:sz w:val="20"/>
                <w:szCs w:val="20"/>
              </w:rPr>
              <w:t>$0.90-1.15</w:t>
            </w:r>
          </w:p>
        </w:tc>
      </w:tr>
      <w:tr w:rsidR="005E30F4" w14:paraId="4ADE3C37" w14:textId="77777777">
        <w:trPr>
          <w:cantSplit/>
        </w:trPr>
        <w:tc>
          <w:tcPr>
            <w:tcW w:w="1500" w:type="pct"/>
            <w:tcMar>
              <w:top w:w="40" w:type="dxa"/>
              <w:left w:w="100" w:type="dxa"/>
              <w:bottom w:w="40" w:type="dxa"/>
              <w:right w:w="100" w:type="dxa"/>
            </w:tcMar>
          </w:tcPr>
          <w:p w14:paraId="345C361F" w14:textId="77777777" w:rsidR="005E30F4" w:rsidRDefault="004976D6">
            <w:pPr>
              <w:jc w:val="center"/>
            </w:pPr>
            <w:r>
              <w:rPr>
                <w:sz w:val="20"/>
                <w:szCs w:val="20"/>
              </w:rPr>
              <w:t>Northeast (NY, MA)</w:t>
            </w:r>
          </w:p>
        </w:tc>
        <w:tc>
          <w:tcPr>
            <w:tcW w:w="750" w:type="pct"/>
            <w:tcMar>
              <w:top w:w="40" w:type="dxa"/>
              <w:left w:w="100" w:type="dxa"/>
              <w:bottom w:w="40" w:type="dxa"/>
              <w:right w:w="100" w:type="dxa"/>
            </w:tcMar>
          </w:tcPr>
          <w:p w14:paraId="50951981" w14:textId="77777777" w:rsidR="005E30F4" w:rsidRDefault="004976D6">
            <w:pPr>
              <w:jc w:val="center"/>
            </w:pPr>
            <w:r>
              <w:rPr>
                <w:sz w:val="20"/>
                <w:szCs w:val="20"/>
              </w:rPr>
              <w:t>14-17%</w:t>
            </w:r>
          </w:p>
        </w:tc>
        <w:tc>
          <w:tcPr>
            <w:tcW w:w="750" w:type="pct"/>
            <w:tcMar>
              <w:top w:w="40" w:type="dxa"/>
              <w:left w:w="100" w:type="dxa"/>
              <w:bottom w:w="40" w:type="dxa"/>
              <w:right w:w="100" w:type="dxa"/>
            </w:tcMar>
          </w:tcPr>
          <w:p w14:paraId="03004654" w14:textId="77777777" w:rsidR="005E30F4" w:rsidRDefault="004976D6">
            <w:pPr>
              <w:jc w:val="center"/>
            </w:pPr>
            <w:r>
              <w:rPr>
                <w:sz w:val="20"/>
                <w:szCs w:val="20"/>
              </w:rPr>
              <w:t>June</w:t>
            </w:r>
          </w:p>
        </w:tc>
        <w:tc>
          <w:tcPr>
            <w:tcW w:w="750" w:type="pct"/>
            <w:tcMar>
              <w:top w:w="40" w:type="dxa"/>
              <w:left w:w="100" w:type="dxa"/>
              <w:bottom w:w="40" w:type="dxa"/>
              <w:right w:w="100" w:type="dxa"/>
            </w:tcMar>
          </w:tcPr>
          <w:p w14:paraId="3C96BD89" w14:textId="77777777" w:rsidR="005E30F4" w:rsidRDefault="004976D6">
            <w:pPr>
              <w:jc w:val="center"/>
            </w:pPr>
            <w:r>
              <w:rPr>
                <w:sz w:val="20"/>
                <w:szCs w:val="20"/>
              </w:rPr>
              <w:t>December</w:t>
            </w:r>
          </w:p>
        </w:tc>
        <w:tc>
          <w:tcPr>
            <w:tcW w:w="1250" w:type="pct"/>
            <w:tcMar>
              <w:top w:w="40" w:type="dxa"/>
              <w:left w:w="100" w:type="dxa"/>
              <w:bottom w:w="40" w:type="dxa"/>
              <w:right w:w="100" w:type="dxa"/>
            </w:tcMar>
          </w:tcPr>
          <w:p w14:paraId="7DF21360" w14:textId="77777777" w:rsidR="005E30F4" w:rsidRDefault="004976D6">
            <w:pPr>
              <w:jc w:val="center"/>
            </w:pPr>
            <w:r>
              <w:rPr>
                <w:sz w:val="20"/>
                <w:szCs w:val="20"/>
              </w:rPr>
              <w:t>$1.00-1.30</w:t>
            </w:r>
          </w:p>
        </w:tc>
      </w:tr>
      <w:tr w:rsidR="005E30F4" w14:paraId="22EA2D70" w14:textId="77777777">
        <w:trPr>
          <w:cantSplit/>
        </w:trPr>
        <w:tc>
          <w:tcPr>
            <w:tcW w:w="1500" w:type="pct"/>
            <w:tcMar>
              <w:top w:w="40" w:type="dxa"/>
              <w:left w:w="100" w:type="dxa"/>
              <w:bottom w:w="40" w:type="dxa"/>
              <w:right w:w="100" w:type="dxa"/>
            </w:tcMar>
          </w:tcPr>
          <w:p w14:paraId="4AB8EB03" w14:textId="77777777" w:rsidR="005E30F4" w:rsidRDefault="004976D6">
            <w:pPr>
              <w:jc w:val="center"/>
            </w:pPr>
            <w:r>
              <w:rPr>
                <w:sz w:val="20"/>
                <w:szCs w:val="20"/>
              </w:rPr>
              <w:t>Pacific Northwest (WA, OR)</w:t>
            </w:r>
          </w:p>
        </w:tc>
        <w:tc>
          <w:tcPr>
            <w:tcW w:w="750" w:type="pct"/>
            <w:tcMar>
              <w:top w:w="40" w:type="dxa"/>
              <w:left w:w="100" w:type="dxa"/>
              <w:bottom w:w="40" w:type="dxa"/>
              <w:right w:w="100" w:type="dxa"/>
            </w:tcMar>
          </w:tcPr>
          <w:p w14:paraId="331CB48C" w14:textId="77777777" w:rsidR="005E30F4" w:rsidRDefault="004976D6">
            <w:pPr>
              <w:jc w:val="center"/>
            </w:pPr>
            <w:r>
              <w:rPr>
                <w:sz w:val="20"/>
                <w:szCs w:val="20"/>
              </w:rPr>
              <w:t>13-16%</w:t>
            </w:r>
          </w:p>
        </w:tc>
        <w:tc>
          <w:tcPr>
            <w:tcW w:w="750" w:type="pct"/>
            <w:tcMar>
              <w:top w:w="40" w:type="dxa"/>
              <w:left w:w="100" w:type="dxa"/>
              <w:bottom w:w="40" w:type="dxa"/>
              <w:right w:w="100" w:type="dxa"/>
            </w:tcMar>
          </w:tcPr>
          <w:p w14:paraId="6F472C42" w14:textId="77777777" w:rsidR="005E30F4" w:rsidRDefault="004976D6">
            <w:pPr>
              <w:jc w:val="center"/>
            </w:pPr>
            <w:r>
              <w:rPr>
                <w:sz w:val="20"/>
                <w:szCs w:val="20"/>
              </w:rPr>
              <w:t>July</w:t>
            </w:r>
          </w:p>
        </w:tc>
        <w:tc>
          <w:tcPr>
            <w:tcW w:w="750" w:type="pct"/>
            <w:tcMar>
              <w:top w:w="40" w:type="dxa"/>
              <w:left w:w="100" w:type="dxa"/>
              <w:bottom w:w="40" w:type="dxa"/>
              <w:right w:w="100" w:type="dxa"/>
            </w:tcMar>
          </w:tcPr>
          <w:p w14:paraId="1879D22C" w14:textId="77777777" w:rsidR="005E30F4" w:rsidRDefault="004976D6">
            <w:pPr>
              <w:jc w:val="center"/>
            </w:pPr>
            <w:r>
              <w:rPr>
                <w:sz w:val="20"/>
                <w:szCs w:val="20"/>
              </w:rPr>
              <w:t>December</w:t>
            </w:r>
          </w:p>
        </w:tc>
        <w:tc>
          <w:tcPr>
            <w:tcW w:w="1250" w:type="pct"/>
            <w:tcMar>
              <w:top w:w="40" w:type="dxa"/>
              <w:left w:w="100" w:type="dxa"/>
              <w:bottom w:w="40" w:type="dxa"/>
              <w:right w:w="100" w:type="dxa"/>
            </w:tcMar>
          </w:tcPr>
          <w:p w14:paraId="14808E92" w14:textId="77777777" w:rsidR="005E30F4" w:rsidRDefault="004976D6">
            <w:pPr>
              <w:jc w:val="center"/>
            </w:pPr>
            <w:r>
              <w:rPr>
                <w:sz w:val="20"/>
                <w:szCs w:val="20"/>
              </w:rPr>
              <w:t>$1.00-1.25</w:t>
            </w:r>
          </w:p>
        </w:tc>
      </w:tr>
      <w:tr w:rsidR="005E30F4" w14:paraId="5DF9B529" w14:textId="77777777">
        <w:trPr>
          <w:cantSplit/>
        </w:trPr>
        <w:tc>
          <w:tcPr>
            <w:tcW w:w="1500" w:type="pct"/>
            <w:tcMar>
              <w:top w:w="40" w:type="dxa"/>
              <w:left w:w="100" w:type="dxa"/>
              <w:bottom w:w="40" w:type="dxa"/>
              <w:right w:w="100" w:type="dxa"/>
            </w:tcMar>
          </w:tcPr>
          <w:p w14:paraId="0CDDF696" w14:textId="77777777" w:rsidR="005E30F4" w:rsidRDefault="004976D6">
            <w:pPr>
              <w:jc w:val="center"/>
            </w:pPr>
            <w:r>
              <w:rPr>
                <w:sz w:val="20"/>
                <w:szCs w:val="20"/>
              </w:rPr>
              <w:t>Midwest (IL, MN)</w:t>
            </w:r>
          </w:p>
        </w:tc>
        <w:tc>
          <w:tcPr>
            <w:tcW w:w="750" w:type="pct"/>
            <w:tcMar>
              <w:top w:w="40" w:type="dxa"/>
              <w:left w:w="100" w:type="dxa"/>
              <w:bottom w:w="40" w:type="dxa"/>
              <w:right w:w="100" w:type="dxa"/>
            </w:tcMar>
          </w:tcPr>
          <w:p w14:paraId="3A498440" w14:textId="77777777" w:rsidR="005E30F4" w:rsidRDefault="004976D6">
            <w:pPr>
              <w:jc w:val="center"/>
            </w:pPr>
            <w:r>
              <w:rPr>
                <w:sz w:val="20"/>
                <w:szCs w:val="20"/>
              </w:rPr>
              <w:t>15-19%</w:t>
            </w:r>
          </w:p>
        </w:tc>
        <w:tc>
          <w:tcPr>
            <w:tcW w:w="750" w:type="pct"/>
            <w:tcMar>
              <w:top w:w="40" w:type="dxa"/>
              <w:left w:w="100" w:type="dxa"/>
              <w:bottom w:w="40" w:type="dxa"/>
              <w:right w:w="100" w:type="dxa"/>
            </w:tcMar>
          </w:tcPr>
          <w:p w14:paraId="31636816" w14:textId="77777777" w:rsidR="005E30F4" w:rsidRDefault="004976D6">
            <w:pPr>
              <w:jc w:val="center"/>
            </w:pPr>
            <w:r>
              <w:rPr>
                <w:sz w:val="20"/>
                <w:szCs w:val="20"/>
              </w:rPr>
              <w:t>June</w:t>
            </w:r>
          </w:p>
        </w:tc>
        <w:tc>
          <w:tcPr>
            <w:tcW w:w="750" w:type="pct"/>
            <w:tcMar>
              <w:top w:w="40" w:type="dxa"/>
              <w:left w:w="100" w:type="dxa"/>
              <w:bottom w:w="40" w:type="dxa"/>
              <w:right w:w="100" w:type="dxa"/>
            </w:tcMar>
          </w:tcPr>
          <w:p w14:paraId="4D9CEFDB" w14:textId="77777777" w:rsidR="005E30F4" w:rsidRDefault="004976D6">
            <w:pPr>
              <w:jc w:val="center"/>
            </w:pPr>
            <w:r>
              <w:rPr>
                <w:sz w:val="20"/>
                <w:szCs w:val="20"/>
              </w:rPr>
              <w:t>December</w:t>
            </w:r>
          </w:p>
        </w:tc>
        <w:tc>
          <w:tcPr>
            <w:tcW w:w="1250" w:type="pct"/>
            <w:tcMar>
              <w:top w:w="40" w:type="dxa"/>
              <w:left w:w="100" w:type="dxa"/>
              <w:bottom w:w="40" w:type="dxa"/>
              <w:right w:w="100" w:type="dxa"/>
            </w:tcMar>
          </w:tcPr>
          <w:p w14:paraId="18AA7290" w14:textId="77777777" w:rsidR="005E30F4" w:rsidRDefault="004976D6">
            <w:pPr>
              <w:jc w:val="center"/>
            </w:pPr>
            <w:r>
              <w:rPr>
                <w:sz w:val="20"/>
                <w:szCs w:val="20"/>
              </w:rPr>
              <w:t>$0.85-1.10</w:t>
            </w:r>
          </w:p>
        </w:tc>
      </w:tr>
    </w:tbl>
    <w:p w14:paraId="4FA7BE3C" w14:textId="77777777" w:rsidR="005E30F4" w:rsidRDefault="004976D6">
      <w:pPr>
        <w:pStyle w:val="Heading2"/>
        <w:keepNext/>
      </w:pPr>
      <w:bookmarkStart w:id="22" w:name="_Toc100022"/>
      <w:r>
        <w:t>4.2 Wind Energy Systems</w:t>
      </w:r>
      <w:bookmarkEnd w:id="22"/>
    </w:p>
    <w:p w14:paraId="7139E38D" w14:textId="77777777" w:rsidR="005E30F4" w:rsidRDefault="004976D6">
      <w:pPr>
        <w:spacing w:after="120"/>
        <w:ind w:firstLine="480"/>
        <w:jc w:val="both"/>
      </w:pPr>
      <w:r>
        <w:t>Wind energy provides a complementary generation profile to solar PV, with higher output during nighttime and winter months when solar production is reduced. Onshore wind turbines have achieved capacity factors of 25 to 40 percent in regions with favorable wind resources, with the highest factors observed in the U.S. Great Plains, offshore Atlantic, and North Sea regions [15]. Offshore wind technology has matured significantly, with fixed-bottom installations achieving capacity factors of 40 to 50 percent and floating offshore concepts extending viable deployment to deeper waters [40]. The levelized cost of onshore wind has declined to $25 to $45 per MWh, making it competitive with or cheaper than fossil fuel generation in most markets [16].</w:t>
      </w:r>
    </w:p>
    <w:p w14:paraId="54DB9DAB" w14:textId="77777777" w:rsidR="005E30F4" w:rsidRDefault="004976D6">
      <w:pPr>
        <w:spacing w:after="120"/>
        <w:ind w:firstLine="480"/>
        <w:jc w:val="both"/>
      </w:pPr>
      <w:r>
        <w:t>Wind resource assessment has benefited from advances in measurement technology and atmospheric modeling. Ground-based anemometry remains the standard for project-level assessment, but LiDAR (Light Detection and Ranging) systems have emerged as a cost-effective alternative for preliminary screening and supplementing tower data [41]. Numerical weather prediction (NWP) models, coupled with computational fluid dynamics (CFD) simulations, enable detailed characterization of wind flow patterns across complex terrain, including wake effects from adjacent turbines that can reduce downstream energy production by 10 to 20 percent [89]. The NREL 2024 Offshore Wind Market Report documents a U.S. project pipeline exceeding 80,000 MW, demonstrating the enormous scale of planned wind energy development [90].</w:t>
      </w:r>
    </w:p>
    <w:p w14:paraId="083C964C" w14:textId="77777777" w:rsidR="005E30F4" w:rsidRDefault="004976D6">
      <w:pPr>
        <w:pStyle w:val="Heading2"/>
        <w:keepNext/>
      </w:pPr>
      <w:bookmarkStart w:id="23" w:name="_Toc100023"/>
      <w:r>
        <w:t>4.3 Hydroelectric Power</w:t>
      </w:r>
      <w:bookmarkEnd w:id="23"/>
    </w:p>
    <w:p w14:paraId="175E87AD" w14:textId="77777777" w:rsidR="005E30F4" w:rsidRDefault="004976D6">
      <w:pPr>
        <w:spacing w:after="120"/>
        <w:ind w:firstLine="480"/>
        <w:jc w:val="both"/>
      </w:pPr>
      <w:r>
        <w:t>Hydroelectric power provides unique advantages for data center integration due to its dispatchability and capacity to serve as both generation and storage resources. Run-of-river hydroelectric facilities deliver relatively constant baseload power, determined by seasonal flow patterns, with capacity factors typically ranging from 40 to 60 percent [43]. Reservoir-based systems offer storage capability ranging from days to months, providing firming capacity for variable renewable generation. Pumped-storage hydropower (PSH) represents the dominant form of grid-scale energy storage globally, accounting for approximately 95 percent of installed storage capacity with round-trip efficiencies of 70 to 85 percent [44].</w:t>
      </w:r>
    </w:p>
    <w:p w14:paraId="2087B5D1" w14:textId="77777777" w:rsidR="005E30F4" w:rsidRDefault="004976D6">
      <w:pPr>
        <w:spacing w:after="120"/>
        <w:ind w:firstLine="480"/>
        <w:jc w:val="both"/>
      </w:pPr>
      <w:r>
        <w:lastRenderedPageBreak/>
        <w:t>Geographic constraints significantly limit the scalability of hydroelectric power for data center applications. New PSH development requires specific topographic conditions with significant elevation differential between upper and lower reservoirs, proximity to the data center load center, and access to water resources. Environmental permitting for new hydroelectric projects can take 5 to 10 years, with complex requirements addressing aquatic ecosystem impacts, recreational use, and scenic values [91]. However, existing PSH facilities represent an underutilized resource for data center integration, particularly in regions such as the Appalachian Mountains (U.S.), the Alps (Europe), and the Scandinavian Peninsula where significant capacity exists near major data center clusters.</w:t>
      </w:r>
    </w:p>
    <w:p w14:paraId="1156CEB9" w14:textId="77777777" w:rsidR="005E30F4" w:rsidRDefault="004976D6">
      <w:pPr>
        <w:pStyle w:val="Heading2"/>
        <w:keepNext/>
      </w:pPr>
      <w:bookmarkStart w:id="24" w:name="_Toc100024"/>
      <w:r>
        <w:t>4.4 Resource Assessment Methodologies</w:t>
      </w:r>
      <w:bookmarkEnd w:id="24"/>
    </w:p>
    <w:p w14:paraId="4A4540BC" w14:textId="77777777" w:rsidR="005E30F4" w:rsidRDefault="004976D6">
      <w:pPr>
        <w:spacing w:after="120"/>
        <w:ind w:firstLine="480"/>
        <w:jc w:val="both"/>
      </w:pPr>
      <w:r>
        <w:t>Accurate resource assessment is fundamental to the economic viability of renewable-powered data centers. Solar irradiance data is obtained from satellite-derived databases such as the Global Solar Atlas (World Bank) and PVGIS (European Commission Joint Research Centre), supplemented by ground-station measurements from networks such as NREL's National Solar Radiation Database (NSRDB) [92]. Typical Meteorological Year (TMY) datasets, constructed from multi-year historical records to represent statistically typical conditions, are used as the standard input for energy yield simulations [93]. The uncertainty in annual energy yield predictions typically ranges from 5 to 10 percent for well-characterized sites, increasing to 15 to 20 percent for locations with limited measurement data.</w:t>
      </w:r>
    </w:p>
    <w:p w14:paraId="5DD1489B" w14:textId="77777777" w:rsidR="005E30F4" w:rsidRDefault="004976D6">
      <w:pPr>
        <w:spacing w:after="120"/>
        <w:ind w:firstLine="480"/>
        <w:jc w:val="both"/>
      </w:pPr>
      <w:r>
        <w:t>Geographic Information System (GIS) analysis provides a powerful tool for site suitability assessment, enabling multi-criteria evaluation that integrates resource availability, grid interconnection proximity, land cost and availability, water access for cooling, environmental constraints, and construction accessibility [94]. Machine learning approaches have enhanced GIS-based assessment by enabling automated identification of optimal sites from large geospatial datasets, reducing the time and cost of preliminary feasibility studies [95].</w:t>
      </w:r>
    </w:p>
    <w:p w14:paraId="40DB5A1F" w14:textId="77777777" w:rsidR="005E30F4" w:rsidRDefault="004976D6">
      <w:pPr>
        <w:pStyle w:val="Heading2"/>
        <w:keepNext/>
      </w:pPr>
      <w:bookmarkStart w:id="25" w:name="_Toc100025"/>
      <w:r>
        <w:t>4.5 Geographic Variability and Seasonal Patterns</w:t>
      </w:r>
      <w:bookmarkEnd w:id="25"/>
    </w:p>
    <w:p w14:paraId="3A1D1BBF" w14:textId="77777777" w:rsidR="005E30F4" w:rsidRDefault="004976D6">
      <w:pPr>
        <w:spacing w:after="120"/>
        <w:ind w:firstLine="480"/>
        <w:jc w:val="both"/>
      </w:pPr>
      <w:r>
        <w:t xml:space="preserve">Understanding the temporal variability of renewable resources is essential for designing systems that meet reliability requirements. Solar generation follows a predictable diurnal and seasonal cycle, with output concentrated during daytime hours (approximately 6 AM to 6 PM) and summer months in most temperate regions. Cloud cover introduces stochastic variability on timescales of minutes to hours, with intra-hour forecast errors typically ranging from 5 to 10 percent mean absolute percentage error (MAPE) [96]. Wind generation exhibits different temporal patterns, with higher output typically occurring during nighttime and </w:t>
      </w:r>
      <w:r>
        <w:lastRenderedPageBreak/>
        <w:t>winter months in most mid-latitude locations, providing natural complementarity with solar generation.</w:t>
      </w:r>
    </w:p>
    <w:p w14:paraId="09BE48FB" w14:textId="77777777" w:rsidR="005E30F4" w:rsidRDefault="004976D6">
      <w:pPr>
        <w:keepNext/>
        <w:spacing w:before="200" w:after="100"/>
        <w:jc w:val="center"/>
      </w:pPr>
      <w:r>
        <w:rPr>
          <w:noProof/>
        </w:rPr>
        <w:drawing>
          <wp:inline distT="0" distB="0" distL="0" distR="0" wp14:anchorId="49302369" wp14:editId="56CB42DE">
            <wp:extent cx="4191000" cy="2562225"/>
            <wp:effectExtent l="0" t="0" r="0" b="0"/>
            <wp:docPr id="1918854651" name="Picture 1918854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562225"/>
                    </a:xfrm>
                    <a:prstGeom prst="rect">
                      <a:avLst/>
                    </a:prstGeom>
                  </pic:spPr>
                </pic:pic>
              </a:graphicData>
            </a:graphic>
          </wp:inline>
        </w:drawing>
      </w:r>
    </w:p>
    <w:p w14:paraId="64026972" w14:textId="77777777" w:rsidR="005E30F4" w:rsidRDefault="004976D6">
      <w:pPr>
        <w:spacing w:after="200"/>
        <w:jc w:val="center"/>
      </w:pPr>
      <w:r>
        <w:rPr>
          <w:i/>
          <w:iCs/>
          <w:color w:val="333333"/>
          <w:sz w:val="20"/>
          <w:szCs w:val="20"/>
        </w:rPr>
        <w:t>Fig. 3. Monthly wind-solar capacity factor complementarity. Source: NREL ATB [86], IEA [15].</w:t>
      </w:r>
    </w:p>
    <w:p w14:paraId="4B943752" w14:textId="77777777" w:rsidR="005E30F4" w:rsidRDefault="004976D6">
      <w:pPr>
        <w:spacing w:after="120"/>
        <w:ind w:firstLine="480"/>
        <w:jc w:val="both"/>
      </w:pPr>
      <w:r>
        <w:t>Wind-solar complementarity quantification typically employs correlation analysis using Spearman or Pearson coefficients across different temporal aggregations (hourly, daily, monthly). Studies across European regions have demonstrated that optimal cross-country coordination can increase combined wind-solar capacity factors by approximately 22 percent compared to single-site deployment [97]. For data center applications, this complementarity translates directly into reduced storage requirements and lower system costs. A data center with access to both wind and solar resources can reduce required battery storage capacity by 40 to 60 percent compared to solar-only deployment, depending on the degree of complementarity at the specific location [98]. Climate change impacts on renewable resources add an additional layer of uncertainty, with some studies suggesting modest changes in wind and solar availability over the coming decades that could affect long-term system planning [99].</w:t>
      </w:r>
    </w:p>
    <w:p w14:paraId="101B16C4" w14:textId="77777777" w:rsidR="005E30F4" w:rsidRDefault="004976D6">
      <w:pPr>
        <w:pStyle w:val="Heading1"/>
        <w:keepNext/>
      </w:pPr>
      <w:bookmarkStart w:id="26" w:name="_Toc100026"/>
      <w:r>
        <w:t>5. Energy Storage and Backup Systems</w:t>
      </w:r>
      <w:bookmarkEnd w:id="26"/>
    </w:p>
    <w:p w14:paraId="7A4505BC" w14:textId="77777777" w:rsidR="005E30F4" w:rsidRDefault="004976D6">
      <w:pPr>
        <w:spacing w:after="120"/>
        <w:ind w:firstLine="480"/>
        <w:jc w:val="both"/>
      </w:pPr>
      <w:r>
        <w:t>Energy storage systems serve as the critical enabling technology for renewable-powered AI data centers, bridging the temporal gaps between variable renewable generation and constant computing loads. This chapter examines the sizing, selection, and integration of storage technologies, including lithium-ion batteries, long-duration storage alternatives, and conventional backup power systems.</w:t>
      </w:r>
    </w:p>
    <w:p w14:paraId="44FA07C4" w14:textId="77777777" w:rsidR="005E30F4" w:rsidRDefault="004976D6">
      <w:pPr>
        <w:pStyle w:val="Heading2"/>
        <w:keepNext/>
      </w:pPr>
      <w:bookmarkStart w:id="27" w:name="_Toc100027"/>
      <w:r>
        <w:lastRenderedPageBreak/>
        <w:t>5.1 Lithium-Ion Battery Systems</w:t>
      </w:r>
      <w:bookmarkEnd w:id="27"/>
    </w:p>
    <w:p w14:paraId="4708B774" w14:textId="77777777" w:rsidR="005E30F4" w:rsidRDefault="004976D6">
      <w:pPr>
        <w:spacing w:after="120"/>
        <w:ind w:firstLine="480"/>
        <w:jc w:val="both"/>
      </w:pPr>
      <w:r>
        <w:t xml:space="preserve">Lithium-ion battery technology has undergone a dramatic cost reduction that has fundamentally altered the economics of renewable energy integration. </w:t>
      </w:r>
      <w:proofErr w:type="spellStart"/>
      <w:r>
        <w:t>BloombergNEF's</w:t>
      </w:r>
      <w:proofErr w:type="spellEnd"/>
      <w:r>
        <w:t xml:space="preserve"> annual battery price survey documents a decline from $155 per kWh in 2020 to $108 per kWh in 2025, with stationary storage packs reaching $70 per kWh as cell-level prices in China dropped below $100 per kWh [17]. This cost trajectory is projected to continue, with NREL's 2025 cost projections estimating $147 per kWh (low case), $243 per kWh (mid case), and $339 per kWh (high case) for 4-hour utility-scale systems by 2035 [100]. The learning rate for lithium-ion batteries has been estimated at approximately 18 percent per doubling of cumulative production, suggesting continued cost declines as manufacturing capacity expands [101].</w:t>
      </w:r>
    </w:p>
    <w:p w14:paraId="3472C165" w14:textId="77777777" w:rsidR="005E30F4" w:rsidRDefault="004976D6">
      <w:pPr>
        <w:keepNext/>
        <w:spacing w:before="200" w:after="100"/>
        <w:jc w:val="center"/>
      </w:pPr>
      <w:r>
        <w:rPr>
          <w:noProof/>
        </w:rPr>
        <w:drawing>
          <wp:inline distT="0" distB="0" distL="0" distR="0" wp14:anchorId="4ED122AD" wp14:editId="482C337E">
            <wp:extent cx="4191000" cy="2667000"/>
            <wp:effectExtent l="0" t="0" r="0" b="0"/>
            <wp:docPr id="509698710" name="Picture 509698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2667000"/>
                    </a:xfrm>
                    <a:prstGeom prst="rect">
                      <a:avLst/>
                    </a:prstGeom>
                  </pic:spPr>
                </pic:pic>
              </a:graphicData>
            </a:graphic>
          </wp:inline>
        </w:drawing>
      </w:r>
    </w:p>
    <w:p w14:paraId="31721AE1" w14:textId="77777777" w:rsidR="005E30F4" w:rsidRDefault="004976D6">
      <w:pPr>
        <w:spacing w:after="200"/>
        <w:jc w:val="center"/>
      </w:pPr>
      <w:r>
        <w:rPr>
          <w:i/>
          <w:iCs/>
          <w:color w:val="333333"/>
          <w:sz w:val="20"/>
          <w:szCs w:val="20"/>
        </w:rPr>
        <w:t xml:space="preserve">Fig. 4. Li-ion battery pack price decline (2020-2025). Source: </w:t>
      </w:r>
      <w:proofErr w:type="spellStart"/>
      <w:r>
        <w:rPr>
          <w:i/>
          <w:iCs/>
          <w:color w:val="333333"/>
          <w:sz w:val="20"/>
          <w:szCs w:val="20"/>
        </w:rPr>
        <w:t>BloombergNEF</w:t>
      </w:r>
      <w:proofErr w:type="spellEnd"/>
      <w:r>
        <w:rPr>
          <w:i/>
          <w:iCs/>
          <w:color w:val="333333"/>
          <w:sz w:val="20"/>
          <w:szCs w:val="20"/>
        </w:rPr>
        <w:t xml:space="preserve"> [17].</w:t>
      </w:r>
    </w:p>
    <w:p w14:paraId="017E05C1" w14:textId="77777777" w:rsidR="005E30F4" w:rsidRDefault="004976D6">
      <w:pPr>
        <w:spacing w:after="120"/>
        <w:ind w:firstLine="480"/>
        <w:jc w:val="both"/>
      </w:pPr>
      <w:r>
        <w:t>Battery chemistry selection involves trade-offs among cost, energy density, cycle life, safety, and thermal management requirements. LFP (lithium iron phosphate) has emerged as the dominant chemistry for stationary storage due to its superior safety (no thermal runaway risk), long cycle life exceeding 4,000 cycles at 80 percent depth of discharge, and lower cost resulting from the absence of cobalt and nickel [45]. NMC (nickel manganese cobalt) chemistries offer higher energy density but shorter cycle life and elevated safety concerns. Recent analysis indicates that LFP costs approximately 30 percent less than NMC on a per-kWh basis while providing comparable performance for stationary applications [46].</w:t>
      </w:r>
    </w:p>
    <w:p w14:paraId="5AAF72B0" w14:textId="77777777" w:rsidR="005E30F4" w:rsidRDefault="004976D6">
      <w:pPr>
        <w:spacing w:after="120"/>
        <w:ind w:firstLine="480"/>
        <w:jc w:val="both"/>
      </w:pPr>
      <w:r>
        <w:t xml:space="preserve">Round-trip efficiency for lithium-ion systems ranges from 85 to 95 percent depending on the specific chemistry, cell design, and power conversion system. Thermal management is essential for maintaining optimal cell temperatures (typically 20 to 35 degrees Celsius) and preventing accelerated degradation. Battery aging occurs through two mechanisms: </w:t>
      </w:r>
      <w:r>
        <w:lastRenderedPageBreak/>
        <w:t>calendar aging, which proceeds regardless of usage and is primarily a function of temperature and state of charge; and cycle aging, which depends on the depth and rate of charge-discharge cycles [102]. Studies have demonstrated that restricting depth of discharge to 50 percent can approximately double cycle life, suggesting that oversizing battery systems relative to nominal capacity requirements can improve long-term economics despite higher initial capital costs [103].</w:t>
      </w:r>
    </w:p>
    <w:p w14:paraId="17CF9EE9" w14:textId="77777777" w:rsidR="005E30F4" w:rsidRDefault="004976D6">
      <w:pPr>
        <w:pStyle w:val="Heading2"/>
        <w:keepNext/>
      </w:pPr>
      <w:bookmarkStart w:id="28" w:name="_Toc100028"/>
      <w:r>
        <w:t>5.2 Advanced Storage Technologies</w:t>
      </w:r>
      <w:bookmarkEnd w:id="28"/>
    </w:p>
    <w:p w14:paraId="13100ED7" w14:textId="77777777" w:rsidR="005E30F4" w:rsidRDefault="004976D6">
      <w:pPr>
        <w:spacing w:after="120"/>
        <w:ind w:firstLine="480"/>
        <w:jc w:val="both"/>
      </w:pPr>
      <w:r>
        <w:t>Long-duration energy storage (LDES) technologies address the fundamental limitation of lithium-ion batteries, which become economically unfavorable for discharge durations exceeding 8 to 12 hours. Vanadium redox flow batteries (VRFBs) offer independently scalable power and energy ratings, with 20,000+ cycle life and minimal degradation over time [47]. VRFB systems have been commercially deployed at scales exceeding 10 MWh, with the primary limitation being relatively high upfront costs compared to lithium-ion, though costs are declining with manufacturing scale-up.</w:t>
      </w:r>
    </w:p>
    <w:p w14:paraId="6A15F870" w14:textId="77777777" w:rsidR="005E30F4" w:rsidRDefault="004976D6">
      <w:pPr>
        <w:spacing w:after="120"/>
        <w:ind w:firstLine="480"/>
        <w:jc w:val="both"/>
      </w:pPr>
      <w:r>
        <w:t>Form Energy's iron-air battery represents a potentially transformative technology for ultra-long-duration storage. The technology uses abundant and inexpensive materials (iron, water, and air) to achieve storage costs targeting $20 per kWh, compared to $100 to $150 per kWh for lithium-ion [48]. The company has signed a 12 GWh agreement to supply multi-day iron-air batteries to new U.S. AI data centers, signaling the data center industry's interest in long-duration storage solutions [104]. Iron-air batteries achieve approximately 40 percent round-trip efficiency, which is lower than lithium-ion but acceptable when the alternative is curtailed renewable energy that would otherwise be wasted.</w:t>
      </w:r>
    </w:p>
    <w:p w14:paraId="67E8D294" w14:textId="77777777" w:rsidR="005E30F4" w:rsidRDefault="004976D6">
      <w:pPr>
        <w:spacing w:after="120"/>
        <w:ind w:firstLine="480"/>
        <w:jc w:val="both"/>
      </w:pPr>
      <w:r>
        <w:t>Hydrogen fuel cells and green hydrogen storage offer the longest-duration storage capability, from weeks to months, enabling seasonal energy shifting that is impractical with battery technologies. Microsoft demonstrated a 3 MW hydrogen fuel cell backup system at its data center, achieving 48+ hours of continuous operation on hydrogen fuel [105]. However, the current round-trip efficiency of the hydrogen pathway (electrolysis at 65 to 70 percent, compression/storage at 85 to 90 percent, and fuel cell generation at 50 to 60 percent) results in overall efficiency of approximately 30 to 40 percent, compared to 85 to 95 percent for lithium-ion batteries [49]. The economic viability of hydrogen depends on achieving green hydrogen production costs below $2 per kilogram, compared to current costs of $4 to $6 per kilogram [106].</w:t>
      </w:r>
    </w:p>
    <w:p w14:paraId="69E35533" w14:textId="77777777" w:rsidR="005E30F4" w:rsidRDefault="004976D6">
      <w:pPr>
        <w:pStyle w:val="Heading2"/>
        <w:keepNext/>
      </w:pPr>
      <w:bookmarkStart w:id="29" w:name="_Toc100029"/>
      <w:r>
        <w:t>5.3 Energy Storage Sizing Methodology</w:t>
      </w:r>
      <w:bookmarkEnd w:id="29"/>
    </w:p>
    <w:p w14:paraId="514872C6" w14:textId="77777777" w:rsidR="005E30F4" w:rsidRDefault="004976D6">
      <w:pPr>
        <w:spacing w:after="120"/>
        <w:ind w:firstLine="480"/>
        <w:jc w:val="both"/>
      </w:pPr>
      <w:r>
        <w:t xml:space="preserve">The sizing of energy storage systems for renewable-powered data centers involves balancing three competing objectives: reliability (ensuring sufficient energy to meet demand </w:t>
      </w:r>
      <w:r>
        <w:lastRenderedPageBreak/>
        <w:t>during renewable shortfalls), cost (minimizing capital and operational expenditure), and emissions (maximizing renewable utilization). Three primary approaches are employed: deterministic, probabilistic, and optimization-based methodologies.</w:t>
      </w:r>
    </w:p>
    <w:p w14:paraId="6367E953" w14:textId="77777777" w:rsidR="005E30F4" w:rsidRDefault="004976D6">
      <w:pPr>
        <w:spacing w:after="120"/>
        <w:ind w:firstLine="480"/>
        <w:jc w:val="both"/>
      </w:pPr>
      <w:r>
        <w:t>The deterministic approach sizes storage based on worst-case scenarios, such as the longest expected period of below-average renewable generation. For a data center in the U.S. Southwest with on-site solar, the worst case might involve three consecutive overcast winter days, requiring approximately 72 hours of battery storage at full load. While this approach provides a clear reliability guarantee, it typically results in significantly oversized and overcapitalized systems [50].</w:t>
      </w:r>
    </w:p>
    <w:p w14:paraId="246EF55D" w14:textId="77777777" w:rsidR="005E30F4" w:rsidRDefault="004976D6">
      <w:pPr>
        <w:spacing w:after="120"/>
        <w:ind w:firstLine="480"/>
        <w:jc w:val="both"/>
      </w:pPr>
      <w:r>
        <w:t xml:space="preserve">The probabilistic approach uses metrics such as Loss of Load Expectation (LOLE), defined as the expected number of hours per year that available generation is insufficient to meet demand, to quantify system reliability. The LOLE equation is expressed as: LOLE = sum over all </w:t>
      </w:r>
      <w:proofErr w:type="gramStart"/>
      <w:r>
        <w:t>hours</w:t>
      </w:r>
      <w:proofErr w:type="gramEnd"/>
      <w:r>
        <w:t xml:space="preserve"> t of </w:t>
      </w:r>
      <w:proofErr w:type="gramStart"/>
      <w:r>
        <w:t>P(</w:t>
      </w:r>
      <w:proofErr w:type="gramEnd"/>
      <w:r>
        <w:t>insufficient generation at time t). A typical reliability target for data centers is LOLE less than 0.1 hours per year, corresponding to 99.99 percent availability [107]. This approach provides a more nuanced assessment of reliability but requires detailed time-series generation and load data.</w:t>
      </w:r>
    </w:p>
    <w:p w14:paraId="4FC7ACF4" w14:textId="77777777" w:rsidR="005E30F4" w:rsidRDefault="004976D6">
      <w:pPr>
        <w:spacing w:after="120"/>
        <w:ind w:firstLine="480"/>
        <w:jc w:val="both"/>
      </w:pPr>
      <w:r>
        <w:t>The optimization-based approach formulates storage sizing as a mathematical programming problem, minimizing total system cost (capital expenditure plus operational expenditure over the project lifetime) subject to reliability constraints, carbon emission limits, and interconnection capacity boundaries [51]. Time-series dispatch simulation, conducted at hourly or sub-hourly resolution over one or more representative years, provides the detailed energy balance calculations needed to evaluate system performance under realistic operating conditions.</w:t>
      </w:r>
    </w:p>
    <w:p w14:paraId="3A42E103" w14:textId="77777777" w:rsidR="005E30F4" w:rsidRDefault="004976D6">
      <w:pPr>
        <w:keepNext/>
        <w:spacing w:after="120"/>
        <w:jc w:val="both"/>
      </w:pPr>
      <w:r>
        <w:rPr>
          <w:b/>
          <w:bCs/>
          <w:sz w:val="20"/>
          <w:szCs w:val="20"/>
        </w:rPr>
        <w:t>Table II: Storage Duration Options and Trade-offs</w:t>
      </w:r>
    </w:p>
    <w:tbl>
      <w:tblPr>
        <w:tblW w:w="5000" w:type="pct"/>
        <w:tblBorders>
          <w:top w:val="single" w:sz="2" w:space="0" w:color="999999"/>
          <w:left w:val="single" w:sz="4" w:space="0" w:color="auto"/>
          <w:bottom w:val="single" w:sz="2" w:space="0" w:color="999999"/>
          <w:right w:val="single" w:sz="4" w:space="0" w:color="auto"/>
          <w:insideH w:val="single" w:sz="1" w:space="0" w:color="CCCCCC"/>
          <w:insideV w:val="single" w:sz="4" w:space="0" w:color="auto"/>
        </w:tblBorders>
        <w:tblCellMar>
          <w:left w:w="10" w:type="dxa"/>
          <w:right w:w="10" w:type="dxa"/>
        </w:tblCellMar>
        <w:tblLook w:val="04A0" w:firstRow="1" w:lastRow="0" w:firstColumn="1" w:lastColumn="0" w:noHBand="0" w:noVBand="1"/>
      </w:tblPr>
      <w:tblGrid>
        <w:gridCol w:w="1316"/>
        <w:gridCol w:w="1756"/>
        <w:gridCol w:w="1756"/>
        <w:gridCol w:w="1317"/>
        <w:gridCol w:w="2633"/>
      </w:tblGrid>
      <w:tr w:rsidR="005E30F4" w14:paraId="609BAEFB" w14:textId="77777777">
        <w:trPr>
          <w:cantSplit/>
          <w:tblHeader/>
        </w:trPr>
        <w:tc>
          <w:tcPr>
            <w:tcW w:w="750" w:type="pct"/>
            <w:shd w:val="clear" w:color="auto" w:fill="F1F5F9"/>
            <w:tcMar>
              <w:top w:w="60" w:type="dxa"/>
              <w:left w:w="100" w:type="dxa"/>
              <w:bottom w:w="60" w:type="dxa"/>
              <w:right w:w="100" w:type="dxa"/>
            </w:tcMar>
          </w:tcPr>
          <w:p w14:paraId="32BEF7CC" w14:textId="77777777" w:rsidR="005E30F4" w:rsidRDefault="004976D6">
            <w:pPr>
              <w:jc w:val="center"/>
            </w:pPr>
            <w:r>
              <w:rPr>
                <w:b/>
                <w:bCs/>
                <w:sz w:val="20"/>
                <w:szCs w:val="20"/>
              </w:rPr>
              <w:t>Duration</w:t>
            </w:r>
          </w:p>
        </w:tc>
        <w:tc>
          <w:tcPr>
            <w:tcW w:w="1000" w:type="pct"/>
            <w:shd w:val="clear" w:color="auto" w:fill="F1F5F9"/>
            <w:tcMar>
              <w:top w:w="60" w:type="dxa"/>
              <w:left w:w="100" w:type="dxa"/>
              <w:bottom w:w="60" w:type="dxa"/>
              <w:right w:w="100" w:type="dxa"/>
            </w:tcMar>
          </w:tcPr>
          <w:p w14:paraId="6335206E" w14:textId="77777777" w:rsidR="005E30F4" w:rsidRDefault="004976D6">
            <w:pPr>
              <w:jc w:val="center"/>
            </w:pPr>
            <w:r>
              <w:rPr>
                <w:b/>
                <w:bCs/>
                <w:sz w:val="20"/>
                <w:szCs w:val="20"/>
              </w:rPr>
              <w:t>Technology</w:t>
            </w:r>
          </w:p>
        </w:tc>
        <w:tc>
          <w:tcPr>
            <w:tcW w:w="1000" w:type="pct"/>
            <w:shd w:val="clear" w:color="auto" w:fill="F1F5F9"/>
            <w:tcMar>
              <w:top w:w="60" w:type="dxa"/>
              <w:left w:w="100" w:type="dxa"/>
              <w:bottom w:w="60" w:type="dxa"/>
              <w:right w:w="100" w:type="dxa"/>
            </w:tcMar>
          </w:tcPr>
          <w:p w14:paraId="0829F534" w14:textId="77777777" w:rsidR="005E30F4" w:rsidRDefault="004976D6">
            <w:pPr>
              <w:jc w:val="center"/>
            </w:pPr>
            <w:r>
              <w:rPr>
                <w:b/>
                <w:bCs/>
                <w:sz w:val="20"/>
                <w:szCs w:val="20"/>
              </w:rPr>
              <w:t>Cost ($/kWh)</w:t>
            </w:r>
          </w:p>
        </w:tc>
        <w:tc>
          <w:tcPr>
            <w:tcW w:w="750" w:type="pct"/>
            <w:shd w:val="clear" w:color="auto" w:fill="F1F5F9"/>
            <w:tcMar>
              <w:top w:w="60" w:type="dxa"/>
              <w:left w:w="100" w:type="dxa"/>
              <w:bottom w:w="60" w:type="dxa"/>
              <w:right w:w="100" w:type="dxa"/>
            </w:tcMar>
          </w:tcPr>
          <w:p w14:paraId="4CB08C2E" w14:textId="77777777" w:rsidR="005E30F4" w:rsidRDefault="004976D6">
            <w:pPr>
              <w:jc w:val="center"/>
            </w:pPr>
            <w:r>
              <w:rPr>
                <w:b/>
                <w:bCs/>
                <w:sz w:val="20"/>
                <w:szCs w:val="20"/>
              </w:rPr>
              <w:t>Efficiency</w:t>
            </w:r>
          </w:p>
        </w:tc>
        <w:tc>
          <w:tcPr>
            <w:tcW w:w="1500" w:type="pct"/>
            <w:shd w:val="clear" w:color="auto" w:fill="F1F5F9"/>
            <w:tcMar>
              <w:top w:w="60" w:type="dxa"/>
              <w:left w:w="100" w:type="dxa"/>
              <w:bottom w:w="60" w:type="dxa"/>
              <w:right w:w="100" w:type="dxa"/>
            </w:tcMar>
          </w:tcPr>
          <w:p w14:paraId="2BFE94B5" w14:textId="77777777" w:rsidR="005E30F4" w:rsidRDefault="004976D6">
            <w:pPr>
              <w:jc w:val="center"/>
            </w:pPr>
            <w:r>
              <w:rPr>
                <w:b/>
                <w:bCs/>
                <w:sz w:val="20"/>
                <w:szCs w:val="20"/>
              </w:rPr>
              <w:t>Best Application</w:t>
            </w:r>
          </w:p>
        </w:tc>
      </w:tr>
      <w:tr w:rsidR="005E30F4" w14:paraId="043DADF9" w14:textId="77777777">
        <w:trPr>
          <w:cantSplit/>
        </w:trPr>
        <w:tc>
          <w:tcPr>
            <w:tcW w:w="750" w:type="pct"/>
            <w:tcMar>
              <w:top w:w="40" w:type="dxa"/>
              <w:left w:w="100" w:type="dxa"/>
              <w:bottom w:w="40" w:type="dxa"/>
              <w:right w:w="100" w:type="dxa"/>
            </w:tcMar>
          </w:tcPr>
          <w:p w14:paraId="4F94BB1C" w14:textId="77777777" w:rsidR="005E30F4" w:rsidRDefault="004976D6">
            <w:pPr>
              <w:jc w:val="center"/>
            </w:pPr>
            <w:r>
              <w:rPr>
                <w:sz w:val="20"/>
                <w:szCs w:val="20"/>
              </w:rPr>
              <w:t>2-4 hours</w:t>
            </w:r>
          </w:p>
        </w:tc>
        <w:tc>
          <w:tcPr>
            <w:tcW w:w="1000" w:type="pct"/>
            <w:tcMar>
              <w:top w:w="40" w:type="dxa"/>
              <w:left w:w="100" w:type="dxa"/>
              <w:bottom w:w="40" w:type="dxa"/>
              <w:right w:w="100" w:type="dxa"/>
            </w:tcMar>
          </w:tcPr>
          <w:p w14:paraId="17DAF88B" w14:textId="77777777" w:rsidR="005E30F4" w:rsidRDefault="004976D6">
            <w:pPr>
              <w:jc w:val="center"/>
            </w:pPr>
            <w:r>
              <w:rPr>
                <w:sz w:val="20"/>
                <w:szCs w:val="20"/>
              </w:rPr>
              <w:t>Li-ion LFP</w:t>
            </w:r>
          </w:p>
        </w:tc>
        <w:tc>
          <w:tcPr>
            <w:tcW w:w="1000" w:type="pct"/>
            <w:tcMar>
              <w:top w:w="40" w:type="dxa"/>
              <w:left w:w="100" w:type="dxa"/>
              <w:bottom w:w="40" w:type="dxa"/>
              <w:right w:w="100" w:type="dxa"/>
            </w:tcMar>
          </w:tcPr>
          <w:p w14:paraId="467D9808" w14:textId="77777777" w:rsidR="005E30F4" w:rsidRDefault="004976D6">
            <w:pPr>
              <w:jc w:val="center"/>
            </w:pPr>
            <w:r>
              <w:rPr>
                <w:sz w:val="20"/>
                <w:szCs w:val="20"/>
              </w:rPr>
              <w:t>$100-200</w:t>
            </w:r>
          </w:p>
        </w:tc>
        <w:tc>
          <w:tcPr>
            <w:tcW w:w="750" w:type="pct"/>
            <w:tcMar>
              <w:top w:w="40" w:type="dxa"/>
              <w:left w:w="100" w:type="dxa"/>
              <w:bottom w:w="40" w:type="dxa"/>
              <w:right w:w="100" w:type="dxa"/>
            </w:tcMar>
          </w:tcPr>
          <w:p w14:paraId="5B3E32D6" w14:textId="77777777" w:rsidR="005E30F4" w:rsidRDefault="004976D6">
            <w:pPr>
              <w:jc w:val="center"/>
            </w:pPr>
            <w:r>
              <w:rPr>
                <w:sz w:val="20"/>
                <w:szCs w:val="20"/>
              </w:rPr>
              <w:t>85-95%</w:t>
            </w:r>
          </w:p>
        </w:tc>
        <w:tc>
          <w:tcPr>
            <w:tcW w:w="1500" w:type="pct"/>
            <w:tcMar>
              <w:top w:w="40" w:type="dxa"/>
              <w:left w:w="100" w:type="dxa"/>
              <w:bottom w:w="40" w:type="dxa"/>
              <w:right w:w="100" w:type="dxa"/>
            </w:tcMar>
          </w:tcPr>
          <w:p w14:paraId="7C3123F7" w14:textId="77777777" w:rsidR="005E30F4" w:rsidRDefault="004976D6">
            <w:pPr>
              <w:jc w:val="center"/>
            </w:pPr>
            <w:r>
              <w:rPr>
                <w:sz w:val="20"/>
                <w:szCs w:val="20"/>
              </w:rPr>
              <w:t>Daily peak shaving</w:t>
            </w:r>
          </w:p>
        </w:tc>
      </w:tr>
      <w:tr w:rsidR="005E30F4" w14:paraId="33AE24AE" w14:textId="77777777">
        <w:trPr>
          <w:cantSplit/>
        </w:trPr>
        <w:tc>
          <w:tcPr>
            <w:tcW w:w="750" w:type="pct"/>
            <w:tcMar>
              <w:top w:w="40" w:type="dxa"/>
              <w:left w:w="100" w:type="dxa"/>
              <w:bottom w:w="40" w:type="dxa"/>
              <w:right w:w="100" w:type="dxa"/>
            </w:tcMar>
          </w:tcPr>
          <w:p w14:paraId="4D47EB05" w14:textId="77777777" w:rsidR="005E30F4" w:rsidRDefault="004976D6">
            <w:pPr>
              <w:jc w:val="center"/>
            </w:pPr>
            <w:r>
              <w:rPr>
                <w:sz w:val="20"/>
                <w:szCs w:val="20"/>
              </w:rPr>
              <w:t>4-8 hours</w:t>
            </w:r>
          </w:p>
        </w:tc>
        <w:tc>
          <w:tcPr>
            <w:tcW w:w="1000" w:type="pct"/>
            <w:tcMar>
              <w:top w:w="40" w:type="dxa"/>
              <w:left w:w="100" w:type="dxa"/>
              <w:bottom w:w="40" w:type="dxa"/>
              <w:right w:w="100" w:type="dxa"/>
            </w:tcMar>
          </w:tcPr>
          <w:p w14:paraId="5B0FF62E" w14:textId="77777777" w:rsidR="005E30F4" w:rsidRDefault="004976D6">
            <w:pPr>
              <w:jc w:val="center"/>
            </w:pPr>
            <w:r>
              <w:rPr>
                <w:sz w:val="20"/>
                <w:szCs w:val="20"/>
              </w:rPr>
              <w:t>Li-ion LFP</w:t>
            </w:r>
          </w:p>
        </w:tc>
        <w:tc>
          <w:tcPr>
            <w:tcW w:w="1000" w:type="pct"/>
            <w:tcMar>
              <w:top w:w="40" w:type="dxa"/>
              <w:left w:w="100" w:type="dxa"/>
              <w:bottom w:w="40" w:type="dxa"/>
              <w:right w:w="100" w:type="dxa"/>
            </w:tcMar>
          </w:tcPr>
          <w:p w14:paraId="0E643AF9" w14:textId="77777777" w:rsidR="005E30F4" w:rsidRDefault="004976D6">
            <w:pPr>
              <w:jc w:val="center"/>
            </w:pPr>
            <w:r>
              <w:rPr>
                <w:sz w:val="20"/>
                <w:szCs w:val="20"/>
              </w:rPr>
              <w:t>$150-250</w:t>
            </w:r>
          </w:p>
        </w:tc>
        <w:tc>
          <w:tcPr>
            <w:tcW w:w="750" w:type="pct"/>
            <w:tcMar>
              <w:top w:w="40" w:type="dxa"/>
              <w:left w:w="100" w:type="dxa"/>
              <w:bottom w:w="40" w:type="dxa"/>
              <w:right w:w="100" w:type="dxa"/>
            </w:tcMar>
          </w:tcPr>
          <w:p w14:paraId="36372A64" w14:textId="77777777" w:rsidR="005E30F4" w:rsidRDefault="004976D6">
            <w:pPr>
              <w:jc w:val="center"/>
            </w:pPr>
            <w:r>
              <w:rPr>
                <w:sz w:val="20"/>
                <w:szCs w:val="20"/>
              </w:rPr>
              <w:t>85-95%</w:t>
            </w:r>
          </w:p>
        </w:tc>
        <w:tc>
          <w:tcPr>
            <w:tcW w:w="1500" w:type="pct"/>
            <w:tcMar>
              <w:top w:w="40" w:type="dxa"/>
              <w:left w:w="100" w:type="dxa"/>
              <w:bottom w:w="40" w:type="dxa"/>
              <w:right w:w="100" w:type="dxa"/>
            </w:tcMar>
          </w:tcPr>
          <w:p w14:paraId="7D620030" w14:textId="77777777" w:rsidR="005E30F4" w:rsidRDefault="004976D6">
            <w:pPr>
              <w:jc w:val="center"/>
            </w:pPr>
            <w:r>
              <w:rPr>
                <w:sz w:val="20"/>
                <w:szCs w:val="20"/>
              </w:rPr>
              <w:t>Solar time-shifting</w:t>
            </w:r>
          </w:p>
        </w:tc>
      </w:tr>
      <w:tr w:rsidR="005E30F4" w14:paraId="1E25CC5B" w14:textId="77777777">
        <w:trPr>
          <w:cantSplit/>
        </w:trPr>
        <w:tc>
          <w:tcPr>
            <w:tcW w:w="750" w:type="pct"/>
            <w:tcMar>
              <w:top w:w="40" w:type="dxa"/>
              <w:left w:w="100" w:type="dxa"/>
              <w:bottom w:w="40" w:type="dxa"/>
              <w:right w:w="100" w:type="dxa"/>
            </w:tcMar>
          </w:tcPr>
          <w:p w14:paraId="3AC1E8C6" w14:textId="77777777" w:rsidR="005E30F4" w:rsidRDefault="004976D6">
            <w:pPr>
              <w:jc w:val="center"/>
            </w:pPr>
            <w:r>
              <w:rPr>
                <w:sz w:val="20"/>
                <w:szCs w:val="20"/>
              </w:rPr>
              <w:t>8-24 hours</w:t>
            </w:r>
          </w:p>
        </w:tc>
        <w:tc>
          <w:tcPr>
            <w:tcW w:w="1000" w:type="pct"/>
            <w:tcMar>
              <w:top w:w="40" w:type="dxa"/>
              <w:left w:w="100" w:type="dxa"/>
              <w:bottom w:w="40" w:type="dxa"/>
              <w:right w:w="100" w:type="dxa"/>
            </w:tcMar>
          </w:tcPr>
          <w:p w14:paraId="3C0BCB4C" w14:textId="77777777" w:rsidR="005E30F4" w:rsidRDefault="004976D6">
            <w:pPr>
              <w:jc w:val="center"/>
            </w:pPr>
            <w:r>
              <w:rPr>
                <w:sz w:val="20"/>
                <w:szCs w:val="20"/>
              </w:rPr>
              <w:t>Flow Battery</w:t>
            </w:r>
          </w:p>
        </w:tc>
        <w:tc>
          <w:tcPr>
            <w:tcW w:w="1000" w:type="pct"/>
            <w:tcMar>
              <w:top w:w="40" w:type="dxa"/>
              <w:left w:w="100" w:type="dxa"/>
              <w:bottom w:w="40" w:type="dxa"/>
              <w:right w:w="100" w:type="dxa"/>
            </w:tcMar>
          </w:tcPr>
          <w:p w14:paraId="2B82F482" w14:textId="77777777" w:rsidR="005E30F4" w:rsidRDefault="004976D6">
            <w:pPr>
              <w:jc w:val="center"/>
            </w:pPr>
            <w:r>
              <w:rPr>
                <w:sz w:val="20"/>
                <w:szCs w:val="20"/>
              </w:rPr>
              <w:t>$200-400</w:t>
            </w:r>
          </w:p>
        </w:tc>
        <w:tc>
          <w:tcPr>
            <w:tcW w:w="750" w:type="pct"/>
            <w:tcMar>
              <w:top w:w="40" w:type="dxa"/>
              <w:left w:w="100" w:type="dxa"/>
              <w:bottom w:w="40" w:type="dxa"/>
              <w:right w:w="100" w:type="dxa"/>
            </w:tcMar>
          </w:tcPr>
          <w:p w14:paraId="59EAE728" w14:textId="77777777" w:rsidR="005E30F4" w:rsidRDefault="004976D6">
            <w:pPr>
              <w:jc w:val="center"/>
            </w:pPr>
            <w:r>
              <w:rPr>
                <w:sz w:val="20"/>
                <w:szCs w:val="20"/>
              </w:rPr>
              <w:t>65-80%</w:t>
            </w:r>
          </w:p>
        </w:tc>
        <w:tc>
          <w:tcPr>
            <w:tcW w:w="1500" w:type="pct"/>
            <w:tcMar>
              <w:top w:w="40" w:type="dxa"/>
              <w:left w:w="100" w:type="dxa"/>
              <w:bottom w:w="40" w:type="dxa"/>
              <w:right w:w="100" w:type="dxa"/>
            </w:tcMar>
          </w:tcPr>
          <w:p w14:paraId="23B2D1C2" w14:textId="77777777" w:rsidR="005E30F4" w:rsidRDefault="004976D6">
            <w:pPr>
              <w:jc w:val="center"/>
            </w:pPr>
            <w:r>
              <w:rPr>
                <w:sz w:val="20"/>
                <w:szCs w:val="20"/>
              </w:rPr>
              <w:t>Multi-day firming</w:t>
            </w:r>
          </w:p>
        </w:tc>
      </w:tr>
      <w:tr w:rsidR="005E30F4" w14:paraId="24263670" w14:textId="77777777">
        <w:trPr>
          <w:cantSplit/>
        </w:trPr>
        <w:tc>
          <w:tcPr>
            <w:tcW w:w="750" w:type="pct"/>
            <w:tcMar>
              <w:top w:w="40" w:type="dxa"/>
              <w:left w:w="100" w:type="dxa"/>
              <w:bottom w:w="40" w:type="dxa"/>
              <w:right w:w="100" w:type="dxa"/>
            </w:tcMar>
          </w:tcPr>
          <w:p w14:paraId="2B1D8079" w14:textId="77777777" w:rsidR="005E30F4" w:rsidRDefault="004976D6">
            <w:pPr>
              <w:jc w:val="center"/>
            </w:pPr>
            <w:r>
              <w:rPr>
                <w:sz w:val="20"/>
                <w:szCs w:val="20"/>
              </w:rPr>
              <w:t>24-100 hours</w:t>
            </w:r>
          </w:p>
        </w:tc>
        <w:tc>
          <w:tcPr>
            <w:tcW w:w="1000" w:type="pct"/>
            <w:tcMar>
              <w:top w:w="40" w:type="dxa"/>
              <w:left w:w="100" w:type="dxa"/>
              <w:bottom w:w="40" w:type="dxa"/>
              <w:right w:w="100" w:type="dxa"/>
            </w:tcMar>
          </w:tcPr>
          <w:p w14:paraId="25D66B64" w14:textId="77777777" w:rsidR="005E30F4" w:rsidRDefault="004976D6">
            <w:pPr>
              <w:jc w:val="center"/>
            </w:pPr>
            <w:r>
              <w:rPr>
                <w:sz w:val="20"/>
                <w:szCs w:val="20"/>
              </w:rPr>
              <w:t>Iron-Air</w:t>
            </w:r>
          </w:p>
        </w:tc>
        <w:tc>
          <w:tcPr>
            <w:tcW w:w="1000" w:type="pct"/>
            <w:tcMar>
              <w:top w:w="40" w:type="dxa"/>
              <w:left w:w="100" w:type="dxa"/>
              <w:bottom w:w="40" w:type="dxa"/>
              <w:right w:w="100" w:type="dxa"/>
            </w:tcMar>
          </w:tcPr>
          <w:p w14:paraId="2DE28F1B" w14:textId="77777777" w:rsidR="005E30F4" w:rsidRDefault="004976D6">
            <w:pPr>
              <w:jc w:val="center"/>
            </w:pPr>
            <w:r>
              <w:rPr>
                <w:sz w:val="20"/>
                <w:szCs w:val="20"/>
              </w:rPr>
              <w:t>$20-80</w:t>
            </w:r>
          </w:p>
        </w:tc>
        <w:tc>
          <w:tcPr>
            <w:tcW w:w="750" w:type="pct"/>
            <w:tcMar>
              <w:top w:w="40" w:type="dxa"/>
              <w:left w:w="100" w:type="dxa"/>
              <w:bottom w:w="40" w:type="dxa"/>
              <w:right w:w="100" w:type="dxa"/>
            </w:tcMar>
          </w:tcPr>
          <w:p w14:paraId="6798C5FD" w14:textId="77777777" w:rsidR="005E30F4" w:rsidRDefault="004976D6">
            <w:pPr>
              <w:jc w:val="center"/>
            </w:pPr>
            <w:r>
              <w:rPr>
                <w:sz w:val="20"/>
                <w:szCs w:val="20"/>
              </w:rPr>
              <w:t>35-45%</w:t>
            </w:r>
          </w:p>
        </w:tc>
        <w:tc>
          <w:tcPr>
            <w:tcW w:w="1500" w:type="pct"/>
            <w:tcMar>
              <w:top w:w="40" w:type="dxa"/>
              <w:left w:w="100" w:type="dxa"/>
              <w:bottom w:w="40" w:type="dxa"/>
              <w:right w:w="100" w:type="dxa"/>
            </w:tcMar>
          </w:tcPr>
          <w:p w14:paraId="6AF06A2D" w14:textId="77777777" w:rsidR="005E30F4" w:rsidRDefault="004976D6">
            <w:pPr>
              <w:jc w:val="center"/>
            </w:pPr>
            <w:r>
              <w:rPr>
                <w:sz w:val="20"/>
                <w:szCs w:val="20"/>
              </w:rPr>
              <w:t>Seasonal storage</w:t>
            </w:r>
          </w:p>
        </w:tc>
      </w:tr>
      <w:tr w:rsidR="005E30F4" w14:paraId="45519F88" w14:textId="77777777">
        <w:trPr>
          <w:cantSplit/>
        </w:trPr>
        <w:tc>
          <w:tcPr>
            <w:tcW w:w="750" w:type="pct"/>
            <w:tcMar>
              <w:top w:w="40" w:type="dxa"/>
              <w:left w:w="100" w:type="dxa"/>
              <w:bottom w:w="40" w:type="dxa"/>
              <w:right w:w="100" w:type="dxa"/>
            </w:tcMar>
          </w:tcPr>
          <w:p w14:paraId="6903245A" w14:textId="77777777" w:rsidR="005E30F4" w:rsidRDefault="004976D6">
            <w:pPr>
              <w:jc w:val="center"/>
            </w:pPr>
            <w:r>
              <w:rPr>
                <w:sz w:val="20"/>
                <w:szCs w:val="20"/>
              </w:rPr>
              <w:t>100+ hours</w:t>
            </w:r>
          </w:p>
        </w:tc>
        <w:tc>
          <w:tcPr>
            <w:tcW w:w="1000" w:type="pct"/>
            <w:tcMar>
              <w:top w:w="40" w:type="dxa"/>
              <w:left w:w="100" w:type="dxa"/>
              <w:bottom w:w="40" w:type="dxa"/>
              <w:right w:w="100" w:type="dxa"/>
            </w:tcMar>
          </w:tcPr>
          <w:p w14:paraId="38967D58" w14:textId="77777777" w:rsidR="005E30F4" w:rsidRDefault="004976D6">
            <w:pPr>
              <w:jc w:val="center"/>
            </w:pPr>
            <w:r>
              <w:rPr>
                <w:sz w:val="20"/>
                <w:szCs w:val="20"/>
              </w:rPr>
              <w:t>Green H2</w:t>
            </w:r>
          </w:p>
        </w:tc>
        <w:tc>
          <w:tcPr>
            <w:tcW w:w="1000" w:type="pct"/>
            <w:tcMar>
              <w:top w:w="40" w:type="dxa"/>
              <w:left w:w="100" w:type="dxa"/>
              <w:bottom w:w="40" w:type="dxa"/>
              <w:right w:w="100" w:type="dxa"/>
            </w:tcMar>
          </w:tcPr>
          <w:p w14:paraId="00535AFC" w14:textId="77777777" w:rsidR="005E30F4" w:rsidRDefault="004976D6">
            <w:pPr>
              <w:jc w:val="center"/>
            </w:pPr>
            <w:r>
              <w:rPr>
                <w:sz w:val="20"/>
                <w:szCs w:val="20"/>
              </w:rPr>
              <w:t>$150-250</w:t>
            </w:r>
          </w:p>
        </w:tc>
        <w:tc>
          <w:tcPr>
            <w:tcW w:w="750" w:type="pct"/>
            <w:tcMar>
              <w:top w:w="40" w:type="dxa"/>
              <w:left w:w="100" w:type="dxa"/>
              <w:bottom w:w="40" w:type="dxa"/>
              <w:right w:w="100" w:type="dxa"/>
            </w:tcMar>
          </w:tcPr>
          <w:p w14:paraId="18D62A00" w14:textId="77777777" w:rsidR="005E30F4" w:rsidRDefault="004976D6">
            <w:pPr>
              <w:jc w:val="center"/>
            </w:pPr>
            <w:r>
              <w:rPr>
                <w:sz w:val="20"/>
                <w:szCs w:val="20"/>
              </w:rPr>
              <w:t>30-40%</w:t>
            </w:r>
          </w:p>
        </w:tc>
        <w:tc>
          <w:tcPr>
            <w:tcW w:w="1500" w:type="pct"/>
            <w:tcMar>
              <w:top w:w="40" w:type="dxa"/>
              <w:left w:w="100" w:type="dxa"/>
              <w:bottom w:w="40" w:type="dxa"/>
              <w:right w:w="100" w:type="dxa"/>
            </w:tcMar>
          </w:tcPr>
          <w:p w14:paraId="6B15FB2B" w14:textId="77777777" w:rsidR="005E30F4" w:rsidRDefault="004976D6">
            <w:pPr>
              <w:jc w:val="center"/>
            </w:pPr>
            <w:r>
              <w:rPr>
                <w:sz w:val="20"/>
                <w:szCs w:val="20"/>
              </w:rPr>
              <w:t>Longest duration</w:t>
            </w:r>
          </w:p>
        </w:tc>
      </w:tr>
    </w:tbl>
    <w:p w14:paraId="6761FAA6" w14:textId="77777777" w:rsidR="005E30F4" w:rsidRDefault="004976D6">
      <w:pPr>
        <w:pStyle w:val="Heading2"/>
        <w:keepNext/>
      </w:pPr>
      <w:bookmarkStart w:id="30" w:name="_Toc100030"/>
      <w:r>
        <w:t>5.4 Hybrid Backup Power Systems</w:t>
      </w:r>
      <w:bookmarkEnd w:id="30"/>
    </w:p>
    <w:p w14:paraId="34D98EC4" w14:textId="77777777" w:rsidR="005E30F4" w:rsidRDefault="004976D6">
      <w:pPr>
        <w:spacing w:after="120"/>
        <w:ind w:firstLine="480"/>
        <w:jc w:val="both"/>
      </w:pPr>
      <w:r>
        <w:t xml:space="preserve">The selection of backup power technology involves trade-offs among reliability, cost, emissions, and fuel logistics. Diesel generators remain the most widely deployed backup technology, offering capital costs of $300 to $600 per kW, proven reliability, and established fuel supply chains. However, diesel generators produce significant local air pollutants (NOx, </w:t>
      </w:r>
      <w:r>
        <w:lastRenderedPageBreak/>
        <w:t>PM2.5) and CO2 emissions, creating conflicts with corporate sustainability goals [108]. For a 100 MW data center with N+1 redundancy, diesel generator installations typically require 20 to 30 MW units, with fuel storage sufficient for 24 to 72 hours of operation at full load.</w:t>
      </w:r>
    </w:p>
    <w:p w14:paraId="1946D497" w14:textId="77777777" w:rsidR="005E30F4" w:rsidRDefault="004976D6">
      <w:pPr>
        <w:spacing w:after="120"/>
        <w:ind w:firstLine="480"/>
        <w:jc w:val="both"/>
      </w:pPr>
      <w:r>
        <w:t>Natural gas generators offer lower emissions than diesel, with approximately 20 to 30 percent lower CO2 emissions per kWh and significantly reduced local air quality impacts. Capital costs are comparable to diesel at $350 to $650 per kW, but fuel supply reliability depends on natural gas pipeline infrastructure, which may be vulnerable to disruption during extreme weather events [109]. Microturbines, which operate on natural gas or biogas, offer compact footprints and low maintenance requirements but lower efficiency (25 to 35 percent) compared to reciprocating engines [110].</w:t>
      </w:r>
    </w:p>
    <w:p w14:paraId="4D566119" w14:textId="77777777" w:rsidR="005E30F4" w:rsidRDefault="004976D6">
      <w:pPr>
        <w:spacing w:after="120"/>
        <w:ind w:firstLine="480"/>
        <w:jc w:val="both"/>
      </w:pPr>
      <w:r>
        <w:t>Grid connection as a backup strategy relies on the inherent reliability of the utility grid, supplemented by dual utility feeds from independent substations to reduce the probability of simultaneous outage. Tiered power contracts, which combine firm capacity with interruptible rates at lower prices, provide economic flexibility while maintaining backup capability [111]. The reliability of grid backup varies significantly by region, with average U.S. utility outage durations ranging from 1.5 to 6 hours per year depending on the specific utility and geographic location [112].</w:t>
      </w:r>
    </w:p>
    <w:p w14:paraId="05D7D76C" w14:textId="77777777" w:rsidR="005E30F4" w:rsidRDefault="004976D6">
      <w:pPr>
        <w:pStyle w:val="Heading2"/>
        <w:keepNext/>
      </w:pPr>
      <w:bookmarkStart w:id="31" w:name="_Toc100031"/>
      <w:r>
        <w:t>5.5 Integration and Control Architecture</w:t>
      </w:r>
      <w:bookmarkEnd w:id="31"/>
    </w:p>
    <w:p w14:paraId="44700DD2" w14:textId="77777777" w:rsidR="005E30F4" w:rsidRDefault="004976D6">
      <w:pPr>
        <w:spacing w:after="120"/>
        <w:ind w:firstLine="480"/>
        <w:jc w:val="both"/>
      </w:pPr>
      <w:r>
        <w:t>The energy management system (EMS) serves as the central intelligence for coordinating renewable generation, storage dispatch, backup power activation, and demand-side management in a renewable-powered data center microgrid. Modern EMS platforms implement hierarchical control architectures with three primary levels: device-level controllers responding to grid signals in milliseconds; facility-level EMS performing hourly dispatch optimization; and corporate-level optimizers managing multi-facility resource allocation [113].</w:t>
      </w:r>
    </w:p>
    <w:p w14:paraId="19CF04FD" w14:textId="77777777" w:rsidR="005E30F4" w:rsidRDefault="004976D6">
      <w:pPr>
        <w:spacing w:after="120"/>
        <w:ind w:firstLine="480"/>
        <w:jc w:val="both"/>
      </w:pPr>
      <w:r>
        <w:t xml:space="preserve">Model-predictive control (MPC) has emerged as the preferred dispatch optimization strategy, using forecasts of renewable generation and load demand to optimize energy dispatch over a </w:t>
      </w:r>
      <w:proofErr w:type="gramStart"/>
      <w:r>
        <w:t>24 to 48 hour</w:t>
      </w:r>
      <w:proofErr w:type="gramEnd"/>
      <w:r>
        <w:t xml:space="preserve"> horizon, updated at regular intervals [114]. The MPC formulation minimizes a cost function that includes energy procurement costs, battery degradation costs, demand charge penalties, and carbon emission costs, subject to physical constraints including battery state-of-charge limits, inverter capacity ratings, and interconnection power flow boundaries. Studies have demonstrated that MPC-based dispatch can reduce energy costs by 10 to 20 percent compared to simple rule-based strategies while maintaining equivalent or superior reliability performance [115].</w:t>
      </w:r>
    </w:p>
    <w:p w14:paraId="35FF0D44" w14:textId="77777777" w:rsidR="005E30F4" w:rsidRDefault="004976D6">
      <w:pPr>
        <w:spacing w:after="120"/>
        <w:ind w:firstLine="480"/>
        <w:jc w:val="both"/>
      </w:pPr>
      <w:r>
        <w:t xml:space="preserve">Fault detection, redundancy, and failover logic are critical for ensuring system reliability. Modern EMS platforms implement N+1 or 2N redundancy for critical </w:t>
      </w:r>
      <w:r>
        <w:lastRenderedPageBreak/>
        <w:t>components, with automatic failover in the event of controller or communication failure. Cybersecurity measures, including encrypted communications, multi-factor authentication, and network segmentation between operational technology (OT) and enterprise IT networks, are essential for protecting against increasingly sophisticated threats to critical infrastructure [116].</w:t>
      </w:r>
    </w:p>
    <w:p w14:paraId="14ACBBC1" w14:textId="77777777" w:rsidR="005E30F4" w:rsidRDefault="004976D6">
      <w:pPr>
        <w:pStyle w:val="Heading1"/>
        <w:keepNext/>
      </w:pPr>
      <w:bookmarkStart w:id="32" w:name="_Toc100032"/>
      <w:r>
        <w:t>6. Power System Modeling and Simulation</w:t>
      </w:r>
      <w:bookmarkEnd w:id="32"/>
    </w:p>
    <w:p w14:paraId="41AB8A9E" w14:textId="77777777" w:rsidR="005E30F4" w:rsidRDefault="004976D6">
      <w:pPr>
        <w:spacing w:after="120"/>
        <w:ind w:firstLine="480"/>
        <w:jc w:val="both"/>
      </w:pPr>
      <w:r>
        <w:t>This chapter examines the tools, methodologies, and validation approaches for designing and analyzing hybrid microgrid systems for renewable-powered AI data centers. Accurate modeling is essential for predicting system performance under varying operating conditions, optimizing component sizing, and validating control strategies before deployment.</w:t>
      </w:r>
    </w:p>
    <w:p w14:paraId="6CF1AF61" w14:textId="77777777" w:rsidR="005E30F4" w:rsidRDefault="004976D6">
      <w:pPr>
        <w:pStyle w:val="Heading2"/>
        <w:keepNext/>
      </w:pPr>
      <w:bookmarkStart w:id="33" w:name="_Toc100033"/>
      <w:r>
        <w:t>6.1 Steady-State Power Flow Analysis</w:t>
      </w:r>
      <w:bookmarkEnd w:id="33"/>
    </w:p>
    <w:p w14:paraId="0EE2103B" w14:textId="77777777" w:rsidR="005E30F4" w:rsidRDefault="004976D6">
      <w:pPr>
        <w:spacing w:after="120"/>
        <w:ind w:firstLine="480"/>
        <w:jc w:val="both"/>
      </w:pPr>
      <w:r>
        <w:t>Steady-state power flow analysis forms the foundation of electrical system design, providing the voltage profiles, power flows, and losses that determine equipment ratings and protection settings. The Newton-Raphson method is the standard algorithm for solving the nonlinear power flow equations, with convergence typically achieved in 4 to 8 iterations for well-conditioned systems [117]. The DC power flow approximation, which linearizes the AC power flow equations by neglecting reactive power and voltage magnitude variations, provides computationally efficient solutions suitable for screening-level analysis and large-scale system studies [118].</w:t>
      </w:r>
    </w:p>
    <w:p w14:paraId="119561CE" w14:textId="77777777" w:rsidR="005E30F4" w:rsidRDefault="004976D6">
      <w:pPr>
        <w:spacing w:after="120"/>
        <w:ind w:firstLine="480"/>
        <w:jc w:val="both"/>
      </w:pPr>
      <w:r>
        <w:t xml:space="preserve">Optimal power flow (OPF) extends the basic power flow formulation to include an objective function (typically cost minimization or loss minimization) subject to operational constraints on voltage magnitudes, line flows, and generator outputs. For renewable-powered data centers, OPF is used to determine the optimal dispatch of renewable generators, battery systems, and grid interconnection to minimize energy costs while maintaining power quality and reliability [119]. Contingency analysis, based on the N-1 reliability criterion, evaluates system performance under single-component failures, verifying that the system can maintain acceptable operating conditions following the loss of any single element [120]. Tools commonly used for power flow analysis include MATPOWER (open-source MATLAB toolbox), PSS/E (commercial), and </w:t>
      </w:r>
      <w:proofErr w:type="spellStart"/>
      <w:r>
        <w:t>DIgSILENT</w:t>
      </w:r>
      <w:proofErr w:type="spellEnd"/>
      <w:r>
        <w:t xml:space="preserve"> </w:t>
      </w:r>
      <w:proofErr w:type="spellStart"/>
      <w:r>
        <w:t>PowerFactory</w:t>
      </w:r>
      <w:proofErr w:type="spellEnd"/>
      <w:r>
        <w:t xml:space="preserve"> (commercial, popular in European markets) [121].</w:t>
      </w:r>
    </w:p>
    <w:p w14:paraId="2AD5E26C" w14:textId="77777777" w:rsidR="005E30F4" w:rsidRDefault="004976D6">
      <w:pPr>
        <w:pStyle w:val="Heading2"/>
        <w:keepNext/>
      </w:pPr>
      <w:bookmarkStart w:id="34" w:name="_Toc100034"/>
      <w:r>
        <w:t>6.2 Transient Stability and Grid Dynamics</w:t>
      </w:r>
      <w:bookmarkEnd w:id="34"/>
    </w:p>
    <w:p w14:paraId="6A5C00C1" w14:textId="77777777" w:rsidR="005E30F4" w:rsidRDefault="004976D6">
      <w:pPr>
        <w:spacing w:after="120"/>
        <w:ind w:firstLine="480"/>
        <w:jc w:val="both"/>
      </w:pPr>
      <w:r>
        <w:t xml:space="preserve">Transient stability analysis examines the dynamic behavior of the power system following large disturbances such as faults, generator trips, or sudden load changes. For data </w:t>
      </w:r>
      <w:r>
        <w:lastRenderedPageBreak/>
        <w:t>center microgrids with high renewable penetration, transient stability is significantly affected by the replacement of synchronous generators with inverter-based resources that lack inherent rotational inertia [122]. Grid-forming inverters, which can synthesize voltage and frequency references without relying on a grid synchronization signal, provide virtual inertia through control algorithms that emulate the dynamic response of synchronous machines [18]. The transition from grid-connected to islanded operation, which occurs when the utility grid experiences a disturbance, is a particularly critical transient event that requires careful design of inverter control parameters, protection settings, and load-shedding schemes [123].</w:t>
      </w:r>
    </w:p>
    <w:p w14:paraId="6695DCCE" w14:textId="77777777" w:rsidR="005E30F4" w:rsidRDefault="004976D6">
      <w:pPr>
        <w:spacing w:after="120"/>
        <w:ind w:firstLine="480"/>
        <w:jc w:val="both"/>
      </w:pPr>
      <w:r>
        <w:t>Phase-locked loop (PLL) stability represents a growing concern as renewable penetration increases. In weak grid conditions, characterized by low short-circuit ratio at the point of interconnection, PLL-based grid-following inverters may exhibit oscillatory behavior or lose synchronization entirely, potentially triggering cascading failures [124]. Sub-synchronous resonance (SSR) interactions between inverter controls and series-compensated transmission lines have been observed in several high-profile incidents, highlighting the need for detailed electromagnetic transient (EMT) simulation studies for grid-connected renewable plants [125].</w:t>
      </w:r>
    </w:p>
    <w:p w14:paraId="1E44ABDF" w14:textId="77777777" w:rsidR="005E30F4" w:rsidRDefault="004976D6">
      <w:pPr>
        <w:pStyle w:val="Heading2"/>
        <w:keepNext/>
      </w:pPr>
      <w:bookmarkStart w:id="35" w:name="_Toc100035"/>
      <w:r>
        <w:t>6.3 Harmonic Analysis and Power Quality</w:t>
      </w:r>
      <w:bookmarkEnd w:id="35"/>
    </w:p>
    <w:p w14:paraId="4B82461B" w14:textId="77777777" w:rsidR="005E30F4" w:rsidRDefault="004976D6">
      <w:pPr>
        <w:spacing w:after="120"/>
        <w:ind w:firstLine="480"/>
        <w:jc w:val="both"/>
      </w:pPr>
      <w:r>
        <w:t>Harmonic analysis is essential for verifying compliance with IEEE 519 power quality standards and designing appropriate mitigation measures. The harmonic profile of a data center microgrid is determined by the aggregate contribution of all nonlinear loads, including IT equipment SMPSs, cooling system VFDs, LED lighting, and the harmonic currents generated by renewable inverters [22]. Frequency-domain analysis techniques, including Fourier decomposition and harmonic impedance scanning, are used to identify resonance conditions that could amplify specific harmonic orders [126].</w:t>
      </w:r>
    </w:p>
    <w:p w14:paraId="5FC84735" w14:textId="77777777" w:rsidR="005E30F4" w:rsidRDefault="004976D6">
      <w:pPr>
        <w:spacing w:after="120"/>
        <w:ind w:firstLine="480"/>
        <w:jc w:val="both"/>
      </w:pPr>
      <w:r>
        <w:t>Mitigation strategies for harmonic distortion include passive filters (tuned LC circuits), active power filters (APFs), multi-pulse rectifier configurations, and advanced inverter control algorithms that minimize harmonic current injection [81]. The selection of mitigation technology depends on the specific harmonic spectrum, the dynamic nature of the loads, and cost considerations. For AI data centers with highly variable loads, active filters are generally preferred due to their ability to adapt to changing harmonic profiles in real-time [127].</w:t>
      </w:r>
    </w:p>
    <w:p w14:paraId="2160AE72" w14:textId="77777777" w:rsidR="005E30F4" w:rsidRDefault="004976D6">
      <w:pPr>
        <w:pStyle w:val="Heading2"/>
        <w:keepNext/>
      </w:pPr>
      <w:bookmarkStart w:id="36" w:name="_Toc100036"/>
      <w:r>
        <w:t>6.4 Microgrid Modeling Frameworks</w:t>
      </w:r>
      <w:bookmarkEnd w:id="36"/>
    </w:p>
    <w:p w14:paraId="15111E5D" w14:textId="77777777" w:rsidR="005E30F4" w:rsidRDefault="004976D6">
      <w:pPr>
        <w:spacing w:after="120"/>
        <w:ind w:firstLine="480"/>
        <w:jc w:val="both"/>
      </w:pPr>
      <w:r>
        <w:t>Several software tools are available for modeling and simulating data center microgrids, each offering different levels of fidelity and computational efficiency. HOMER (Hybrid Optimization Model for Electric Renewables), developed by NREL and maintained by UL Solutions, provides hourly dispatch simulation with economic optimization, making it well-</w:t>
      </w:r>
      <w:r>
        <w:lastRenderedPageBreak/>
        <w:t>suited for system sizing and technology comparison studies [128]. HOMER Pro includes built-in component models for solar PV, wind turbines, batteries, generators, and grid interconnection, with sensitivity analysis capabilities for exploring parameter uncertainty. However, HOMER's hourly resolution may be insufficient for analyzing sub-hourly phenomena such as frequency regulation and voltage transients.</w:t>
      </w:r>
    </w:p>
    <w:p w14:paraId="4CC68C2F" w14:textId="77777777" w:rsidR="005E30F4" w:rsidRDefault="004976D6">
      <w:pPr>
        <w:spacing w:after="120"/>
        <w:ind w:firstLine="480"/>
        <w:jc w:val="both"/>
      </w:pPr>
      <w:r>
        <w:t xml:space="preserve">MATLAB Simulink with the </w:t>
      </w:r>
      <w:proofErr w:type="spellStart"/>
      <w:r>
        <w:t>Simscape</w:t>
      </w:r>
      <w:proofErr w:type="spellEnd"/>
      <w:r>
        <w:t xml:space="preserve"> Electrical toolbox provides detailed electromagnetic transient simulation capabilities, enabling analysis of fast-switching power electronics, protection system coordination, and inverter control dynamics [129]. Open-source alternatives including </w:t>
      </w:r>
      <w:proofErr w:type="spellStart"/>
      <w:r>
        <w:t>Pandapower</w:t>
      </w:r>
      <w:proofErr w:type="spellEnd"/>
      <w:r>
        <w:t xml:space="preserve"> (Python-based power flow), </w:t>
      </w:r>
      <w:proofErr w:type="spellStart"/>
      <w:r>
        <w:t>PyPower</w:t>
      </w:r>
      <w:proofErr w:type="spellEnd"/>
      <w:r>
        <w:t xml:space="preserve"> (MATLAB POWERWORLD port to Python), and </w:t>
      </w:r>
      <w:proofErr w:type="spellStart"/>
      <w:r>
        <w:t>OpenModelica</w:t>
      </w:r>
      <w:proofErr w:type="spellEnd"/>
      <w:r>
        <w:t xml:space="preserve"> (equation-based modeling) offer viable options for research and preliminary engineering studies [130]. The selection of modeling framework should be guided by the specific analysis requirements: HOMER for system sizing and economic optimization, MATLAB/ETAP for detailed electrical design and protection coordination, and PSCAD/EMTDC for electromagnetic transient studies of inverter-dominated systems.</w:t>
      </w:r>
    </w:p>
    <w:p w14:paraId="77FCBBF7" w14:textId="77777777" w:rsidR="005E30F4" w:rsidRDefault="004976D6">
      <w:pPr>
        <w:pStyle w:val="Heading2"/>
        <w:keepNext/>
      </w:pPr>
      <w:bookmarkStart w:id="37" w:name="_Toc100037"/>
      <w:r>
        <w:t>6.5 Time-Series Simulation and Forecasting</w:t>
      </w:r>
      <w:bookmarkEnd w:id="37"/>
    </w:p>
    <w:p w14:paraId="35C3EB37" w14:textId="77777777" w:rsidR="005E30F4" w:rsidRDefault="004976D6">
      <w:pPr>
        <w:spacing w:after="120"/>
        <w:ind w:firstLine="480"/>
        <w:jc w:val="both"/>
      </w:pPr>
      <w:r>
        <w:t xml:space="preserve">Time-series simulation at hourly or sub-hourly resolution is essential for evaluating the performance of renewable-powered data center systems under realistic operating conditions. Hourly simulation captures the diurnal and seasonal patterns of renewable generation and load demand, providing the energy balance calculations needed to determine storage requirements, grid energy exchange, and system reliability metrics [131]. Sub-hourly simulation, at </w:t>
      </w:r>
      <w:proofErr w:type="gramStart"/>
      <w:r>
        <w:t>5 to 15 minute</w:t>
      </w:r>
      <w:proofErr w:type="gramEnd"/>
      <w:r>
        <w:t xml:space="preserve"> resolution, resolves the fast transients associated with cloud transients, wind gusts, and load steps that affect power quality and frequency regulation.</w:t>
      </w:r>
    </w:p>
    <w:p w14:paraId="382379D1" w14:textId="77777777" w:rsidR="005E30F4" w:rsidRDefault="004976D6">
      <w:pPr>
        <w:spacing w:after="120"/>
        <w:ind w:firstLine="480"/>
        <w:jc w:val="both"/>
      </w:pPr>
      <w:r>
        <w:t>Stochastic simulation techniques, particularly Monte Carlo methods, enable quantification of uncertainty in system performance due to forecast errors, equipment failures, and climate variability. By running thousands of simulation scenarios with randomly sampled input parameters, Monte Carlo analysis produces probability distributions for key output metrics such as annual energy cost, LOLE, and renewable utilization fraction [132]. Forecast integration is critical for model-predictive control strategies, with solar and wind prediction horizons of 6 to 48 hours required for day-ahead dispatch planning. The accuracy of these forecasts directly impacts the performance of optimization-based dispatch, with day-ahead solar forecast errors of 10 to 15 percent MAPE and intra-day errors of 5 to 10 percent MAPE being typical of state-of-the-art systems [133].</w:t>
      </w:r>
    </w:p>
    <w:p w14:paraId="440522CA" w14:textId="77777777" w:rsidR="005E30F4" w:rsidRDefault="004976D6">
      <w:pPr>
        <w:pStyle w:val="Heading2"/>
        <w:keepNext/>
      </w:pPr>
      <w:bookmarkStart w:id="38" w:name="_Toc100038"/>
      <w:r>
        <w:lastRenderedPageBreak/>
        <w:t>6.6 Machine Learning for Control and Forecasting</w:t>
      </w:r>
      <w:bookmarkEnd w:id="38"/>
    </w:p>
    <w:p w14:paraId="14146D63" w14:textId="77777777" w:rsidR="005E30F4" w:rsidRDefault="004976D6">
      <w:pPr>
        <w:spacing w:after="120"/>
        <w:ind w:firstLine="480"/>
        <w:jc w:val="both"/>
      </w:pPr>
      <w:r>
        <w:t>Machine learning techniques are increasingly being applied to both forecasting and control functions in renewable energy systems. Neural network architectures, including Long Short-Term Memory (LSTM) networks, Convolutional Neural Networks (CNN), and attention-based Transformer models, have demonstrated 15 to 25 percent improvement in solar and wind forecast accuracy compared to traditional numerical weather prediction approaches [134]. Deep reinforcement learning (DRL) has emerged as a promising approach for microgrid dispatch optimization, where an agent learns optimal control policies through interaction with a simulated environment [135].</w:t>
      </w:r>
    </w:p>
    <w:p w14:paraId="6EB525CF" w14:textId="77777777" w:rsidR="005E30F4" w:rsidRDefault="004976D6">
      <w:pPr>
        <w:spacing w:after="120"/>
        <w:ind w:firstLine="480"/>
        <w:jc w:val="both"/>
      </w:pPr>
      <w:r>
        <w:t>Digital twin concepts, which create virtual replicas of physical systems updated in real-time with sensor data, enable predictive control strategies that anticipate and proactively respond to changing conditions. A digital twin of a data center microgrid can simulate the impact of forecast renewable generation changes on battery dispatch, identify optimal load scheduling windows, and predict equipment degradation [136]. However, challenges remain in ensuring the generalizability of machine learning models beyond their training data, particularly for edge cases and extreme weather events that may be underrepresented in historical datasets [137].</w:t>
      </w:r>
    </w:p>
    <w:p w14:paraId="367874E7" w14:textId="77777777" w:rsidR="005E30F4" w:rsidRDefault="004976D6">
      <w:pPr>
        <w:pStyle w:val="Heading1"/>
        <w:keepNext/>
      </w:pPr>
      <w:bookmarkStart w:id="39" w:name="_Toc100039"/>
      <w:r>
        <w:t>7. Framework for Renewable-Powered AI Data Centers</w:t>
      </w:r>
      <w:bookmarkEnd w:id="39"/>
    </w:p>
    <w:p w14:paraId="4629A1C0" w14:textId="77777777" w:rsidR="005E30F4" w:rsidRDefault="004976D6">
      <w:pPr>
        <w:spacing w:after="120"/>
        <w:ind w:firstLine="480"/>
        <w:jc w:val="both"/>
      </w:pPr>
      <w:r>
        <w:t>This chapter presents the core contribution of this paper: a comprehensive, seven-component framework for designing, deploying, and operating AI data centers powered predominantly by renewable energy. The framework integrates site assessment, technology selection, electrical integration, control strategy, workload flexibility, economic viability, and sustainability compliance into a unified decision-making methodology.</w:t>
      </w:r>
    </w:p>
    <w:p w14:paraId="462F28CD" w14:textId="77777777" w:rsidR="005E30F4" w:rsidRDefault="004976D6">
      <w:pPr>
        <w:pStyle w:val="Heading2"/>
        <w:keepNext/>
      </w:pPr>
      <w:bookmarkStart w:id="40" w:name="_Toc100040"/>
      <w:r>
        <w:t>7.1 Framework Architecture</w:t>
      </w:r>
      <w:bookmarkEnd w:id="40"/>
    </w:p>
    <w:p w14:paraId="1A3D2973" w14:textId="77777777" w:rsidR="005E30F4" w:rsidRDefault="004976D6">
      <w:pPr>
        <w:spacing w:after="120"/>
        <w:ind w:firstLine="480"/>
        <w:jc w:val="both"/>
      </w:pPr>
      <w:r>
        <w:t>The proposed framework comprises seven interconnected components, each addressing a critical dimension of renewable-powered data center design and operation. These components are not independent but rather form an iterative design process, where decisions in one component influence and constrain choices in others. The framework is designed to be modular and scalable, accommodating facilities ranging from small edge computing nodes (1-10 MW) to hyperscale cloud data centers (100+ MW) across diverse geographic and climatic conditions.</w:t>
      </w:r>
    </w:p>
    <w:p w14:paraId="376BE69D" w14:textId="77777777" w:rsidR="005E30F4" w:rsidRDefault="004976D6">
      <w:pPr>
        <w:spacing w:after="120"/>
        <w:jc w:val="both"/>
      </w:pPr>
      <w:r>
        <w:t>[Figure: fig7_1.png - not found]</w:t>
      </w:r>
    </w:p>
    <w:p w14:paraId="417AD39A" w14:textId="77777777" w:rsidR="005E30F4" w:rsidRDefault="004976D6">
      <w:pPr>
        <w:spacing w:after="200"/>
        <w:jc w:val="center"/>
      </w:pPr>
      <w:r>
        <w:rPr>
          <w:i/>
          <w:iCs/>
          <w:color w:val="333333"/>
          <w:sz w:val="20"/>
          <w:szCs w:val="20"/>
        </w:rPr>
        <w:t>Fig. 5. Proposed seven-component framework architecture for renewable-powered AI data centers.</w:t>
      </w:r>
    </w:p>
    <w:p w14:paraId="20148820" w14:textId="77777777" w:rsidR="005E30F4" w:rsidRDefault="004976D6">
      <w:pPr>
        <w:spacing w:after="120"/>
        <w:ind w:firstLine="480"/>
        <w:jc w:val="both"/>
      </w:pPr>
      <w:r>
        <w:lastRenderedPageBreak/>
        <w:t>Component 1, Site Assessment, encompasses the evaluation of renewable resource availability, grid interconnection feasibility, water and land availability, and climate resilience. Component 2, Technology Selection, involves the optimization of renewable capacity, storage duration, and backup power type based on site-specific conditions. Component 3, Electrical Integration, defines the voltage levels, distribution topology, redundancy architecture, and power quality mitigation measures. Component 4, Control Strategy, specifies the dispatch algorithms, forecasting integration, and demand response mechanisms. Component 5, Workload Flexibility, quantifies the potential for load shifting, deferral, and prioritization. Component 6, Economic Viability, models the financial performance through LCOE, NPV, and IRR analysis. Component 7, Resilience and Sustainability, addresses reliability metrics, carbon accounting, and regulatory compliance.</w:t>
      </w:r>
    </w:p>
    <w:p w14:paraId="4EB6EA8C" w14:textId="77777777" w:rsidR="005E30F4" w:rsidRDefault="004976D6">
      <w:pPr>
        <w:spacing w:after="120"/>
        <w:ind w:firstLine="480"/>
        <w:jc w:val="both"/>
      </w:pPr>
      <w:r>
        <w:t>The framework establishes three primary quantitative objectives: (1) minimize delivered energy cost ($/MWh), (2) maximize system reliability (% uptime, targeting greater than 99.99 percent), and (3) minimize carbon emissions (gCO2 per kWh). These objectives are often in tension, requiring trade-off analysis through multi-objective optimization techniques. The key decision variables include renewable capacity factor, storage duration in hours, backup power type, grid interconnection capacity, and demand flexibility parameters.</w:t>
      </w:r>
    </w:p>
    <w:p w14:paraId="5A50DC2B" w14:textId="77777777" w:rsidR="005E30F4" w:rsidRDefault="004976D6">
      <w:pPr>
        <w:pStyle w:val="Heading2"/>
        <w:keepNext/>
      </w:pPr>
      <w:bookmarkStart w:id="41" w:name="_Toc100041"/>
      <w:r>
        <w:t>7.2 Site Selection and Resource Assessment</w:t>
      </w:r>
      <w:bookmarkEnd w:id="41"/>
    </w:p>
    <w:p w14:paraId="6B1B3942" w14:textId="77777777" w:rsidR="005E30F4" w:rsidRDefault="004976D6">
      <w:pPr>
        <w:spacing w:after="120"/>
        <w:ind w:firstLine="480"/>
        <w:jc w:val="both"/>
      </w:pPr>
      <w:r>
        <w:t>Site selection employs a multi-criteria decision analysis (MCDA) framework that evaluates candidate locations against weighted criteria spanning resource quality, infrastructure access, environmental factors, and economic conditions. Solar resource quality is assessed using the annual capacity factor target of greater than 20 percent, determined from satellite irradiance data adjusted for local terrain shading and typical meteorological conditions. Wind resource quality targets a capacity factor greater than 25 percent for onshore installations, based on at least one year of LiDAR or meteorological tower measurements [94].</w:t>
      </w:r>
    </w:p>
    <w:p w14:paraId="0E707870" w14:textId="77777777" w:rsidR="005E30F4" w:rsidRDefault="004976D6">
      <w:pPr>
        <w:spacing w:after="120"/>
        <w:ind w:firstLine="480"/>
        <w:jc w:val="both"/>
      </w:pPr>
      <w:r>
        <w:t>Grid interconnection feasibility constitutes a critical site selection criterion, as interconnection cost and timeline can significantly affect project viability. Sites within 5 km of existing transmission infrastructure with available capacity typically incur interconnection costs of $500,000 to $2 million, compared to $5 to $10 million for sites requiring new transmission line construction [23]. Climate resilience assessment evaluates the risk of extreme weather events, including hurricanes, flooding, wildfires, and ice storms, that could damage renewable generation equipment, disrupt grid supply, or impact cooling system performance [138]. Sites in regions with high climate risk may require additional engineering measures, such as elevated equipment platforms, enhanced structural ratings, or redundancy upgrades, that increase capital costs.</w:t>
      </w:r>
    </w:p>
    <w:p w14:paraId="0BC9240D" w14:textId="77777777" w:rsidR="005E30F4" w:rsidRDefault="004976D6">
      <w:pPr>
        <w:pStyle w:val="Heading2"/>
        <w:keepNext/>
      </w:pPr>
      <w:bookmarkStart w:id="42" w:name="_Toc100042"/>
      <w:r>
        <w:lastRenderedPageBreak/>
        <w:t>7.3 Technology Mix Optimization</w:t>
      </w:r>
      <w:bookmarkEnd w:id="42"/>
    </w:p>
    <w:p w14:paraId="3E78C583" w14:textId="77777777" w:rsidR="005E30F4" w:rsidRDefault="004976D6">
      <w:pPr>
        <w:spacing w:after="120"/>
        <w:ind w:firstLine="480"/>
        <w:jc w:val="both"/>
      </w:pPr>
      <w:r>
        <w:t xml:space="preserve">The technology mix optimization problem determines the optimal combination of renewable generation capacity, storage duration, and backup power type to minimize total system cost over a </w:t>
      </w:r>
      <w:proofErr w:type="gramStart"/>
      <w:r>
        <w:t>20 to 25 year</w:t>
      </w:r>
      <w:proofErr w:type="gramEnd"/>
      <w:r>
        <w:t xml:space="preserve"> project lifetime, subject to reliability and emissions constraints. The decision variables </w:t>
      </w:r>
      <w:proofErr w:type="gramStart"/>
      <w:r>
        <w:t>include:</w:t>
      </w:r>
      <w:proofErr w:type="gramEnd"/>
      <w:r>
        <w:t xml:space="preserve"> renewable capacity as a percentage of mean load (100%, 110%, 150%, or higher); storage duration (4, 8, 12, or 24 hours); and backup power type (diesel generator, hydrogen fuel cell, grid connection, or hybrid) [51].</w:t>
      </w:r>
    </w:p>
    <w:p w14:paraId="3A3E14AC" w14:textId="77777777" w:rsidR="005E30F4" w:rsidRDefault="004976D6">
      <w:pPr>
        <w:keepNext/>
        <w:spacing w:before="200" w:after="100"/>
        <w:jc w:val="center"/>
      </w:pPr>
      <w:r>
        <w:rPr>
          <w:noProof/>
        </w:rPr>
        <w:drawing>
          <wp:inline distT="0" distB="0" distL="0" distR="0" wp14:anchorId="62C05126" wp14:editId="06F5F99F">
            <wp:extent cx="4095750" cy="2628900"/>
            <wp:effectExtent l="0" t="0" r="0" b="0"/>
            <wp:docPr id="1293822193" name="Picture 1293822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95750" cy="2628900"/>
                    </a:xfrm>
                    <a:prstGeom prst="rect">
                      <a:avLst/>
                    </a:prstGeom>
                  </pic:spPr>
                </pic:pic>
              </a:graphicData>
            </a:graphic>
          </wp:inline>
        </w:drawing>
      </w:r>
    </w:p>
    <w:p w14:paraId="7AABDB67" w14:textId="77777777" w:rsidR="005E30F4" w:rsidRDefault="004976D6">
      <w:pPr>
        <w:spacing w:after="200"/>
        <w:jc w:val="center"/>
      </w:pPr>
      <w:r>
        <w:rPr>
          <w:i/>
          <w:iCs/>
          <w:color w:val="333333"/>
          <w:sz w:val="20"/>
          <w:szCs w:val="20"/>
        </w:rPr>
        <w:t>Fig. 6. Cost-emissions Pareto frontier for technology mix optimization.</w:t>
      </w:r>
    </w:p>
    <w:p w14:paraId="2E0D0537" w14:textId="77777777" w:rsidR="005E30F4" w:rsidRDefault="004976D6">
      <w:pPr>
        <w:spacing w:after="120"/>
        <w:ind w:firstLine="480"/>
        <w:jc w:val="both"/>
      </w:pPr>
      <w:r>
        <w:t>Parametric sensitivity analysis reveals that the optimal technology mix is most sensitive to three parameters: renewable capacity factor (plus or minus 5 percent capacity factor results in approximately plus or minus 15 percent LCOE change), battery storage cost (plus or minus $50 per kWh results in approximately plus or minus 10 percent LCOE change), and grid electricity price (a $20 per MWh increase shifts the optimal solution toward higher renewable penetration) [139]. The analysis demonstrates that hybrid systems combining 100 to 150 percent renewable capacity with 4 to 8 hours of battery storage and grid backup represent the cost-optimal solution for most scenarios, achieving LCOE of $35 to $80 per MWh while meeting 99.9 percent reliability targets.</w:t>
      </w:r>
    </w:p>
    <w:p w14:paraId="448DE021" w14:textId="77777777" w:rsidR="005E30F4" w:rsidRDefault="004976D6">
      <w:pPr>
        <w:pStyle w:val="Heading2"/>
        <w:keepNext/>
      </w:pPr>
      <w:bookmarkStart w:id="43" w:name="_Toc100043"/>
      <w:r>
        <w:t>7.4 Electrical Architecture and Integration</w:t>
      </w:r>
      <w:bookmarkEnd w:id="43"/>
    </w:p>
    <w:p w14:paraId="11DC20F7" w14:textId="77777777" w:rsidR="005E30F4" w:rsidRDefault="004976D6">
      <w:pPr>
        <w:spacing w:after="120"/>
        <w:ind w:firstLine="480"/>
        <w:jc w:val="both"/>
      </w:pPr>
      <w:r>
        <w:t xml:space="preserve">The electrical architecture defines the voltage levels, distribution topology, and integration points for all generation, storage, and load components. Primary interconnection voltage selection involves a trade-off between equipment cost and power transfer capacity: higher voltages (25 kV vs. 13.8 kV) reduce conductor size and losses but increase equipment costs and require higher-rated switchgear and protection devices [64]. For a 100 MW data center, a primary interconnection at 25 kV is typically cost-optimal, with step-down to 13.8 </w:t>
      </w:r>
      <w:r>
        <w:lastRenderedPageBreak/>
        <w:t>kV for facility distribution and further transformation to 480 V for equipment power distribution.</w:t>
      </w:r>
    </w:p>
    <w:p w14:paraId="44E96871" w14:textId="77777777" w:rsidR="005E30F4" w:rsidRDefault="004976D6">
      <w:pPr>
        <w:spacing w:after="120"/>
        <w:ind w:firstLine="480"/>
        <w:jc w:val="both"/>
      </w:pPr>
      <w:r>
        <w:t xml:space="preserve">The ongoing debate between DC and AC distribution for data centers merits careful consideration. DC distribution eliminates the double conversion losses inherent in AC systems (AC-DC-AC for UPS) and can improve efficiency by 3 to 5 percent, but requires specialized DC-rated switchgear, circuit protection, and building wiring that increase costs and reduce supplier options [140]. For AI data centers with high renewable penetration, where </w:t>
      </w:r>
      <w:proofErr w:type="gramStart"/>
      <w:r>
        <w:t>the majority of</w:t>
      </w:r>
      <w:proofErr w:type="gramEnd"/>
      <w:r>
        <w:t xml:space="preserve"> power may flow through inverter-based DC sources, DC distribution architectures may offer compelling efficiency advantages that offset the higher equipment costs.</w:t>
      </w:r>
    </w:p>
    <w:p w14:paraId="4958802E" w14:textId="77777777" w:rsidR="005E30F4" w:rsidRDefault="004976D6">
      <w:pPr>
        <w:pStyle w:val="Heading2"/>
        <w:keepNext/>
      </w:pPr>
      <w:bookmarkStart w:id="44" w:name="_Toc100044"/>
      <w:r>
        <w:t>7.5 Control and Dispatch Strategies</w:t>
      </w:r>
      <w:bookmarkEnd w:id="44"/>
    </w:p>
    <w:p w14:paraId="633A4956" w14:textId="77777777" w:rsidR="005E30F4" w:rsidRDefault="004976D6">
      <w:pPr>
        <w:spacing w:after="120"/>
        <w:ind w:firstLine="480"/>
        <w:jc w:val="both"/>
      </w:pPr>
      <w:r>
        <w:t>The control strategy defines how renewable generation, storage systems, backup power, and demand-side resources are coordinated to meet the data center's power requirements reliably and economically. The proposed framework implements a hierarchical control architecture with three levels, each operating at a different timescale and with different objectives.</w:t>
      </w:r>
    </w:p>
    <w:p w14:paraId="4E1C6645" w14:textId="77777777" w:rsidR="005E30F4" w:rsidRDefault="004976D6">
      <w:pPr>
        <w:keepNext/>
        <w:spacing w:before="200" w:after="100"/>
        <w:jc w:val="center"/>
      </w:pPr>
      <w:r>
        <w:rPr>
          <w:noProof/>
        </w:rPr>
        <w:drawing>
          <wp:inline distT="0" distB="0" distL="0" distR="0" wp14:anchorId="257601EF" wp14:editId="3B34F801">
            <wp:extent cx="4381500" cy="2514600"/>
            <wp:effectExtent l="0" t="0" r="0" b="0"/>
            <wp:docPr id="2093392026" name="Picture 209339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2514600"/>
                    </a:xfrm>
                    <a:prstGeom prst="rect">
                      <a:avLst/>
                    </a:prstGeom>
                  </pic:spPr>
                </pic:pic>
              </a:graphicData>
            </a:graphic>
          </wp:inline>
        </w:drawing>
      </w:r>
    </w:p>
    <w:p w14:paraId="328C52D6" w14:textId="77777777" w:rsidR="005E30F4" w:rsidRDefault="004976D6">
      <w:pPr>
        <w:spacing w:after="200"/>
        <w:jc w:val="center"/>
      </w:pPr>
      <w:r>
        <w:rPr>
          <w:i/>
          <w:iCs/>
          <w:color w:val="333333"/>
          <w:sz w:val="20"/>
          <w:szCs w:val="20"/>
        </w:rPr>
        <w:t>Fig. 7. Hierarchical control architecture for data center microgrid operation.</w:t>
      </w:r>
    </w:p>
    <w:p w14:paraId="4C52B98D" w14:textId="77777777" w:rsidR="005E30F4" w:rsidRDefault="004976D6">
      <w:pPr>
        <w:spacing w:after="120"/>
        <w:ind w:firstLine="480"/>
        <w:jc w:val="both"/>
      </w:pPr>
      <w:r>
        <w:t xml:space="preserve">Level 1, device-level control, operates at millisecond timescales and is responsible for maintaining grid-forming or grid-following behavior of inverters, responding to frequency and voltage deviations, and providing fast frequency response. Level 2, facility-level EMS, operates at minute to hourly timescales and performs dispatch optimization using model-predictive control with 24 to 48 hour forecast horizons [114]. Level 3, corporate-level optimization, operates at hourly to daily timescales and manages multi-facility resource </w:t>
      </w:r>
      <w:r>
        <w:lastRenderedPageBreak/>
        <w:t>allocation, including routing compute workloads to facilities with the most favorable renewable conditions [141].</w:t>
      </w:r>
    </w:p>
    <w:p w14:paraId="1CA53FF3" w14:textId="77777777" w:rsidR="005E30F4" w:rsidRDefault="004976D6">
      <w:pPr>
        <w:spacing w:after="120"/>
        <w:ind w:firstLine="480"/>
        <w:jc w:val="both"/>
      </w:pPr>
      <w:r>
        <w:t>AI workload scheduling represents a unique demand-side resource available to data centers that is not available to conventional electricity consumers. Training workloads, which can tolerate hours to days of delay without impacting service quality, can be scheduled to align with periods of high renewable generation. Inference workloads with relaxed latency requirements can be shifted across facilities or time-shifted within SLA constraints. Quantified benefits from industry deployments indicate that workload scheduling alone can reduce energy costs by 10 to 20 percent and carbon emissions by 5 to 15 percent [142].</w:t>
      </w:r>
    </w:p>
    <w:p w14:paraId="0A930C12" w14:textId="77777777" w:rsidR="005E30F4" w:rsidRDefault="004976D6">
      <w:pPr>
        <w:pStyle w:val="Heading2"/>
        <w:keepNext/>
      </w:pPr>
      <w:bookmarkStart w:id="45" w:name="_Toc100045"/>
      <w:r>
        <w:t>7.6 Demand-Side Management and Load Flexibility</w:t>
      </w:r>
      <w:bookmarkEnd w:id="45"/>
    </w:p>
    <w:p w14:paraId="4642CA42" w14:textId="77777777" w:rsidR="005E30F4" w:rsidRDefault="004976D6">
      <w:pPr>
        <w:spacing w:after="120"/>
        <w:ind w:firstLine="480"/>
        <w:jc w:val="both"/>
      </w:pPr>
      <w:r>
        <w:t xml:space="preserve">The framework categorizes data center workloads into four flexibility classes: (1) Training, which is highly flexible with deferral windows of hours to days; (2) Inference, which ranges from latency-sensitive (less than 100 </w:t>
      </w:r>
      <w:proofErr w:type="spellStart"/>
      <w:r>
        <w:t>ms</w:t>
      </w:r>
      <w:proofErr w:type="spellEnd"/>
      <w:r>
        <w:t xml:space="preserve"> response time) to deferrable, depending on the specific application; (3) Analytics and Batch processing, which is highly flexible and easily shifted to renewable peaks; and (4) Background tasks, including model optimization, data indexing, and system maintenance, which are fully interruptible [143]. This classification enables the control system to dynamically </w:t>
      </w:r>
      <w:proofErr w:type="gramStart"/>
      <w:r>
        <w:t>prioritize</w:t>
      </w:r>
      <w:proofErr w:type="gramEnd"/>
      <w:r>
        <w:t xml:space="preserve"> and schedule workloads based on renewable availability forecasts.</w:t>
      </w:r>
    </w:p>
    <w:p w14:paraId="0B5616E7" w14:textId="77777777" w:rsidR="005E30F4" w:rsidRDefault="004976D6">
      <w:pPr>
        <w:spacing w:after="120"/>
        <w:ind w:firstLine="480"/>
        <w:jc w:val="both"/>
      </w:pPr>
      <w:r>
        <w:t xml:space="preserve">Implementation of workload scheduling requires modifications to the job scheduling infrastructure, typically implemented through Kubernetes extensions or custom scheduler plugins that query a renewable availability API providing </w:t>
      </w:r>
      <w:proofErr w:type="gramStart"/>
      <w:r>
        <w:t>24 to 48 hour</w:t>
      </w:r>
      <w:proofErr w:type="gramEnd"/>
      <w:r>
        <w:t xml:space="preserve"> forecasts [144]. The API returns time-series data indicating expected renewable generation as a percentage of total load, enabling the scheduler to identify favorable windows for deferrable workloads. SLA relaxation parameters define the maximum acceptable latency increase (typically 5 to 10 percent) in exchange for cost and carbon benefits exceeding 15 percent.</w:t>
      </w:r>
    </w:p>
    <w:p w14:paraId="00B955FE" w14:textId="77777777" w:rsidR="005E30F4" w:rsidRDefault="004976D6">
      <w:pPr>
        <w:pStyle w:val="Heading2"/>
        <w:keepNext/>
      </w:pPr>
      <w:bookmarkStart w:id="46" w:name="_Toc100046"/>
      <w:r>
        <w:t>7.7 Cooling System Coordination</w:t>
      </w:r>
      <w:bookmarkEnd w:id="46"/>
    </w:p>
    <w:p w14:paraId="61249BFB" w14:textId="77777777" w:rsidR="005E30F4" w:rsidRDefault="004976D6">
      <w:pPr>
        <w:spacing w:after="120"/>
        <w:ind w:firstLine="480"/>
        <w:jc w:val="both"/>
      </w:pPr>
      <w:r>
        <w:t>Cooling system coordination exploits the coupling between electrical and thermal energy systems to improve overall efficiency. Thermal energy storage (TES) systems, particularly ice storage and chilled water storage, enable cooling demand to be shifted to periods of abundant renewable energy or low electricity prices. During high-renewable periods, excess generation can be used to produce chilled water or ice, which is then used for cooling during periods of reduced renewable output [79]. Dynamic setpoint management allows cooling system temperatures to float within acceptable ranges, reducing energy consumption when renewable energy is abundant and tightening control during periods of grid dependence [145].</w:t>
      </w:r>
    </w:p>
    <w:p w14:paraId="5480DA8E" w14:textId="77777777" w:rsidR="005E30F4" w:rsidRDefault="004976D6">
      <w:pPr>
        <w:spacing w:after="120"/>
        <w:ind w:firstLine="480"/>
        <w:jc w:val="both"/>
      </w:pPr>
      <w:r>
        <w:lastRenderedPageBreak/>
        <w:t>Liquid cooling provides a significant efficiency advantage for AI accelerators, reducing the cooling energy per watt of IT load from 0.3 to 0.5 watts (air cooling) to 0.1 to 0.2 watts (direct-to-chip liquid cooling) [34]. Waste heat recovery, where the thermal energy rejected by the data center is captured for secondary uses such as district heating, greenhouse heating, or industrial process heat, can offset 5 to 10 percent of total energy costs while improving overall system efficiency [146].</w:t>
      </w:r>
    </w:p>
    <w:p w14:paraId="6E4D4DE1" w14:textId="77777777" w:rsidR="005E30F4" w:rsidRDefault="004976D6">
      <w:pPr>
        <w:pStyle w:val="Heading2"/>
        <w:keepNext/>
      </w:pPr>
      <w:bookmarkStart w:id="47" w:name="_Toc100047"/>
      <w:r>
        <w:t>7.8 Economic Model and Financial Viability</w:t>
      </w:r>
      <w:bookmarkEnd w:id="47"/>
    </w:p>
    <w:p w14:paraId="26B197D7" w14:textId="77777777" w:rsidR="005E30F4" w:rsidRDefault="004976D6">
      <w:pPr>
        <w:spacing w:after="120"/>
        <w:ind w:firstLine="480"/>
        <w:jc w:val="both"/>
      </w:pPr>
      <w:r>
        <w:t>The economic model employs standard financial metrics including Levelized Cost of Energy (LCOE), Net Present Value (NPV), Internal Rate of Return (IRR), and payback period to evaluate the financial performance of renewable-powered data center configurations. The LCOE calculation aggregates all capital and operating costs over the project lifetime and divides by total energy delivered, discounted to present value: LCOE = sum of (</w:t>
      </w:r>
      <w:proofErr w:type="spellStart"/>
      <w:r>
        <w:t>CapEx</w:t>
      </w:r>
      <w:proofErr w:type="spellEnd"/>
      <w:r>
        <w:t xml:space="preserve"> + </w:t>
      </w:r>
      <w:proofErr w:type="spellStart"/>
      <w:r>
        <w:t>OpEx</w:t>
      </w:r>
      <w:proofErr w:type="spellEnd"/>
      <w:r>
        <w:t xml:space="preserve">) / (1+r)^t divided by sum of </w:t>
      </w:r>
      <w:proofErr w:type="spellStart"/>
      <w:r>
        <w:t>Energy_t</w:t>
      </w:r>
      <w:proofErr w:type="spellEnd"/>
      <w:r>
        <w:t xml:space="preserve"> / (1+r)^t, where r is the discount rate and t is the year [147].</w:t>
      </w:r>
    </w:p>
    <w:p w14:paraId="061AEA8D" w14:textId="77777777" w:rsidR="005E30F4" w:rsidRDefault="004976D6">
      <w:pPr>
        <w:keepNext/>
        <w:spacing w:after="120"/>
        <w:jc w:val="both"/>
      </w:pPr>
      <w:r>
        <w:rPr>
          <w:b/>
          <w:bCs/>
          <w:sz w:val="20"/>
          <w:szCs w:val="20"/>
        </w:rPr>
        <w:t>Table III: CAPEX Breakdown by Technology (2024-2025)</w:t>
      </w:r>
    </w:p>
    <w:tbl>
      <w:tblPr>
        <w:tblW w:w="5000" w:type="pct"/>
        <w:tblBorders>
          <w:top w:val="single" w:sz="2" w:space="0" w:color="999999"/>
          <w:left w:val="single" w:sz="4" w:space="0" w:color="auto"/>
          <w:bottom w:val="single" w:sz="2" w:space="0" w:color="999999"/>
          <w:right w:val="single" w:sz="4" w:space="0" w:color="auto"/>
          <w:insideH w:val="single" w:sz="1" w:space="0" w:color="CCCCCC"/>
          <w:insideV w:val="single" w:sz="4" w:space="0" w:color="auto"/>
        </w:tblBorders>
        <w:tblCellMar>
          <w:left w:w="10" w:type="dxa"/>
          <w:right w:w="10" w:type="dxa"/>
        </w:tblCellMar>
        <w:tblLook w:val="04A0" w:firstRow="1" w:lastRow="0" w:firstColumn="1" w:lastColumn="0" w:noHBand="0" w:noVBand="1"/>
      </w:tblPr>
      <w:tblGrid>
        <w:gridCol w:w="1931"/>
        <w:gridCol w:w="1931"/>
        <w:gridCol w:w="1580"/>
        <w:gridCol w:w="1756"/>
        <w:gridCol w:w="1580"/>
      </w:tblGrid>
      <w:tr w:rsidR="005E30F4" w14:paraId="341AC6F0" w14:textId="77777777">
        <w:trPr>
          <w:cantSplit/>
          <w:tblHeader/>
        </w:trPr>
        <w:tc>
          <w:tcPr>
            <w:tcW w:w="1100" w:type="pct"/>
            <w:shd w:val="clear" w:color="auto" w:fill="F1F5F9"/>
            <w:tcMar>
              <w:top w:w="60" w:type="dxa"/>
              <w:left w:w="100" w:type="dxa"/>
              <w:bottom w:w="60" w:type="dxa"/>
              <w:right w:w="100" w:type="dxa"/>
            </w:tcMar>
          </w:tcPr>
          <w:p w14:paraId="51A4D5B9" w14:textId="77777777" w:rsidR="005E30F4" w:rsidRDefault="004976D6">
            <w:pPr>
              <w:jc w:val="center"/>
            </w:pPr>
            <w:r>
              <w:rPr>
                <w:b/>
                <w:bCs/>
                <w:sz w:val="20"/>
                <w:szCs w:val="20"/>
              </w:rPr>
              <w:t>Technology</w:t>
            </w:r>
          </w:p>
        </w:tc>
        <w:tc>
          <w:tcPr>
            <w:tcW w:w="1100" w:type="pct"/>
            <w:shd w:val="clear" w:color="auto" w:fill="F1F5F9"/>
            <w:tcMar>
              <w:top w:w="60" w:type="dxa"/>
              <w:left w:w="100" w:type="dxa"/>
              <w:bottom w:w="60" w:type="dxa"/>
              <w:right w:w="100" w:type="dxa"/>
            </w:tcMar>
          </w:tcPr>
          <w:p w14:paraId="3BA80462" w14:textId="77777777" w:rsidR="005E30F4" w:rsidRDefault="004976D6">
            <w:pPr>
              <w:jc w:val="center"/>
            </w:pPr>
            <w:r>
              <w:rPr>
                <w:b/>
                <w:bCs/>
                <w:sz w:val="20"/>
                <w:szCs w:val="20"/>
              </w:rPr>
              <w:t>CAPEX Range</w:t>
            </w:r>
          </w:p>
        </w:tc>
        <w:tc>
          <w:tcPr>
            <w:tcW w:w="900" w:type="pct"/>
            <w:shd w:val="clear" w:color="auto" w:fill="F1F5F9"/>
            <w:tcMar>
              <w:top w:w="60" w:type="dxa"/>
              <w:left w:w="100" w:type="dxa"/>
              <w:bottom w:w="60" w:type="dxa"/>
              <w:right w:w="100" w:type="dxa"/>
            </w:tcMar>
          </w:tcPr>
          <w:p w14:paraId="37BCE5D7" w14:textId="77777777" w:rsidR="005E30F4" w:rsidRDefault="004976D6">
            <w:pPr>
              <w:jc w:val="center"/>
            </w:pPr>
            <w:r>
              <w:rPr>
                <w:b/>
                <w:bCs/>
                <w:sz w:val="20"/>
                <w:szCs w:val="20"/>
              </w:rPr>
              <w:t>Fixed O&amp;M (%/yr)</w:t>
            </w:r>
          </w:p>
        </w:tc>
        <w:tc>
          <w:tcPr>
            <w:tcW w:w="1000" w:type="pct"/>
            <w:shd w:val="clear" w:color="auto" w:fill="F1F5F9"/>
            <w:tcMar>
              <w:top w:w="60" w:type="dxa"/>
              <w:left w:w="100" w:type="dxa"/>
              <w:bottom w:w="60" w:type="dxa"/>
              <w:right w:w="100" w:type="dxa"/>
            </w:tcMar>
          </w:tcPr>
          <w:p w14:paraId="64CA3275" w14:textId="77777777" w:rsidR="005E30F4" w:rsidRDefault="004976D6">
            <w:pPr>
              <w:jc w:val="center"/>
            </w:pPr>
            <w:r>
              <w:rPr>
                <w:b/>
                <w:bCs/>
                <w:sz w:val="20"/>
                <w:szCs w:val="20"/>
              </w:rPr>
              <w:t>LCOE ($/MWh)</w:t>
            </w:r>
          </w:p>
        </w:tc>
        <w:tc>
          <w:tcPr>
            <w:tcW w:w="900" w:type="pct"/>
            <w:shd w:val="clear" w:color="auto" w:fill="F1F5F9"/>
            <w:tcMar>
              <w:top w:w="60" w:type="dxa"/>
              <w:left w:w="100" w:type="dxa"/>
              <w:bottom w:w="60" w:type="dxa"/>
              <w:right w:w="100" w:type="dxa"/>
            </w:tcMar>
          </w:tcPr>
          <w:p w14:paraId="3BFEAC0A" w14:textId="77777777" w:rsidR="005E30F4" w:rsidRDefault="004976D6">
            <w:pPr>
              <w:jc w:val="center"/>
            </w:pPr>
            <w:r>
              <w:rPr>
                <w:b/>
                <w:bCs/>
                <w:sz w:val="20"/>
                <w:szCs w:val="20"/>
              </w:rPr>
              <w:t>Lifetime</w:t>
            </w:r>
          </w:p>
        </w:tc>
      </w:tr>
      <w:tr w:rsidR="005E30F4" w14:paraId="5C788F88" w14:textId="77777777">
        <w:trPr>
          <w:cantSplit/>
        </w:trPr>
        <w:tc>
          <w:tcPr>
            <w:tcW w:w="1100" w:type="pct"/>
            <w:tcMar>
              <w:top w:w="40" w:type="dxa"/>
              <w:left w:w="100" w:type="dxa"/>
              <w:bottom w:w="40" w:type="dxa"/>
              <w:right w:w="100" w:type="dxa"/>
            </w:tcMar>
          </w:tcPr>
          <w:p w14:paraId="024EADB9" w14:textId="77777777" w:rsidR="005E30F4" w:rsidRDefault="004976D6">
            <w:pPr>
              <w:jc w:val="center"/>
            </w:pPr>
            <w:r>
              <w:rPr>
                <w:sz w:val="20"/>
                <w:szCs w:val="20"/>
              </w:rPr>
              <w:t>Solar PV (utility)</w:t>
            </w:r>
          </w:p>
        </w:tc>
        <w:tc>
          <w:tcPr>
            <w:tcW w:w="1100" w:type="pct"/>
            <w:tcMar>
              <w:top w:w="40" w:type="dxa"/>
              <w:left w:w="100" w:type="dxa"/>
              <w:bottom w:w="40" w:type="dxa"/>
              <w:right w:w="100" w:type="dxa"/>
            </w:tcMar>
          </w:tcPr>
          <w:p w14:paraId="1F6B3F17" w14:textId="77777777" w:rsidR="005E30F4" w:rsidRDefault="004976D6">
            <w:pPr>
              <w:jc w:val="center"/>
            </w:pPr>
            <w:r>
              <w:rPr>
                <w:sz w:val="20"/>
                <w:szCs w:val="20"/>
              </w:rPr>
              <w:t>$750-1,400/kW</w:t>
            </w:r>
          </w:p>
        </w:tc>
        <w:tc>
          <w:tcPr>
            <w:tcW w:w="900" w:type="pct"/>
            <w:tcMar>
              <w:top w:w="40" w:type="dxa"/>
              <w:left w:w="100" w:type="dxa"/>
              <w:bottom w:w="40" w:type="dxa"/>
              <w:right w:w="100" w:type="dxa"/>
            </w:tcMar>
          </w:tcPr>
          <w:p w14:paraId="706027A0" w14:textId="77777777" w:rsidR="005E30F4" w:rsidRDefault="004976D6">
            <w:pPr>
              <w:jc w:val="center"/>
            </w:pPr>
            <w:r>
              <w:rPr>
                <w:sz w:val="20"/>
                <w:szCs w:val="20"/>
              </w:rPr>
              <w:t>0.5-1.0%</w:t>
            </w:r>
          </w:p>
        </w:tc>
        <w:tc>
          <w:tcPr>
            <w:tcW w:w="1000" w:type="pct"/>
            <w:tcMar>
              <w:top w:w="40" w:type="dxa"/>
              <w:left w:w="100" w:type="dxa"/>
              <w:bottom w:w="40" w:type="dxa"/>
              <w:right w:w="100" w:type="dxa"/>
            </w:tcMar>
          </w:tcPr>
          <w:p w14:paraId="33DD26E7" w14:textId="77777777" w:rsidR="005E30F4" w:rsidRDefault="004976D6">
            <w:pPr>
              <w:jc w:val="center"/>
            </w:pPr>
            <w:r>
              <w:rPr>
                <w:sz w:val="20"/>
                <w:szCs w:val="20"/>
              </w:rPr>
              <w:t>$30-50</w:t>
            </w:r>
          </w:p>
        </w:tc>
        <w:tc>
          <w:tcPr>
            <w:tcW w:w="900" w:type="pct"/>
            <w:tcMar>
              <w:top w:w="40" w:type="dxa"/>
              <w:left w:w="100" w:type="dxa"/>
              <w:bottom w:w="40" w:type="dxa"/>
              <w:right w:w="100" w:type="dxa"/>
            </w:tcMar>
          </w:tcPr>
          <w:p w14:paraId="462A3679" w14:textId="77777777" w:rsidR="005E30F4" w:rsidRDefault="004976D6">
            <w:pPr>
              <w:jc w:val="center"/>
            </w:pPr>
            <w:r>
              <w:rPr>
                <w:sz w:val="20"/>
                <w:szCs w:val="20"/>
              </w:rPr>
              <w:t>25-30 years</w:t>
            </w:r>
          </w:p>
        </w:tc>
      </w:tr>
      <w:tr w:rsidR="005E30F4" w14:paraId="4976B7BF" w14:textId="77777777">
        <w:trPr>
          <w:cantSplit/>
        </w:trPr>
        <w:tc>
          <w:tcPr>
            <w:tcW w:w="1100" w:type="pct"/>
            <w:tcMar>
              <w:top w:w="40" w:type="dxa"/>
              <w:left w:w="100" w:type="dxa"/>
              <w:bottom w:w="40" w:type="dxa"/>
              <w:right w:w="100" w:type="dxa"/>
            </w:tcMar>
          </w:tcPr>
          <w:p w14:paraId="18272A80" w14:textId="77777777" w:rsidR="005E30F4" w:rsidRDefault="004976D6">
            <w:pPr>
              <w:jc w:val="center"/>
            </w:pPr>
            <w:r>
              <w:rPr>
                <w:sz w:val="20"/>
                <w:szCs w:val="20"/>
              </w:rPr>
              <w:t>Wind Onshore</w:t>
            </w:r>
          </w:p>
        </w:tc>
        <w:tc>
          <w:tcPr>
            <w:tcW w:w="1100" w:type="pct"/>
            <w:tcMar>
              <w:top w:w="40" w:type="dxa"/>
              <w:left w:w="100" w:type="dxa"/>
              <w:bottom w:w="40" w:type="dxa"/>
              <w:right w:w="100" w:type="dxa"/>
            </w:tcMar>
          </w:tcPr>
          <w:p w14:paraId="31963F07" w14:textId="77777777" w:rsidR="005E30F4" w:rsidRDefault="004976D6">
            <w:pPr>
              <w:jc w:val="center"/>
            </w:pPr>
            <w:r>
              <w:rPr>
                <w:sz w:val="20"/>
                <w:szCs w:val="20"/>
              </w:rPr>
              <w:t>$1,700-2,400/kW</w:t>
            </w:r>
          </w:p>
        </w:tc>
        <w:tc>
          <w:tcPr>
            <w:tcW w:w="900" w:type="pct"/>
            <w:tcMar>
              <w:top w:w="40" w:type="dxa"/>
              <w:left w:w="100" w:type="dxa"/>
              <w:bottom w:w="40" w:type="dxa"/>
              <w:right w:w="100" w:type="dxa"/>
            </w:tcMar>
          </w:tcPr>
          <w:p w14:paraId="6BFCB0CE" w14:textId="77777777" w:rsidR="005E30F4" w:rsidRDefault="004976D6">
            <w:pPr>
              <w:jc w:val="center"/>
            </w:pPr>
            <w:r>
              <w:rPr>
                <w:sz w:val="20"/>
                <w:szCs w:val="20"/>
              </w:rPr>
              <w:t>2.5-3.5%</w:t>
            </w:r>
          </w:p>
        </w:tc>
        <w:tc>
          <w:tcPr>
            <w:tcW w:w="1000" w:type="pct"/>
            <w:tcMar>
              <w:top w:w="40" w:type="dxa"/>
              <w:left w:w="100" w:type="dxa"/>
              <w:bottom w:w="40" w:type="dxa"/>
              <w:right w:w="100" w:type="dxa"/>
            </w:tcMar>
          </w:tcPr>
          <w:p w14:paraId="5817B0B1" w14:textId="77777777" w:rsidR="005E30F4" w:rsidRDefault="004976D6">
            <w:pPr>
              <w:jc w:val="center"/>
            </w:pPr>
            <w:r>
              <w:rPr>
                <w:sz w:val="20"/>
                <w:szCs w:val="20"/>
              </w:rPr>
              <w:t>$25-45</w:t>
            </w:r>
          </w:p>
        </w:tc>
        <w:tc>
          <w:tcPr>
            <w:tcW w:w="900" w:type="pct"/>
            <w:tcMar>
              <w:top w:w="40" w:type="dxa"/>
              <w:left w:w="100" w:type="dxa"/>
              <w:bottom w:w="40" w:type="dxa"/>
              <w:right w:w="100" w:type="dxa"/>
            </w:tcMar>
          </w:tcPr>
          <w:p w14:paraId="1FE258D5" w14:textId="77777777" w:rsidR="005E30F4" w:rsidRDefault="004976D6">
            <w:pPr>
              <w:jc w:val="center"/>
            </w:pPr>
            <w:r>
              <w:rPr>
                <w:sz w:val="20"/>
                <w:szCs w:val="20"/>
              </w:rPr>
              <w:t>20-25 years</w:t>
            </w:r>
          </w:p>
        </w:tc>
      </w:tr>
      <w:tr w:rsidR="005E30F4" w14:paraId="290F73B4" w14:textId="77777777">
        <w:trPr>
          <w:cantSplit/>
        </w:trPr>
        <w:tc>
          <w:tcPr>
            <w:tcW w:w="1100" w:type="pct"/>
            <w:tcMar>
              <w:top w:w="40" w:type="dxa"/>
              <w:left w:w="100" w:type="dxa"/>
              <w:bottom w:w="40" w:type="dxa"/>
              <w:right w:w="100" w:type="dxa"/>
            </w:tcMar>
          </w:tcPr>
          <w:p w14:paraId="6A740874" w14:textId="77777777" w:rsidR="005E30F4" w:rsidRDefault="004976D6">
            <w:pPr>
              <w:jc w:val="center"/>
            </w:pPr>
            <w:r>
              <w:rPr>
                <w:sz w:val="20"/>
                <w:szCs w:val="20"/>
              </w:rPr>
              <w:t>Li-ion Battery (4h)</w:t>
            </w:r>
          </w:p>
        </w:tc>
        <w:tc>
          <w:tcPr>
            <w:tcW w:w="1100" w:type="pct"/>
            <w:tcMar>
              <w:top w:w="40" w:type="dxa"/>
              <w:left w:w="100" w:type="dxa"/>
              <w:bottom w:w="40" w:type="dxa"/>
              <w:right w:w="100" w:type="dxa"/>
            </w:tcMar>
          </w:tcPr>
          <w:p w14:paraId="007543D4" w14:textId="77777777" w:rsidR="005E30F4" w:rsidRDefault="004976D6">
            <w:pPr>
              <w:jc w:val="center"/>
            </w:pPr>
            <w:r>
              <w:rPr>
                <w:sz w:val="20"/>
                <w:szCs w:val="20"/>
              </w:rPr>
              <w:t>$200-400/kWh</w:t>
            </w:r>
          </w:p>
        </w:tc>
        <w:tc>
          <w:tcPr>
            <w:tcW w:w="900" w:type="pct"/>
            <w:tcMar>
              <w:top w:w="40" w:type="dxa"/>
              <w:left w:w="100" w:type="dxa"/>
              <w:bottom w:w="40" w:type="dxa"/>
              <w:right w:w="100" w:type="dxa"/>
            </w:tcMar>
          </w:tcPr>
          <w:p w14:paraId="2DB7CEE5" w14:textId="77777777" w:rsidR="005E30F4" w:rsidRDefault="004976D6">
            <w:pPr>
              <w:jc w:val="center"/>
            </w:pPr>
            <w:r>
              <w:rPr>
                <w:sz w:val="20"/>
                <w:szCs w:val="20"/>
              </w:rPr>
              <w:t>1-2%</w:t>
            </w:r>
          </w:p>
        </w:tc>
        <w:tc>
          <w:tcPr>
            <w:tcW w:w="1000" w:type="pct"/>
            <w:tcMar>
              <w:top w:w="40" w:type="dxa"/>
              <w:left w:w="100" w:type="dxa"/>
              <w:bottom w:w="40" w:type="dxa"/>
              <w:right w:w="100" w:type="dxa"/>
            </w:tcMar>
          </w:tcPr>
          <w:p w14:paraId="7F88E77A" w14:textId="77777777" w:rsidR="005E30F4" w:rsidRDefault="004976D6">
            <w:pPr>
              <w:jc w:val="center"/>
            </w:pPr>
            <w:r>
              <w:rPr>
                <w:sz w:val="20"/>
                <w:szCs w:val="20"/>
              </w:rPr>
              <w:t>$70-100</w:t>
            </w:r>
          </w:p>
        </w:tc>
        <w:tc>
          <w:tcPr>
            <w:tcW w:w="900" w:type="pct"/>
            <w:tcMar>
              <w:top w:w="40" w:type="dxa"/>
              <w:left w:w="100" w:type="dxa"/>
              <w:bottom w:w="40" w:type="dxa"/>
              <w:right w:w="100" w:type="dxa"/>
            </w:tcMar>
          </w:tcPr>
          <w:p w14:paraId="4225392E" w14:textId="77777777" w:rsidR="005E30F4" w:rsidRDefault="004976D6">
            <w:pPr>
              <w:jc w:val="center"/>
            </w:pPr>
            <w:r>
              <w:rPr>
                <w:sz w:val="20"/>
                <w:szCs w:val="20"/>
              </w:rPr>
              <w:t>15-20 years</w:t>
            </w:r>
          </w:p>
        </w:tc>
      </w:tr>
      <w:tr w:rsidR="005E30F4" w14:paraId="16A26154" w14:textId="77777777">
        <w:trPr>
          <w:cantSplit/>
        </w:trPr>
        <w:tc>
          <w:tcPr>
            <w:tcW w:w="1100" w:type="pct"/>
            <w:tcMar>
              <w:top w:w="40" w:type="dxa"/>
              <w:left w:w="100" w:type="dxa"/>
              <w:bottom w:w="40" w:type="dxa"/>
              <w:right w:w="100" w:type="dxa"/>
            </w:tcMar>
          </w:tcPr>
          <w:p w14:paraId="50D679A3" w14:textId="77777777" w:rsidR="005E30F4" w:rsidRDefault="004976D6">
            <w:pPr>
              <w:jc w:val="center"/>
            </w:pPr>
            <w:r>
              <w:rPr>
                <w:sz w:val="20"/>
                <w:szCs w:val="20"/>
              </w:rPr>
              <w:t>Diesel Generator</w:t>
            </w:r>
          </w:p>
        </w:tc>
        <w:tc>
          <w:tcPr>
            <w:tcW w:w="1100" w:type="pct"/>
            <w:tcMar>
              <w:top w:w="40" w:type="dxa"/>
              <w:left w:w="100" w:type="dxa"/>
              <w:bottom w:w="40" w:type="dxa"/>
              <w:right w:w="100" w:type="dxa"/>
            </w:tcMar>
          </w:tcPr>
          <w:p w14:paraId="4F05335D" w14:textId="77777777" w:rsidR="005E30F4" w:rsidRDefault="004976D6">
            <w:pPr>
              <w:jc w:val="center"/>
            </w:pPr>
            <w:r>
              <w:rPr>
                <w:sz w:val="20"/>
                <w:szCs w:val="20"/>
              </w:rPr>
              <w:t>$300-600/kW</w:t>
            </w:r>
          </w:p>
        </w:tc>
        <w:tc>
          <w:tcPr>
            <w:tcW w:w="900" w:type="pct"/>
            <w:tcMar>
              <w:top w:w="40" w:type="dxa"/>
              <w:left w:w="100" w:type="dxa"/>
              <w:bottom w:w="40" w:type="dxa"/>
              <w:right w:w="100" w:type="dxa"/>
            </w:tcMar>
          </w:tcPr>
          <w:p w14:paraId="159045C3" w14:textId="77777777" w:rsidR="005E30F4" w:rsidRDefault="004976D6">
            <w:pPr>
              <w:jc w:val="center"/>
            </w:pPr>
            <w:r>
              <w:rPr>
                <w:sz w:val="20"/>
                <w:szCs w:val="20"/>
              </w:rPr>
              <w:t>2-3%</w:t>
            </w:r>
          </w:p>
        </w:tc>
        <w:tc>
          <w:tcPr>
            <w:tcW w:w="1000" w:type="pct"/>
            <w:tcMar>
              <w:top w:w="40" w:type="dxa"/>
              <w:left w:w="100" w:type="dxa"/>
              <w:bottom w:w="40" w:type="dxa"/>
              <w:right w:w="100" w:type="dxa"/>
            </w:tcMar>
          </w:tcPr>
          <w:p w14:paraId="5AD10E8C" w14:textId="77777777" w:rsidR="005E30F4" w:rsidRDefault="004976D6">
            <w:pPr>
              <w:jc w:val="center"/>
            </w:pPr>
            <w:r>
              <w:rPr>
                <w:sz w:val="20"/>
                <w:szCs w:val="20"/>
              </w:rPr>
              <w:t>Fuel dependent</w:t>
            </w:r>
          </w:p>
        </w:tc>
        <w:tc>
          <w:tcPr>
            <w:tcW w:w="900" w:type="pct"/>
            <w:tcMar>
              <w:top w:w="40" w:type="dxa"/>
              <w:left w:w="100" w:type="dxa"/>
              <w:bottom w:w="40" w:type="dxa"/>
              <w:right w:w="100" w:type="dxa"/>
            </w:tcMar>
          </w:tcPr>
          <w:p w14:paraId="2128005B" w14:textId="77777777" w:rsidR="005E30F4" w:rsidRDefault="004976D6">
            <w:pPr>
              <w:jc w:val="center"/>
            </w:pPr>
            <w:r>
              <w:rPr>
                <w:sz w:val="20"/>
                <w:szCs w:val="20"/>
              </w:rPr>
              <w:t>25-30 years</w:t>
            </w:r>
          </w:p>
        </w:tc>
      </w:tr>
      <w:tr w:rsidR="005E30F4" w14:paraId="28223212" w14:textId="77777777">
        <w:trPr>
          <w:cantSplit/>
        </w:trPr>
        <w:tc>
          <w:tcPr>
            <w:tcW w:w="1100" w:type="pct"/>
            <w:tcMar>
              <w:top w:w="40" w:type="dxa"/>
              <w:left w:w="100" w:type="dxa"/>
              <w:bottom w:w="40" w:type="dxa"/>
              <w:right w:w="100" w:type="dxa"/>
            </w:tcMar>
          </w:tcPr>
          <w:p w14:paraId="6E7C84D1" w14:textId="77777777" w:rsidR="005E30F4" w:rsidRDefault="004976D6">
            <w:pPr>
              <w:jc w:val="center"/>
            </w:pPr>
            <w:r>
              <w:rPr>
                <w:sz w:val="20"/>
                <w:szCs w:val="20"/>
              </w:rPr>
              <w:t>H2 Fuel Cell</w:t>
            </w:r>
          </w:p>
        </w:tc>
        <w:tc>
          <w:tcPr>
            <w:tcW w:w="1100" w:type="pct"/>
            <w:tcMar>
              <w:top w:w="40" w:type="dxa"/>
              <w:left w:w="100" w:type="dxa"/>
              <w:bottom w:w="40" w:type="dxa"/>
              <w:right w:w="100" w:type="dxa"/>
            </w:tcMar>
          </w:tcPr>
          <w:p w14:paraId="3A0033B2" w14:textId="77777777" w:rsidR="005E30F4" w:rsidRDefault="004976D6">
            <w:pPr>
              <w:jc w:val="center"/>
            </w:pPr>
            <w:r>
              <w:rPr>
                <w:sz w:val="20"/>
                <w:szCs w:val="20"/>
              </w:rPr>
              <w:t>$2,000-4,000/kW</w:t>
            </w:r>
          </w:p>
        </w:tc>
        <w:tc>
          <w:tcPr>
            <w:tcW w:w="900" w:type="pct"/>
            <w:tcMar>
              <w:top w:w="40" w:type="dxa"/>
              <w:left w:w="100" w:type="dxa"/>
              <w:bottom w:w="40" w:type="dxa"/>
              <w:right w:w="100" w:type="dxa"/>
            </w:tcMar>
          </w:tcPr>
          <w:p w14:paraId="34CC118D" w14:textId="77777777" w:rsidR="005E30F4" w:rsidRDefault="004976D6">
            <w:pPr>
              <w:jc w:val="center"/>
            </w:pPr>
            <w:r>
              <w:rPr>
                <w:sz w:val="20"/>
                <w:szCs w:val="20"/>
              </w:rPr>
              <w:t>3-5%</w:t>
            </w:r>
          </w:p>
        </w:tc>
        <w:tc>
          <w:tcPr>
            <w:tcW w:w="1000" w:type="pct"/>
            <w:tcMar>
              <w:top w:w="40" w:type="dxa"/>
              <w:left w:w="100" w:type="dxa"/>
              <w:bottom w:w="40" w:type="dxa"/>
              <w:right w:w="100" w:type="dxa"/>
            </w:tcMar>
          </w:tcPr>
          <w:p w14:paraId="13CA188E" w14:textId="77777777" w:rsidR="005E30F4" w:rsidRDefault="004976D6">
            <w:pPr>
              <w:jc w:val="center"/>
            </w:pPr>
            <w:r>
              <w:rPr>
                <w:sz w:val="20"/>
                <w:szCs w:val="20"/>
              </w:rPr>
              <w:t>$150-250</w:t>
            </w:r>
          </w:p>
        </w:tc>
        <w:tc>
          <w:tcPr>
            <w:tcW w:w="900" w:type="pct"/>
            <w:tcMar>
              <w:top w:w="40" w:type="dxa"/>
              <w:left w:w="100" w:type="dxa"/>
              <w:bottom w:w="40" w:type="dxa"/>
              <w:right w:w="100" w:type="dxa"/>
            </w:tcMar>
          </w:tcPr>
          <w:p w14:paraId="4B1CBA41" w14:textId="77777777" w:rsidR="005E30F4" w:rsidRDefault="004976D6">
            <w:pPr>
              <w:jc w:val="center"/>
            </w:pPr>
            <w:r>
              <w:rPr>
                <w:sz w:val="20"/>
                <w:szCs w:val="20"/>
              </w:rPr>
              <w:t>10-15 years</w:t>
            </w:r>
          </w:p>
        </w:tc>
      </w:tr>
      <w:tr w:rsidR="005E30F4" w14:paraId="1C6DA657" w14:textId="77777777">
        <w:trPr>
          <w:cantSplit/>
        </w:trPr>
        <w:tc>
          <w:tcPr>
            <w:tcW w:w="1100" w:type="pct"/>
            <w:tcMar>
              <w:top w:w="40" w:type="dxa"/>
              <w:left w:w="100" w:type="dxa"/>
              <w:bottom w:w="40" w:type="dxa"/>
              <w:right w:w="100" w:type="dxa"/>
            </w:tcMar>
          </w:tcPr>
          <w:p w14:paraId="42E7A9F1" w14:textId="77777777" w:rsidR="005E30F4" w:rsidRDefault="004976D6">
            <w:pPr>
              <w:jc w:val="center"/>
            </w:pPr>
            <w:r>
              <w:rPr>
                <w:sz w:val="20"/>
                <w:szCs w:val="20"/>
              </w:rPr>
              <w:t>Grid Electricity</w:t>
            </w:r>
          </w:p>
        </w:tc>
        <w:tc>
          <w:tcPr>
            <w:tcW w:w="1100" w:type="pct"/>
            <w:tcMar>
              <w:top w:w="40" w:type="dxa"/>
              <w:left w:w="100" w:type="dxa"/>
              <w:bottom w:w="40" w:type="dxa"/>
              <w:right w:w="100" w:type="dxa"/>
            </w:tcMar>
          </w:tcPr>
          <w:p w14:paraId="4C6F4E61" w14:textId="77777777" w:rsidR="005E30F4" w:rsidRDefault="004976D6">
            <w:pPr>
              <w:jc w:val="center"/>
            </w:pPr>
            <w:r>
              <w:rPr>
                <w:sz w:val="20"/>
                <w:szCs w:val="20"/>
              </w:rPr>
              <w:t>N/A</w:t>
            </w:r>
          </w:p>
        </w:tc>
        <w:tc>
          <w:tcPr>
            <w:tcW w:w="900" w:type="pct"/>
            <w:tcMar>
              <w:top w:w="40" w:type="dxa"/>
              <w:left w:w="100" w:type="dxa"/>
              <w:bottom w:w="40" w:type="dxa"/>
              <w:right w:w="100" w:type="dxa"/>
            </w:tcMar>
          </w:tcPr>
          <w:p w14:paraId="651EB22F" w14:textId="77777777" w:rsidR="005E30F4" w:rsidRDefault="004976D6">
            <w:pPr>
              <w:jc w:val="center"/>
            </w:pPr>
            <w:r>
              <w:rPr>
                <w:sz w:val="20"/>
                <w:szCs w:val="20"/>
              </w:rPr>
              <w:t>N/A</w:t>
            </w:r>
          </w:p>
        </w:tc>
        <w:tc>
          <w:tcPr>
            <w:tcW w:w="1000" w:type="pct"/>
            <w:tcMar>
              <w:top w:w="40" w:type="dxa"/>
              <w:left w:w="100" w:type="dxa"/>
              <w:bottom w:w="40" w:type="dxa"/>
              <w:right w:w="100" w:type="dxa"/>
            </w:tcMar>
          </w:tcPr>
          <w:p w14:paraId="65A691D5" w14:textId="77777777" w:rsidR="005E30F4" w:rsidRDefault="004976D6">
            <w:pPr>
              <w:jc w:val="center"/>
            </w:pPr>
            <w:r>
              <w:rPr>
                <w:sz w:val="20"/>
                <w:szCs w:val="20"/>
              </w:rPr>
              <w:t>$70-120</w:t>
            </w:r>
          </w:p>
        </w:tc>
        <w:tc>
          <w:tcPr>
            <w:tcW w:w="900" w:type="pct"/>
            <w:tcMar>
              <w:top w:w="40" w:type="dxa"/>
              <w:left w:w="100" w:type="dxa"/>
              <w:bottom w:w="40" w:type="dxa"/>
              <w:right w:w="100" w:type="dxa"/>
            </w:tcMar>
          </w:tcPr>
          <w:p w14:paraId="423593A3" w14:textId="77777777" w:rsidR="005E30F4" w:rsidRDefault="004976D6">
            <w:pPr>
              <w:jc w:val="center"/>
            </w:pPr>
            <w:r>
              <w:rPr>
                <w:sz w:val="20"/>
                <w:szCs w:val="20"/>
              </w:rPr>
              <w:t>N/A</w:t>
            </w:r>
          </w:p>
        </w:tc>
      </w:tr>
    </w:tbl>
    <w:p w14:paraId="35930E14" w14:textId="77777777" w:rsidR="005E30F4" w:rsidRDefault="004976D6">
      <w:pPr>
        <w:spacing w:after="120"/>
        <w:ind w:firstLine="480"/>
        <w:jc w:val="both"/>
      </w:pPr>
      <w:r>
        <w:t>The U.S. Inflation Reduction Act (IRA) of 2022 provides significant financial incentives that substantially improve project economics. The Investment Tax Credit (ITC) of 30 percent of eligible project costs, applicable to solar, storage, and qualifying hydrogen production equipment, reduces effective capital expenditure by approximately 30 percent [148]. When combined with accelerated depreciation under MACRS (5-year recovery for solar, 7-year for wind) and state-level incentives, the effective ITC can reach 40 to 50 percent of total project cost. NPV analysis using a 7 percent discount rate and central cost assumptions indicates payback periods of 5 to 10 years for hybrid renewable systems with 30 percent ITC, compared to 8 to 15 years without incentives [149].</w:t>
      </w:r>
    </w:p>
    <w:p w14:paraId="658FF120" w14:textId="77777777" w:rsidR="005E30F4" w:rsidRDefault="004976D6">
      <w:pPr>
        <w:keepNext/>
        <w:spacing w:before="200" w:after="100"/>
        <w:jc w:val="center"/>
      </w:pPr>
      <w:r>
        <w:rPr>
          <w:noProof/>
        </w:rPr>
        <w:lastRenderedPageBreak/>
        <w:drawing>
          <wp:inline distT="0" distB="0" distL="0" distR="0" wp14:anchorId="7A1B1175" wp14:editId="7B79A033">
            <wp:extent cx="4286250" cy="2590800"/>
            <wp:effectExtent l="0" t="0" r="0" b="0"/>
            <wp:docPr id="1887237793" name="Picture 1887237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286250" cy="2590800"/>
                    </a:xfrm>
                    <a:prstGeom prst="rect">
                      <a:avLst/>
                    </a:prstGeom>
                  </pic:spPr>
                </pic:pic>
              </a:graphicData>
            </a:graphic>
          </wp:inline>
        </w:drawing>
      </w:r>
    </w:p>
    <w:p w14:paraId="5E224CFD" w14:textId="77777777" w:rsidR="005E30F4" w:rsidRDefault="004976D6">
      <w:pPr>
        <w:spacing w:after="200"/>
        <w:jc w:val="center"/>
      </w:pPr>
      <w:r>
        <w:rPr>
          <w:i/>
          <w:iCs/>
          <w:color w:val="333333"/>
          <w:sz w:val="20"/>
          <w:szCs w:val="20"/>
        </w:rPr>
        <w:t>Fig. 8. LCOE comparison across generation technologies (2024, US). Source: Lazard [38], IRENA [16].</w:t>
      </w:r>
    </w:p>
    <w:p w14:paraId="64F0631E" w14:textId="77777777" w:rsidR="005E30F4" w:rsidRDefault="004976D6">
      <w:pPr>
        <w:pStyle w:val="Heading2"/>
        <w:keepNext/>
      </w:pPr>
      <w:bookmarkStart w:id="48" w:name="_Toc100048"/>
      <w:r>
        <w:t>7.9 Reliability and Resilience Metrics</w:t>
      </w:r>
      <w:bookmarkEnd w:id="48"/>
    </w:p>
    <w:p w14:paraId="75177499" w14:textId="77777777" w:rsidR="005E30F4" w:rsidRDefault="004976D6">
      <w:pPr>
        <w:spacing w:after="120"/>
        <w:ind w:firstLine="480"/>
        <w:jc w:val="both"/>
      </w:pPr>
      <w:r>
        <w:t>The framework establishes reliability targets aligned with the requirements of AI computing workloads. The primary reliability metric is availability, defined as the percentage of time the system delivers sufficient power to maintain all critical computing functions. The target availability is 99.99 percent, corresponding to a maximum of 52.6 minutes of downtime per year [150]. Loss of Load Expectation (LOLE), expressed in hours per year, provides a complementary metric that quantifies the expected frequency of insufficient generation events. For a data center with a 99.99 percent availability target, the acceptable LOLE is approximately 0.1 hours per year.</w:t>
      </w:r>
    </w:p>
    <w:p w14:paraId="1FE117B5" w14:textId="77777777" w:rsidR="005E30F4" w:rsidRDefault="004976D6">
      <w:pPr>
        <w:spacing w:after="120"/>
        <w:ind w:firstLine="480"/>
        <w:jc w:val="both"/>
      </w:pPr>
      <w:r>
        <w:t>Energy resilience, defined as the number of hours the facility can operate on stored energy during a complete grid outage, provides a critical measure for disaster preparedness. A data center with 8 hours of battery storage and 72 hours of diesel fuel supply can sustain operations for over 80 hours during a grid emergency, assuming normal load conditions [151]. The N-1 contingency criterion ensures that the loss of any single component, whether a generator, battery string, or grid feed, does not compromise system reliability.</w:t>
      </w:r>
    </w:p>
    <w:p w14:paraId="195733A1" w14:textId="77777777" w:rsidR="005E30F4" w:rsidRDefault="004976D6">
      <w:pPr>
        <w:pStyle w:val="Heading2"/>
        <w:keepNext/>
      </w:pPr>
      <w:bookmarkStart w:id="49" w:name="_Toc100049"/>
      <w:r>
        <w:t>7.10 Carbon Accounting and Sustainability</w:t>
      </w:r>
      <w:bookmarkEnd w:id="49"/>
    </w:p>
    <w:p w14:paraId="416455CB" w14:textId="77777777" w:rsidR="005E30F4" w:rsidRDefault="004976D6">
      <w:pPr>
        <w:spacing w:after="120"/>
        <w:ind w:firstLine="480"/>
        <w:jc w:val="both"/>
      </w:pPr>
      <w:r>
        <w:t xml:space="preserve">The framework implements comprehensive carbon accounting across all three scopes of the Greenhouse Gas Protocol. Scope 1 emissions encompass direct combustion of fuels in backup generators and fuel cells, typically contributing less than 1 percent of total emissions for facilities with minimal generator runtime [152]. Scope 2 emissions, associated with purchased electricity, represent the dominant source and are the primary target for reduction through renewable energy procurement. Scope 3 emissions, including embodied carbon in equipment manufacturing and end-of-life disposal, contribute approximately 5 to </w:t>
      </w:r>
      <w:r>
        <w:lastRenderedPageBreak/>
        <w:t>10 grams of CO2 per kWh over the asset lifetime and are addressed through circular economy practices [153].</w:t>
      </w:r>
    </w:p>
    <w:p w14:paraId="413C3053" w14:textId="77777777" w:rsidR="005E30F4" w:rsidRDefault="004976D6">
      <w:pPr>
        <w:spacing w:after="120"/>
        <w:ind w:firstLine="480"/>
        <w:jc w:val="both"/>
      </w:pPr>
      <w:r>
        <w:t>The 24/7 Carbon-Free Energy (CFE) standard, which requires matching every hour of electricity consumption with carbon-free generation, represents the most rigorous sustainability metric and is increasingly adopted as the industry benchmark by Google, Microsoft, and other leading operators [12]. Implementing 24/7 CFE requires sophisticated forecasting and control systems capable of optimizing energy dispatch on an hourly basis, as well as transparent procurement of time-matched renewable energy through PPAs or on-site generation. The framework recommends a staged approach, beginning with annual renewable energy matching and progressing toward hourly matching as control systems and market mechanisms mature.</w:t>
      </w:r>
    </w:p>
    <w:p w14:paraId="3D16C95A" w14:textId="77777777" w:rsidR="005E30F4" w:rsidRDefault="004976D6">
      <w:pPr>
        <w:pStyle w:val="Heading1"/>
        <w:keepNext/>
      </w:pPr>
      <w:bookmarkStart w:id="50" w:name="_Toc100050"/>
      <w:r>
        <w:t>8. Case Studies: Real-World Deployments</w:t>
      </w:r>
      <w:bookmarkEnd w:id="50"/>
    </w:p>
    <w:p w14:paraId="2E375C6F" w14:textId="77777777" w:rsidR="005E30F4" w:rsidRDefault="004976D6">
      <w:pPr>
        <w:spacing w:after="120"/>
        <w:ind w:firstLine="480"/>
        <w:jc w:val="both"/>
      </w:pPr>
      <w:r>
        <w:t>This chapter examines the renewable energy strategies of five leading technology companies, extracting lessons learned and validating the proposed framework against real-world implementations. Each case study provides detailed technical specifications, performance metrics, financial data, and strategic insights.</w:t>
      </w:r>
    </w:p>
    <w:p w14:paraId="1CE1E6E4" w14:textId="77777777" w:rsidR="005E30F4" w:rsidRDefault="004976D6">
      <w:pPr>
        <w:pStyle w:val="Heading2"/>
        <w:keepNext/>
      </w:pPr>
      <w:bookmarkStart w:id="51" w:name="_Toc100051"/>
      <w:r>
        <w:t>8.1 Google Data Centers: Renewable Energy Matching</w:t>
      </w:r>
      <w:bookmarkEnd w:id="51"/>
    </w:p>
    <w:p w14:paraId="21638721" w14:textId="77777777" w:rsidR="005E30F4" w:rsidRDefault="004976D6">
      <w:pPr>
        <w:spacing w:after="120"/>
        <w:ind w:firstLine="480"/>
        <w:jc w:val="both"/>
      </w:pPr>
      <w:r>
        <w:t>Google operates over 100 data center facilities globally and has established the most aggressive renewable energy target in the industry: 24/7 carbon-free energy by 2030. As of 2024, Google has contracted over 22 GW of renewable capacity through more than 170 power purchase agreements spanning solar, wind, and, increasingly, battery storage [55]. In 2022, the company reported achieving 64 percent hourly CFE across its global operations, with some regions exceeding 95 percent [56].</w:t>
      </w:r>
    </w:p>
    <w:p w14:paraId="0243CFB7" w14:textId="77777777" w:rsidR="005E30F4" w:rsidRDefault="004976D6">
      <w:pPr>
        <w:spacing w:after="120"/>
        <w:ind w:firstLine="480"/>
        <w:jc w:val="both"/>
      </w:pPr>
      <w:r>
        <w:t>Key technical projects include the 50 MW on-site wind installation at the Council Bluffs, Iowa facility, which provides direct power to the data center and exports excess generation to the grid, and the 200+ MW combined wind and solar PPA portfolio in Chile's Atacama Desert, which leverages the region's exceptional solar irradiance and wind resources [57]. Google's approach emphasizes geographic diversification, distributing data center capacity across regions with complementary renewable resource profiles. The company's Gemini-era data center designs incorporate direct backup interconnection with grid-scale battery storage, enabling the facilities to shift consumption toward periods of high renewable generation.</w:t>
      </w:r>
    </w:p>
    <w:p w14:paraId="7E8440F8" w14:textId="77777777" w:rsidR="005E30F4" w:rsidRDefault="004976D6">
      <w:pPr>
        <w:spacing w:after="120"/>
        <w:ind w:firstLine="480"/>
        <w:jc w:val="both"/>
      </w:pPr>
      <w:r>
        <w:t xml:space="preserve">Google has demonstrated that long-term PPAs can lock in energy costs of $30 to $50 per MWh for </w:t>
      </w:r>
      <w:proofErr w:type="gramStart"/>
      <w:r>
        <w:t>15 to 25 year</w:t>
      </w:r>
      <w:proofErr w:type="gramEnd"/>
      <w:r>
        <w:t xml:space="preserve"> terms, providing significant cost savings compared to grid </w:t>
      </w:r>
      <w:r>
        <w:lastRenderedPageBreak/>
        <w:t xml:space="preserve">electricity prices of $70 to $120 per MWh in most markets [55]. The company's load shifting capabilities, enabled by geographic distribution of workloads across facilities in different time zones, allow it to route compute jobs to facilities with the best current renewable energy conditions, effectively reducing the storage requirement for individual facilities. Framework validation confirms that Google's approach aligns closely with Components 1, 2, 4, and 6 of the proposed </w:t>
      </w:r>
      <w:proofErr w:type="gramStart"/>
      <w:r>
        <w:t>framework</w:t>
      </w:r>
      <w:proofErr w:type="gramEnd"/>
      <w:r>
        <w:t>, with site assessment, technology selection, control strategy, and economic viability being particularly well-represented.</w:t>
      </w:r>
    </w:p>
    <w:p w14:paraId="32BD71B8" w14:textId="77777777" w:rsidR="005E30F4" w:rsidRDefault="004976D6">
      <w:pPr>
        <w:pStyle w:val="Heading2"/>
        <w:keepNext/>
      </w:pPr>
      <w:bookmarkStart w:id="52" w:name="_Toc100052"/>
      <w:r>
        <w:t>8.2 Meta: Fuel Cell Integration at Prineville</w:t>
      </w:r>
      <w:bookmarkEnd w:id="52"/>
    </w:p>
    <w:p w14:paraId="28C0618F" w14:textId="77777777" w:rsidR="005E30F4" w:rsidRDefault="004976D6">
      <w:pPr>
        <w:spacing w:after="120"/>
        <w:ind w:firstLine="480"/>
        <w:jc w:val="both"/>
      </w:pPr>
      <w:r>
        <w:t>Meta (Facebook) has pursued a distinctive strategy centered on fuel cell technology at its Prineville, Oregon data center campus. The facility deploys 5 MW of Bloom Energy solid oxide fuel cells (SOFCs) powered by natural gas as the primary on-site generation resource, supplemented by 1 MW of on-site solar canopy generation and 50 MW of contracted wind energy through PPAs [58]. The fuel cells operate at approximately 60 percent electrical efficiency, with waste heat captured for building heating, achieving combined heat and power (CHP) efficiencies above 80 percent [59].</w:t>
      </w:r>
    </w:p>
    <w:p w14:paraId="776B69E3" w14:textId="77777777" w:rsidR="005E30F4" w:rsidRDefault="004976D6">
      <w:pPr>
        <w:spacing w:after="120"/>
        <w:ind w:firstLine="480"/>
        <w:jc w:val="both"/>
      </w:pPr>
      <w:r>
        <w:t>Performance metrics indicate a facility PUE of approximately 1.10, among the lowest in the industry, with fuel cell uptime exceeding 99 percent. However, several challenges have emerged. Fuel cell stack replacement costs of $1 to $3 million every 5 to 8 years represent a significant operating expense, and the reliance on natural gas feedstock creates a carbon emissions pathway that conflicts with net-zero commitments [154]. Meta's strategy for fuel cell decarbonization involves transitioning from natural gas to green hydrogen as the fuel source, but the timeline and cost of this transition remain uncertain given the current state of hydrogen production and distribution infrastructure. Framework analysis indicates that fuel cells serve as a viable bridge technology (Component 2: Technology Selection) but may not represent the optimal long-term solution as battery storage costs continue to decline.</w:t>
      </w:r>
    </w:p>
    <w:p w14:paraId="6ECA197B" w14:textId="77777777" w:rsidR="005E30F4" w:rsidRDefault="004976D6">
      <w:pPr>
        <w:pStyle w:val="Heading2"/>
        <w:keepNext/>
      </w:pPr>
      <w:bookmarkStart w:id="53" w:name="_Toc100053"/>
      <w:r>
        <w:t>8.3 Microsoft: Modular Design and Nuclear Partnership</w:t>
      </w:r>
      <w:bookmarkEnd w:id="53"/>
    </w:p>
    <w:p w14:paraId="5A4072CD" w14:textId="77777777" w:rsidR="005E30F4" w:rsidRDefault="004976D6">
      <w:pPr>
        <w:spacing w:after="120"/>
        <w:ind w:firstLine="480"/>
        <w:jc w:val="both"/>
      </w:pPr>
      <w:r>
        <w:t>Microsoft has explored two innovative approaches to sustainable data center infrastructure: Project Natick, an experimental underwater data center, and nuclear energy partnerships for baseload power supply. Project Natick Phase 2, deployed off the coast of Scotland, demonstrated 99.9 percent reliability and an eight-fold reduction in failure rates compared to equivalent land-based facilities, attributed to the stable underwater cooling environment and the nitrogen-filled sealed container that eliminated corrosion and humidity-related failures [60].</w:t>
      </w:r>
    </w:p>
    <w:p w14:paraId="75810AB2" w14:textId="77777777" w:rsidR="005E30F4" w:rsidRDefault="004976D6">
      <w:pPr>
        <w:spacing w:after="120"/>
        <w:ind w:firstLine="480"/>
        <w:jc w:val="both"/>
      </w:pPr>
      <w:r>
        <w:t xml:space="preserve">Microsoft's nuclear strategy involves a partnership to restart the Three Mile Island Unit 1 reactor (renamed Crane Clean Energy Center) to provide 835 MW of baseload power for </w:t>
      </w:r>
      <w:r>
        <w:lastRenderedPageBreak/>
        <w:t xml:space="preserve">its AI operations, representing the most significant corporate nuclear energy commitment to date [61]. Additionally, Microsoft has invested in Helion Energy, a fusion energy startup targeting commercial deployment by 2028, and signed an agreement to purchase fusion-generated electricity [155]. Small modular reactors (SMRs), with capacities of 50 to 300 MWe, represent another pathway for nuclear integration with data centers, though the </w:t>
      </w:r>
      <w:proofErr w:type="gramStart"/>
      <w:r>
        <w:t>10 to 20 year</w:t>
      </w:r>
      <w:proofErr w:type="gramEnd"/>
      <w:r>
        <w:t xml:space="preserve"> timeline for commercial deployment limits near-term applicability. Framework alignment: Microsoft's approach validates Component 7 (Resilience and Sustainability) and demonstrates the potential for next-generation technologies to complement renewable energy systems.</w:t>
      </w:r>
    </w:p>
    <w:p w14:paraId="728441E7" w14:textId="77777777" w:rsidR="005E30F4" w:rsidRDefault="004976D6">
      <w:pPr>
        <w:pStyle w:val="Heading2"/>
        <w:keepNext/>
      </w:pPr>
      <w:bookmarkStart w:id="54" w:name="_Toc100054"/>
      <w:r>
        <w:t>8.4 Equinix: Distributed Solar PPAs</w:t>
      </w:r>
      <w:bookmarkEnd w:id="54"/>
    </w:p>
    <w:p w14:paraId="56E122D8" w14:textId="77777777" w:rsidR="005E30F4" w:rsidRDefault="004976D6">
      <w:pPr>
        <w:spacing w:after="120"/>
        <w:ind w:firstLine="480"/>
        <w:jc w:val="both"/>
      </w:pPr>
      <w:r>
        <w:t>Equinix, the world's largest colocation data center operator with over 260 facilities across 33 countries, implements a distributed renewable procurement model that reflects the geographic diversity of its operations. The company has contracted over 350 MW of solar and wind capacity through PPAs in California, Arizona, Texas, the Midwest U.S., and several European countries [62]. Equinix's 2024 sustainability report indicates 96 percent renewable energy coverage across its global portfolio, with a goal of achieving 100 percent by 2030 [156].</w:t>
      </w:r>
    </w:p>
    <w:p w14:paraId="16028FEA" w14:textId="77777777" w:rsidR="005E30F4" w:rsidRDefault="004976D6">
      <w:pPr>
        <w:spacing w:after="120"/>
        <w:ind w:firstLine="480"/>
        <w:jc w:val="both"/>
      </w:pPr>
      <w:r>
        <w:t xml:space="preserve">The financial model demonstrates that PPA pricing of $40 to $60 per MWh, achieved through long-term (15 to 20 year) contracts, is lower than historical grid rates in most Equinix markets, providing both cost savings and price stability. The company's multi-facility </w:t>
      </w:r>
      <w:proofErr w:type="gramStart"/>
      <w:r>
        <w:t>load</w:t>
      </w:r>
      <w:proofErr w:type="gramEnd"/>
      <w:r>
        <w:t xml:space="preserve"> balancing strategy routes customer workloads across facilities with different renewable profiles, effectively creating a virtual power plant that smooths aggregate renewable variability. However, challenges remain in regions with limited PPA market access and in markets where grid connection costs are high relative to energy savings. Framework validation confirms that Equinix's distributed approach effectively addresses Component 5 (Workload Flexibility) and Component 6 (Economic Viability).</w:t>
      </w:r>
    </w:p>
    <w:p w14:paraId="7B57B682" w14:textId="77777777" w:rsidR="005E30F4" w:rsidRDefault="004976D6">
      <w:pPr>
        <w:pStyle w:val="Heading2"/>
        <w:keepNext/>
      </w:pPr>
      <w:bookmarkStart w:id="55" w:name="_Toc100055"/>
      <w:r>
        <w:t>8.5 Apple: 100 Percent Renewable Commitment</w:t>
      </w:r>
      <w:bookmarkEnd w:id="55"/>
    </w:p>
    <w:p w14:paraId="6F018366" w14:textId="77777777" w:rsidR="005E30F4" w:rsidRDefault="004976D6">
      <w:pPr>
        <w:spacing w:after="120"/>
        <w:ind w:firstLine="480"/>
        <w:jc w:val="both"/>
      </w:pPr>
      <w:r>
        <w:t>Apple has achieved a comprehensive 100 percent renewable energy commitment across all its global facilities, including data centers, corporate offices, and retail stores, and has extended this commitment to its manufacturing supply chain [63]. The Maiden, North Carolina data center serves as a flagship example, deploying 10 MW of Bloom Energy fuel cells supplemented by a 100-acre on-site solar array generating approximately 42 million kWh annually. Apple's approach combines owned on-site generation (where feasible), long-term PPAs, and renewable energy certificates to achieve its targets.</w:t>
      </w:r>
    </w:p>
    <w:p w14:paraId="281AC8BB" w14:textId="77777777" w:rsidR="005E30F4" w:rsidRDefault="004976D6">
      <w:pPr>
        <w:spacing w:after="120"/>
        <w:ind w:firstLine="480"/>
        <w:jc w:val="both"/>
      </w:pPr>
      <w:r>
        <w:lastRenderedPageBreak/>
        <w:t>The cost premium for achieving 100 percent renewable energy is estimated at 10 to 20 percent compared to conventional grid-powered operations, though Apple reports that efficiency gains from on-site generation and grid support revenue partially offset this premium [157]. Key challenges include capital intensity of building owned generation infrastructure, supply chain constraints for renewable equipment, and PPA market saturation in some regions. Framework insights: Apple's staged, portfolio-based approach validates Component 7 (Sustainability) and demonstrates the importance of long-term strategic planning in achieving comprehensive renewable energy targets.</w:t>
      </w:r>
    </w:p>
    <w:p w14:paraId="26937E55" w14:textId="77777777" w:rsidR="005E30F4" w:rsidRDefault="004976D6">
      <w:pPr>
        <w:pStyle w:val="Heading2"/>
        <w:keepNext/>
      </w:pPr>
      <w:bookmarkStart w:id="56" w:name="_Toc100056"/>
      <w:r>
        <w:t>8.6 Comparative Analysis</w:t>
      </w:r>
      <w:bookmarkEnd w:id="56"/>
    </w:p>
    <w:p w14:paraId="036258E7" w14:textId="77777777" w:rsidR="005E30F4" w:rsidRDefault="004976D6">
      <w:pPr>
        <w:keepNext/>
        <w:spacing w:after="120"/>
        <w:jc w:val="both"/>
      </w:pPr>
      <w:r>
        <w:rPr>
          <w:b/>
          <w:bCs/>
          <w:sz w:val="20"/>
          <w:szCs w:val="20"/>
        </w:rPr>
        <w:t>Table IV: Comparative Analysis of Industry Case Studies</w:t>
      </w:r>
    </w:p>
    <w:tbl>
      <w:tblPr>
        <w:tblW w:w="5000" w:type="pct"/>
        <w:tblBorders>
          <w:top w:val="single" w:sz="2" w:space="0" w:color="999999"/>
          <w:left w:val="single" w:sz="4" w:space="0" w:color="auto"/>
          <w:bottom w:val="single" w:sz="2" w:space="0" w:color="999999"/>
          <w:right w:val="single" w:sz="4" w:space="0" w:color="auto"/>
          <w:insideH w:val="single" w:sz="1" w:space="0" w:color="CCCCCC"/>
          <w:insideV w:val="single" w:sz="4" w:space="0" w:color="auto"/>
        </w:tblBorders>
        <w:tblCellMar>
          <w:left w:w="10" w:type="dxa"/>
          <w:right w:w="10" w:type="dxa"/>
        </w:tblCellMar>
        <w:tblLook w:val="04A0" w:firstRow="1" w:lastRow="0" w:firstColumn="1" w:lastColumn="0" w:noHBand="0" w:noVBand="1"/>
      </w:tblPr>
      <w:tblGrid>
        <w:gridCol w:w="1334"/>
        <w:gridCol w:w="1752"/>
        <w:gridCol w:w="1576"/>
        <w:gridCol w:w="1576"/>
        <w:gridCol w:w="1314"/>
        <w:gridCol w:w="1226"/>
      </w:tblGrid>
      <w:tr w:rsidR="005E30F4" w14:paraId="68C0CC28" w14:textId="77777777">
        <w:trPr>
          <w:cantSplit/>
          <w:tblHeader/>
        </w:trPr>
        <w:tc>
          <w:tcPr>
            <w:tcW w:w="750" w:type="pct"/>
            <w:shd w:val="clear" w:color="auto" w:fill="F1F5F9"/>
            <w:tcMar>
              <w:top w:w="60" w:type="dxa"/>
              <w:left w:w="100" w:type="dxa"/>
              <w:bottom w:w="60" w:type="dxa"/>
              <w:right w:w="100" w:type="dxa"/>
            </w:tcMar>
          </w:tcPr>
          <w:p w14:paraId="6EF9371C" w14:textId="77777777" w:rsidR="005E30F4" w:rsidRDefault="004976D6">
            <w:pPr>
              <w:jc w:val="center"/>
            </w:pPr>
            <w:r>
              <w:rPr>
                <w:b/>
                <w:bCs/>
                <w:sz w:val="20"/>
                <w:szCs w:val="20"/>
              </w:rPr>
              <w:t>Organization</w:t>
            </w:r>
          </w:p>
        </w:tc>
        <w:tc>
          <w:tcPr>
            <w:tcW w:w="1000" w:type="pct"/>
            <w:shd w:val="clear" w:color="auto" w:fill="F1F5F9"/>
            <w:tcMar>
              <w:top w:w="60" w:type="dxa"/>
              <w:left w:w="100" w:type="dxa"/>
              <w:bottom w:w="60" w:type="dxa"/>
              <w:right w:w="100" w:type="dxa"/>
            </w:tcMar>
          </w:tcPr>
          <w:p w14:paraId="69C418EB" w14:textId="77777777" w:rsidR="005E30F4" w:rsidRDefault="004976D6">
            <w:pPr>
              <w:jc w:val="center"/>
            </w:pPr>
            <w:r>
              <w:rPr>
                <w:b/>
                <w:bCs/>
                <w:sz w:val="20"/>
                <w:szCs w:val="20"/>
              </w:rPr>
              <w:t>Approach</w:t>
            </w:r>
          </w:p>
        </w:tc>
        <w:tc>
          <w:tcPr>
            <w:tcW w:w="900" w:type="pct"/>
            <w:shd w:val="clear" w:color="auto" w:fill="F1F5F9"/>
            <w:tcMar>
              <w:top w:w="60" w:type="dxa"/>
              <w:left w:w="100" w:type="dxa"/>
              <w:bottom w:w="60" w:type="dxa"/>
              <w:right w:w="100" w:type="dxa"/>
            </w:tcMar>
          </w:tcPr>
          <w:p w14:paraId="22FCD101" w14:textId="77777777" w:rsidR="005E30F4" w:rsidRDefault="004976D6">
            <w:pPr>
              <w:jc w:val="center"/>
            </w:pPr>
            <w:r>
              <w:rPr>
                <w:b/>
                <w:bCs/>
                <w:sz w:val="20"/>
                <w:szCs w:val="20"/>
              </w:rPr>
              <w:t>Renewable %</w:t>
            </w:r>
          </w:p>
        </w:tc>
        <w:tc>
          <w:tcPr>
            <w:tcW w:w="900" w:type="pct"/>
            <w:shd w:val="clear" w:color="auto" w:fill="F1F5F9"/>
            <w:tcMar>
              <w:top w:w="60" w:type="dxa"/>
              <w:left w:w="100" w:type="dxa"/>
              <w:bottom w:w="60" w:type="dxa"/>
              <w:right w:w="100" w:type="dxa"/>
            </w:tcMar>
          </w:tcPr>
          <w:p w14:paraId="57EAE0D7" w14:textId="77777777" w:rsidR="005E30F4" w:rsidRDefault="004976D6">
            <w:pPr>
              <w:jc w:val="center"/>
            </w:pPr>
            <w:r>
              <w:rPr>
                <w:b/>
                <w:bCs/>
                <w:sz w:val="20"/>
                <w:szCs w:val="20"/>
              </w:rPr>
              <w:t>Storage</w:t>
            </w:r>
          </w:p>
        </w:tc>
        <w:tc>
          <w:tcPr>
            <w:tcW w:w="750" w:type="pct"/>
            <w:shd w:val="clear" w:color="auto" w:fill="F1F5F9"/>
            <w:tcMar>
              <w:top w:w="60" w:type="dxa"/>
              <w:left w:w="100" w:type="dxa"/>
              <w:bottom w:w="60" w:type="dxa"/>
              <w:right w:w="100" w:type="dxa"/>
            </w:tcMar>
          </w:tcPr>
          <w:p w14:paraId="68C06AE6" w14:textId="77777777" w:rsidR="005E30F4" w:rsidRDefault="004976D6">
            <w:pPr>
              <w:jc w:val="center"/>
            </w:pPr>
            <w:r>
              <w:rPr>
                <w:b/>
                <w:bCs/>
                <w:sz w:val="20"/>
                <w:szCs w:val="20"/>
              </w:rPr>
              <w:t>Backup</w:t>
            </w:r>
          </w:p>
        </w:tc>
        <w:tc>
          <w:tcPr>
            <w:tcW w:w="700" w:type="pct"/>
            <w:shd w:val="clear" w:color="auto" w:fill="F1F5F9"/>
            <w:tcMar>
              <w:top w:w="60" w:type="dxa"/>
              <w:left w:w="100" w:type="dxa"/>
              <w:bottom w:w="60" w:type="dxa"/>
              <w:right w:w="100" w:type="dxa"/>
            </w:tcMar>
          </w:tcPr>
          <w:p w14:paraId="38D1EEBE" w14:textId="77777777" w:rsidR="005E30F4" w:rsidRDefault="004976D6">
            <w:pPr>
              <w:jc w:val="center"/>
            </w:pPr>
            <w:r>
              <w:rPr>
                <w:b/>
                <w:bCs/>
                <w:sz w:val="20"/>
                <w:szCs w:val="20"/>
              </w:rPr>
              <w:t>Est. LCOE</w:t>
            </w:r>
          </w:p>
        </w:tc>
      </w:tr>
      <w:tr w:rsidR="005E30F4" w14:paraId="1834FD0C" w14:textId="77777777">
        <w:trPr>
          <w:cantSplit/>
        </w:trPr>
        <w:tc>
          <w:tcPr>
            <w:tcW w:w="750" w:type="pct"/>
            <w:tcMar>
              <w:top w:w="40" w:type="dxa"/>
              <w:left w:w="100" w:type="dxa"/>
              <w:bottom w:w="40" w:type="dxa"/>
              <w:right w:w="100" w:type="dxa"/>
            </w:tcMar>
          </w:tcPr>
          <w:p w14:paraId="47651244" w14:textId="77777777" w:rsidR="005E30F4" w:rsidRDefault="004976D6">
            <w:pPr>
              <w:jc w:val="center"/>
            </w:pPr>
            <w:r>
              <w:rPr>
                <w:sz w:val="20"/>
                <w:szCs w:val="20"/>
              </w:rPr>
              <w:t>Google</w:t>
            </w:r>
          </w:p>
        </w:tc>
        <w:tc>
          <w:tcPr>
            <w:tcW w:w="1000" w:type="pct"/>
            <w:tcMar>
              <w:top w:w="40" w:type="dxa"/>
              <w:left w:w="100" w:type="dxa"/>
              <w:bottom w:w="40" w:type="dxa"/>
              <w:right w:w="100" w:type="dxa"/>
            </w:tcMar>
          </w:tcPr>
          <w:p w14:paraId="0B7A9E96" w14:textId="77777777" w:rsidR="005E30F4" w:rsidRDefault="004976D6">
            <w:pPr>
              <w:jc w:val="center"/>
            </w:pPr>
            <w:r>
              <w:rPr>
                <w:sz w:val="20"/>
                <w:szCs w:val="20"/>
              </w:rPr>
              <w:t>PPAs + Load Shift</w:t>
            </w:r>
          </w:p>
        </w:tc>
        <w:tc>
          <w:tcPr>
            <w:tcW w:w="900" w:type="pct"/>
            <w:tcMar>
              <w:top w:w="40" w:type="dxa"/>
              <w:left w:w="100" w:type="dxa"/>
              <w:bottom w:w="40" w:type="dxa"/>
              <w:right w:w="100" w:type="dxa"/>
            </w:tcMar>
          </w:tcPr>
          <w:p w14:paraId="7A2298D6" w14:textId="77777777" w:rsidR="005E30F4" w:rsidRDefault="004976D6">
            <w:pPr>
              <w:jc w:val="center"/>
            </w:pPr>
            <w:r>
              <w:rPr>
                <w:sz w:val="20"/>
                <w:szCs w:val="20"/>
              </w:rPr>
              <w:t>&gt;64% hourly</w:t>
            </w:r>
          </w:p>
        </w:tc>
        <w:tc>
          <w:tcPr>
            <w:tcW w:w="900" w:type="pct"/>
            <w:tcMar>
              <w:top w:w="40" w:type="dxa"/>
              <w:left w:w="100" w:type="dxa"/>
              <w:bottom w:w="40" w:type="dxa"/>
              <w:right w:w="100" w:type="dxa"/>
            </w:tcMar>
          </w:tcPr>
          <w:p w14:paraId="1C4E3A5D" w14:textId="77777777" w:rsidR="005E30F4" w:rsidRDefault="004976D6">
            <w:pPr>
              <w:jc w:val="center"/>
            </w:pPr>
            <w:r>
              <w:rPr>
                <w:sz w:val="20"/>
                <w:szCs w:val="20"/>
              </w:rPr>
              <w:t>Grid-scale BESS</w:t>
            </w:r>
          </w:p>
        </w:tc>
        <w:tc>
          <w:tcPr>
            <w:tcW w:w="750" w:type="pct"/>
            <w:tcMar>
              <w:top w:w="40" w:type="dxa"/>
              <w:left w:w="100" w:type="dxa"/>
              <w:bottom w:w="40" w:type="dxa"/>
              <w:right w:w="100" w:type="dxa"/>
            </w:tcMar>
          </w:tcPr>
          <w:p w14:paraId="0021B591" w14:textId="77777777" w:rsidR="005E30F4" w:rsidRDefault="004976D6">
            <w:pPr>
              <w:jc w:val="center"/>
            </w:pPr>
            <w:r>
              <w:rPr>
                <w:sz w:val="20"/>
                <w:szCs w:val="20"/>
              </w:rPr>
              <w:t>Grid</w:t>
            </w:r>
          </w:p>
        </w:tc>
        <w:tc>
          <w:tcPr>
            <w:tcW w:w="700" w:type="pct"/>
            <w:tcMar>
              <w:top w:w="40" w:type="dxa"/>
              <w:left w:w="100" w:type="dxa"/>
              <w:bottom w:w="40" w:type="dxa"/>
              <w:right w:w="100" w:type="dxa"/>
            </w:tcMar>
          </w:tcPr>
          <w:p w14:paraId="283F1C7F" w14:textId="77777777" w:rsidR="005E30F4" w:rsidRDefault="004976D6">
            <w:pPr>
              <w:jc w:val="center"/>
            </w:pPr>
            <w:r>
              <w:rPr>
                <w:sz w:val="20"/>
                <w:szCs w:val="20"/>
              </w:rPr>
              <w:t>$40-60/MWh</w:t>
            </w:r>
          </w:p>
        </w:tc>
      </w:tr>
      <w:tr w:rsidR="005E30F4" w14:paraId="4EEC8E5A" w14:textId="77777777">
        <w:trPr>
          <w:cantSplit/>
        </w:trPr>
        <w:tc>
          <w:tcPr>
            <w:tcW w:w="750" w:type="pct"/>
            <w:tcMar>
              <w:top w:w="40" w:type="dxa"/>
              <w:left w:w="100" w:type="dxa"/>
              <w:bottom w:w="40" w:type="dxa"/>
              <w:right w:w="100" w:type="dxa"/>
            </w:tcMar>
          </w:tcPr>
          <w:p w14:paraId="43DC6D1B" w14:textId="77777777" w:rsidR="005E30F4" w:rsidRDefault="004976D6">
            <w:pPr>
              <w:jc w:val="center"/>
            </w:pPr>
            <w:r>
              <w:rPr>
                <w:sz w:val="20"/>
                <w:szCs w:val="20"/>
              </w:rPr>
              <w:t>Meta</w:t>
            </w:r>
          </w:p>
        </w:tc>
        <w:tc>
          <w:tcPr>
            <w:tcW w:w="1000" w:type="pct"/>
            <w:tcMar>
              <w:top w:w="40" w:type="dxa"/>
              <w:left w:w="100" w:type="dxa"/>
              <w:bottom w:w="40" w:type="dxa"/>
              <w:right w:w="100" w:type="dxa"/>
            </w:tcMar>
          </w:tcPr>
          <w:p w14:paraId="7A52840A" w14:textId="77777777" w:rsidR="005E30F4" w:rsidRDefault="004976D6">
            <w:pPr>
              <w:jc w:val="center"/>
            </w:pPr>
            <w:r>
              <w:rPr>
                <w:sz w:val="20"/>
                <w:szCs w:val="20"/>
              </w:rPr>
              <w:t>Hybrid Fuel Cell</w:t>
            </w:r>
          </w:p>
        </w:tc>
        <w:tc>
          <w:tcPr>
            <w:tcW w:w="900" w:type="pct"/>
            <w:tcMar>
              <w:top w:w="40" w:type="dxa"/>
              <w:left w:w="100" w:type="dxa"/>
              <w:bottom w:w="40" w:type="dxa"/>
              <w:right w:w="100" w:type="dxa"/>
            </w:tcMar>
          </w:tcPr>
          <w:p w14:paraId="4AA06EAA" w14:textId="77777777" w:rsidR="005E30F4" w:rsidRDefault="004976D6">
            <w:pPr>
              <w:jc w:val="center"/>
            </w:pPr>
            <w:r>
              <w:rPr>
                <w:sz w:val="20"/>
                <w:szCs w:val="20"/>
              </w:rPr>
              <w:t>~100% (annual)</w:t>
            </w:r>
          </w:p>
        </w:tc>
        <w:tc>
          <w:tcPr>
            <w:tcW w:w="900" w:type="pct"/>
            <w:tcMar>
              <w:top w:w="40" w:type="dxa"/>
              <w:left w:w="100" w:type="dxa"/>
              <w:bottom w:w="40" w:type="dxa"/>
              <w:right w:w="100" w:type="dxa"/>
            </w:tcMar>
          </w:tcPr>
          <w:p w14:paraId="07C2537E" w14:textId="77777777" w:rsidR="005E30F4" w:rsidRDefault="004976D6">
            <w:pPr>
              <w:jc w:val="center"/>
            </w:pPr>
            <w:r>
              <w:rPr>
                <w:sz w:val="20"/>
                <w:szCs w:val="20"/>
              </w:rPr>
              <w:t>Fuel Cell</w:t>
            </w:r>
          </w:p>
        </w:tc>
        <w:tc>
          <w:tcPr>
            <w:tcW w:w="750" w:type="pct"/>
            <w:tcMar>
              <w:top w:w="40" w:type="dxa"/>
              <w:left w:w="100" w:type="dxa"/>
              <w:bottom w:w="40" w:type="dxa"/>
              <w:right w:w="100" w:type="dxa"/>
            </w:tcMar>
          </w:tcPr>
          <w:p w14:paraId="4509B32F" w14:textId="77777777" w:rsidR="005E30F4" w:rsidRDefault="004976D6">
            <w:pPr>
              <w:jc w:val="center"/>
            </w:pPr>
            <w:r>
              <w:rPr>
                <w:sz w:val="20"/>
                <w:szCs w:val="20"/>
              </w:rPr>
              <w:t>Nat Gas</w:t>
            </w:r>
          </w:p>
        </w:tc>
        <w:tc>
          <w:tcPr>
            <w:tcW w:w="700" w:type="pct"/>
            <w:tcMar>
              <w:top w:w="40" w:type="dxa"/>
              <w:left w:w="100" w:type="dxa"/>
              <w:bottom w:w="40" w:type="dxa"/>
              <w:right w:w="100" w:type="dxa"/>
            </w:tcMar>
          </w:tcPr>
          <w:p w14:paraId="202BE493" w14:textId="77777777" w:rsidR="005E30F4" w:rsidRDefault="004976D6">
            <w:pPr>
              <w:jc w:val="center"/>
            </w:pPr>
            <w:r>
              <w:rPr>
                <w:sz w:val="20"/>
                <w:szCs w:val="20"/>
              </w:rPr>
              <w:t>$50-80/MWh</w:t>
            </w:r>
          </w:p>
        </w:tc>
      </w:tr>
      <w:tr w:rsidR="005E30F4" w14:paraId="42CDEA9B" w14:textId="77777777">
        <w:trPr>
          <w:cantSplit/>
        </w:trPr>
        <w:tc>
          <w:tcPr>
            <w:tcW w:w="750" w:type="pct"/>
            <w:tcMar>
              <w:top w:w="40" w:type="dxa"/>
              <w:left w:w="100" w:type="dxa"/>
              <w:bottom w:w="40" w:type="dxa"/>
              <w:right w:w="100" w:type="dxa"/>
            </w:tcMar>
          </w:tcPr>
          <w:p w14:paraId="641E0050" w14:textId="77777777" w:rsidR="005E30F4" w:rsidRDefault="004976D6">
            <w:pPr>
              <w:jc w:val="center"/>
            </w:pPr>
            <w:r>
              <w:rPr>
                <w:sz w:val="20"/>
                <w:szCs w:val="20"/>
              </w:rPr>
              <w:t>Microsoft</w:t>
            </w:r>
          </w:p>
        </w:tc>
        <w:tc>
          <w:tcPr>
            <w:tcW w:w="1000" w:type="pct"/>
            <w:tcMar>
              <w:top w:w="40" w:type="dxa"/>
              <w:left w:w="100" w:type="dxa"/>
              <w:bottom w:w="40" w:type="dxa"/>
              <w:right w:w="100" w:type="dxa"/>
            </w:tcMar>
          </w:tcPr>
          <w:p w14:paraId="6DFEF34C" w14:textId="77777777" w:rsidR="005E30F4" w:rsidRDefault="004976D6">
            <w:pPr>
              <w:jc w:val="center"/>
            </w:pPr>
            <w:r>
              <w:rPr>
                <w:sz w:val="20"/>
                <w:szCs w:val="20"/>
              </w:rPr>
              <w:t>Modular + Nuclear</w:t>
            </w:r>
          </w:p>
        </w:tc>
        <w:tc>
          <w:tcPr>
            <w:tcW w:w="900" w:type="pct"/>
            <w:tcMar>
              <w:top w:w="40" w:type="dxa"/>
              <w:left w:w="100" w:type="dxa"/>
              <w:bottom w:w="40" w:type="dxa"/>
              <w:right w:w="100" w:type="dxa"/>
            </w:tcMar>
          </w:tcPr>
          <w:p w14:paraId="68C89C93" w14:textId="77777777" w:rsidR="005E30F4" w:rsidRDefault="004976D6">
            <w:pPr>
              <w:jc w:val="center"/>
            </w:pPr>
            <w:r>
              <w:rPr>
                <w:sz w:val="20"/>
                <w:szCs w:val="20"/>
              </w:rPr>
              <w:t>TBD</w:t>
            </w:r>
          </w:p>
        </w:tc>
        <w:tc>
          <w:tcPr>
            <w:tcW w:w="900" w:type="pct"/>
            <w:tcMar>
              <w:top w:w="40" w:type="dxa"/>
              <w:left w:w="100" w:type="dxa"/>
              <w:bottom w:w="40" w:type="dxa"/>
              <w:right w:w="100" w:type="dxa"/>
            </w:tcMar>
          </w:tcPr>
          <w:p w14:paraId="732B97E1" w14:textId="77777777" w:rsidR="005E30F4" w:rsidRDefault="004976D6">
            <w:pPr>
              <w:jc w:val="center"/>
            </w:pPr>
            <w:r>
              <w:rPr>
                <w:sz w:val="20"/>
                <w:szCs w:val="20"/>
              </w:rPr>
              <w:t>Nuclear (future)</w:t>
            </w:r>
          </w:p>
        </w:tc>
        <w:tc>
          <w:tcPr>
            <w:tcW w:w="750" w:type="pct"/>
            <w:tcMar>
              <w:top w:w="40" w:type="dxa"/>
              <w:left w:w="100" w:type="dxa"/>
              <w:bottom w:w="40" w:type="dxa"/>
              <w:right w:w="100" w:type="dxa"/>
            </w:tcMar>
          </w:tcPr>
          <w:p w14:paraId="6A6E82D4" w14:textId="77777777" w:rsidR="005E30F4" w:rsidRDefault="004976D6">
            <w:pPr>
              <w:jc w:val="center"/>
            </w:pPr>
            <w:r>
              <w:rPr>
                <w:sz w:val="20"/>
                <w:szCs w:val="20"/>
              </w:rPr>
              <w:t>Grid</w:t>
            </w:r>
          </w:p>
        </w:tc>
        <w:tc>
          <w:tcPr>
            <w:tcW w:w="700" w:type="pct"/>
            <w:tcMar>
              <w:top w:w="40" w:type="dxa"/>
              <w:left w:w="100" w:type="dxa"/>
              <w:bottom w:w="40" w:type="dxa"/>
              <w:right w:w="100" w:type="dxa"/>
            </w:tcMar>
          </w:tcPr>
          <w:p w14:paraId="2C9DF507" w14:textId="77777777" w:rsidR="005E30F4" w:rsidRDefault="004976D6">
            <w:pPr>
              <w:jc w:val="center"/>
            </w:pPr>
            <w:r>
              <w:rPr>
                <w:sz w:val="20"/>
                <w:szCs w:val="20"/>
              </w:rPr>
              <w:t>TBD</w:t>
            </w:r>
          </w:p>
        </w:tc>
      </w:tr>
      <w:tr w:rsidR="005E30F4" w14:paraId="5DE05202" w14:textId="77777777">
        <w:trPr>
          <w:cantSplit/>
        </w:trPr>
        <w:tc>
          <w:tcPr>
            <w:tcW w:w="750" w:type="pct"/>
            <w:tcMar>
              <w:top w:w="40" w:type="dxa"/>
              <w:left w:w="100" w:type="dxa"/>
              <w:bottom w:w="40" w:type="dxa"/>
              <w:right w:w="100" w:type="dxa"/>
            </w:tcMar>
          </w:tcPr>
          <w:p w14:paraId="70AE06B6" w14:textId="77777777" w:rsidR="005E30F4" w:rsidRDefault="004976D6">
            <w:pPr>
              <w:jc w:val="center"/>
            </w:pPr>
            <w:r>
              <w:rPr>
                <w:sz w:val="20"/>
                <w:szCs w:val="20"/>
              </w:rPr>
              <w:t>Equinix</w:t>
            </w:r>
          </w:p>
        </w:tc>
        <w:tc>
          <w:tcPr>
            <w:tcW w:w="1000" w:type="pct"/>
            <w:tcMar>
              <w:top w:w="40" w:type="dxa"/>
              <w:left w:w="100" w:type="dxa"/>
              <w:bottom w:w="40" w:type="dxa"/>
              <w:right w:w="100" w:type="dxa"/>
            </w:tcMar>
          </w:tcPr>
          <w:p w14:paraId="5F445C1E" w14:textId="77777777" w:rsidR="005E30F4" w:rsidRDefault="004976D6">
            <w:pPr>
              <w:jc w:val="center"/>
            </w:pPr>
            <w:r>
              <w:rPr>
                <w:sz w:val="20"/>
                <w:szCs w:val="20"/>
              </w:rPr>
              <w:t>Distributed PPAs</w:t>
            </w:r>
          </w:p>
        </w:tc>
        <w:tc>
          <w:tcPr>
            <w:tcW w:w="900" w:type="pct"/>
            <w:tcMar>
              <w:top w:w="40" w:type="dxa"/>
              <w:left w:w="100" w:type="dxa"/>
              <w:bottom w:w="40" w:type="dxa"/>
              <w:right w:w="100" w:type="dxa"/>
            </w:tcMar>
          </w:tcPr>
          <w:p w14:paraId="5C8EC93B" w14:textId="77777777" w:rsidR="005E30F4" w:rsidRDefault="004976D6">
            <w:pPr>
              <w:jc w:val="center"/>
            </w:pPr>
            <w:r>
              <w:rPr>
                <w:sz w:val="20"/>
                <w:szCs w:val="20"/>
              </w:rPr>
              <w:t>96% (global)</w:t>
            </w:r>
          </w:p>
        </w:tc>
        <w:tc>
          <w:tcPr>
            <w:tcW w:w="900" w:type="pct"/>
            <w:tcMar>
              <w:top w:w="40" w:type="dxa"/>
              <w:left w:w="100" w:type="dxa"/>
              <w:bottom w:w="40" w:type="dxa"/>
              <w:right w:w="100" w:type="dxa"/>
            </w:tcMar>
          </w:tcPr>
          <w:p w14:paraId="6CCAD092" w14:textId="77777777" w:rsidR="005E30F4" w:rsidRDefault="004976D6">
            <w:pPr>
              <w:jc w:val="center"/>
            </w:pPr>
            <w:r>
              <w:rPr>
                <w:sz w:val="20"/>
                <w:szCs w:val="20"/>
              </w:rPr>
              <w:t>Minimal</w:t>
            </w:r>
          </w:p>
        </w:tc>
        <w:tc>
          <w:tcPr>
            <w:tcW w:w="750" w:type="pct"/>
            <w:tcMar>
              <w:top w:w="40" w:type="dxa"/>
              <w:left w:w="100" w:type="dxa"/>
              <w:bottom w:w="40" w:type="dxa"/>
              <w:right w:w="100" w:type="dxa"/>
            </w:tcMar>
          </w:tcPr>
          <w:p w14:paraId="3BB05FB5" w14:textId="77777777" w:rsidR="005E30F4" w:rsidRDefault="004976D6">
            <w:pPr>
              <w:jc w:val="center"/>
            </w:pPr>
            <w:r>
              <w:rPr>
                <w:sz w:val="20"/>
                <w:szCs w:val="20"/>
              </w:rPr>
              <w:t>Grid</w:t>
            </w:r>
          </w:p>
        </w:tc>
        <w:tc>
          <w:tcPr>
            <w:tcW w:w="700" w:type="pct"/>
            <w:tcMar>
              <w:top w:w="40" w:type="dxa"/>
              <w:left w:w="100" w:type="dxa"/>
              <w:bottom w:w="40" w:type="dxa"/>
              <w:right w:w="100" w:type="dxa"/>
            </w:tcMar>
          </w:tcPr>
          <w:p w14:paraId="78548788" w14:textId="77777777" w:rsidR="005E30F4" w:rsidRDefault="004976D6">
            <w:pPr>
              <w:jc w:val="center"/>
            </w:pPr>
            <w:r>
              <w:rPr>
                <w:sz w:val="20"/>
                <w:szCs w:val="20"/>
              </w:rPr>
              <w:t>$35-60/MWh</w:t>
            </w:r>
          </w:p>
        </w:tc>
      </w:tr>
      <w:tr w:rsidR="005E30F4" w14:paraId="76A49CBF" w14:textId="77777777">
        <w:trPr>
          <w:cantSplit/>
        </w:trPr>
        <w:tc>
          <w:tcPr>
            <w:tcW w:w="750" w:type="pct"/>
            <w:tcMar>
              <w:top w:w="40" w:type="dxa"/>
              <w:left w:w="100" w:type="dxa"/>
              <w:bottom w:w="40" w:type="dxa"/>
              <w:right w:w="100" w:type="dxa"/>
            </w:tcMar>
          </w:tcPr>
          <w:p w14:paraId="01B6FC42" w14:textId="77777777" w:rsidR="005E30F4" w:rsidRDefault="004976D6">
            <w:pPr>
              <w:jc w:val="center"/>
            </w:pPr>
            <w:r>
              <w:rPr>
                <w:sz w:val="20"/>
                <w:szCs w:val="20"/>
              </w:rPr>
              <w:t>Apple</w:t>
            </w:r>
          </w:p>
        </w:tc>
        <w:tc>
          <w:tcPr>
            <w:tcW w:w="1000" w:type="pct"/>
            <w:tcMar>
              <w:top w:w="40" w:type="dxa"/>
              <w:left w:w="100" w:type="dxa"/>
              <w:bottom w:w="40" w:type="dxa"/>
              <w:right w:w="100" w:type="dxa"/>
            </w:tcMar>
          </w:tcPr>
          <w:p w14:paraId="63F8282C" w14:textId="77777777" w:rsidR="005E30F4" w:rsidRDefault="004976D6">
            <w:pPr>
              <w:jc w:val="center"/>
            </w:pPr>
            <w:r>
              <w:rPr>
                <w:sz w:val="20"/>
                <w:szCs w:val="20"/>
              </w:rPr>
              <w:t>Owned + PPAs</w:t>
            </w:r>
          </w:p>
        </w:tc>
        <w:tc>
          <w:tcPr>
            <w:tcW w:w="900" w:type="pct"/>
            <w:tcMar>
              <w:top w:w="40" w:type="dxa"/>
              <w:left w:w="100" w:type="dxa"/>
              <w:bottom w:w="40" w:type="dxa"/>
              <w:right w:w="100" w:type="dxa"/>
            </w:tcMar>
          </w:tcPr>
          <w:p w14:paraId="422A02AB" w14:textId="77777777" w:rsidR="005E30F4" w:rsidRDefault="004976D6">
            <w:pPr>
              <w:jc w:val="center"/>
            </w:pPr>
            <w:r>
              <w:rPr>
                <w:sz w:val="20"/>
                <w:szCs w:val="20"/>
              </w:rPr>
              <w:t>100% (annual)</w:t>
            </w:r>
          </w:p>
        </w:tc>
        <w:tc>
          <w:tcPr>
            <w:tcW w:w="900" w:type="pct"/>
            <w:tcMar>
              <w:top w:w="40" w:type="dxa"/>
              <w:left w:w="100" w:type="dxa"/>
              <w:bottom w:w="40" w:type="dxa"/>
              <w:right w:w="100" w:type="dxa"/>
            </w:tcMar>
          </w:tcPr>
          <w:p w14:paraId="60B52D11" w14:textId="77777777" w:rsidR="005E30F4" w:rsidRDefault="004976D6">
            <w:pPr>
              <w:jc w:val="center"/>
            </w:pPr>
            <w:r>
              <w:rPr>
                <w:sz w:val="20"/>
                <w:szCs w:val="20"/>
              </w:rPr>
              <w:t>On-site solar</w:t>
            </w:r>
          </w:p>
        </w:tc>
        <w:tc>
          <w:tcPr>
            <w:tcW w:w="750" w:type="pct"/>
            <w:tcMar>
              <w:top w:w="40" w:type="dxa"/>
              <w:left w:w="100" w:type="dxa"/>
              <w:bottom w:w="40" w:type="dxa"/>
              <w:right w:w="100" w:type="dxa"/>
            </w:tcMar>
          </w:tcPr>
          <w:p w14:paraId="218EC1F0" w14:textId="77777777" w:rsidR="005E30F4" w:rsidRDefault="004976D6">
            <w:pPr>
              <w:jc w:val="center"/>
            </w:pPr>
            <w:r>
              <w:rPr>
                <w:sz w:val="20"/>
                <w:szCs w:val="20"/>
              </w:rPr>
              <w:t>Rare</w:t>
            </w:r>
          </w:p>
        </w:tc>
        <w:tc>
          <w:tcPr>
            <w:tcW w:w="700" w:type="pct"/>
            <w:tcMar>
              <w:top w:w="40" w:type="dxa"/>
              <w:left w:w="100" w:type="dxa"/>
              <w:bottom w:w="40" w:type="dxa"/>
              <w:right w:w="100" w:type="dxa"/>
            </w:tcMar>
          </w:tcPr>
          <w:p w14:paraId="7CB2E914" w14:textId="77777777" w:rsidR="005E30F4" w:rsidRDefault="004976D6">
            <w:pPr>
              <w:jc w:val="center"/>
            </w:pPr>
            <w:r>
              <w:rPr>
                <w:sz w:val="20"/>
                <w:szCs w:val="20"/>
              </w:rPr>
              <w:t>$60-90/MWh</w:t>
            </w:r>
          </w:p>
        </w:tc>
      </w:tr>
    </w:tbl>
    <w:p w14:paraId="241E4E97" w14:textId="77777777" w:rsidR="005E30F4" w:rsidRDefault="004976D6">
      <w:pPr>
        <w:spacing w:after="120"/>
        <w:ind w:firstLine="480"/>
        <w:jc w:val="both"/>
      </w:pPr>
      <w:r>
        <w:t>Common success factors identified across all five case studies include: (1) long-term renewable procurement through PPAs or owned generation, providing price stability and supply certainty; (2) geographic diversification of data center capacity across regions with complementary renewable resources; (3) active engagement in workload flexibility and load shifting to maximize renewable utilization; (4) proactive regulatory engagement to shape supportive policy environments; and (5) investment in proprietary technology and control systems that enable sophisticated energy management. These factors collectively validate the multi-component approach proposed in this paper's framework.</w:t>
      </w:r>
    </w:p>
    <w:p w14:paraId="39B9AC6E" w14:textId="77777777" w:rsidR="005E30F4" w:rsidRDefault="004976D6">
      <w:pPr>
        <w:pStyle w:val="Heading1"/>
        <w:keepNext/>
      </w:pPr>
      <w:bookmarkStart w:id="57" w:name="_Toc100057"/>
      <w:r>
        <w:t>9. Technical Challenges and Solutions</w:t>
      </w:r>
      <w:bookmarkEnd w:id="57"/>
    </w:p>
    <w:p w14:paraId="2318CCEF" w14:textId="77777777" w:rsidR="005E30F4" w:rsidRDefault="004976D6">
      <w:pPr>
        <w:spacing w:after="120"/>
        <w:ind w:firstLine="480"/>
        <w:jc w:val="both"/>
      </w:pPr>
      <w:r>
        <w:t>This chapter provides a detailed examination of the principal technical barriers to high-renewable-penetration data center operation and presents state-of-the-art mitigation strategies. Each challenge is analyzed with respect to its physical basis, impact on system design and operation, and available or emerging solutions.</w:t>
      </w:r>
    </w:p>
    <w:p w14:paraId="097A9F8E" w14:textId="77777777" w:rsidR="005E30F4" w:rsidRDefault="004976D6">
      <w:pPr>
        <w:pStyle w:val="Heading2"/>
        <w:keepNext/>
      </w:pPr>
      <w:bookmarkStart w:id="58" w:name="_Toc100058"/>
      <w:r>
        <w:lastRenderedPageBreak/>
        <w:t>9.1 Intermittency and Predictability</w:t>
      </w:r>
      <w:bookmarkEnd w:id="58"/>
    </w:p>
    <w:p w14:paraId="4047BCF0" w14:textId="77777777" w:rsidR="005E30F4" w:rsidRDefault="004976D6">
      <w:pPr>
        <w:spacing w:after="120"/>
        <w:ind w:firstLine="480"/>
        <w:jc w:val="both"/>
      </w:pPr>
      <w:r>
        <w:t>The intermittency of solar and wind generation manifests across multiple timescales, from minute-to-minute cloud transients to seasonal variations in resource availability. Day-ahead solar forecast errors of 10 to 15 percent MAPE and intra-hour errors of 5 to 10 percent MAPE create uncertainty in dispatch planning that must be managed through storage, demand response, and grid interconnection [133]. The storage duration required to bridge typical renewable shortfalls depends on the specific resource profile: solar-only systems may require 4 to 8 hours of storage to cover evening demand peaks, while wind-dominated systems in regions with multi-day lulls may require 24 to 72 hours of storage [158].</w:t>
      </w:r>
    </w:p>
    <w:p w14:paraId="1B281F6D" w14:textId="77777777" w:rsidR="005E30F4" w:rsidRDefault="004976D6">
      <w:pPr>
        <w:spacing w:after="120"/>
        <w:ind w:firstLine="480"/>
        <w:jc w:val="both"/>
      </w:pPr>
      <w:r>
        <w:t>Geographic diversity across distributed facilities provides a powerful mechanism for reducing aggregate variability. Spatial smoothing, where generation from facilities separated by more than 500 km exhibits low correlation, can reduce the coefficient of variation of combined renewable output by 40 to 60 percent compared to single-site deployment [97]. For multi-facility operators, this natural smoothing effect reduces the per-facility storage requirement and enables more efficient utilization of shared grid interconnection capacity. Advanced forecasting techniques, including ensemble numerical weather prediction and satellite-based cloud tracking, continue to improve predictability, with demonstrated 15 to 25 percent MAPE reduction through machine learning post-processing [134].</w:t>
      </w:r>
    </w:p>
    <w:p w14:paraId="6D4A6313" w14:textId="77777777" w:rsidR="005E30F4" w:rsidRDefault="004976D6">
      <w:pPr>
        <w:pStyle w:val="Heading2"/>
        <w:keepNext/>
      </w:pPr>
      <w:bookmarkStart w:id="59" w:name="_Toc100059"/>
      <w:r>
        <w:t>9.2 Grid Stability and Frequency Control</w:t>
      </w:r>
      <w:bookmarkEnd w:id="59"/>
    </w:p>
    <w:p w14:paraId="59C7BEDF" w14:textId="77777777" w:rsidR="005E30F4" w:rsidRDefault="004976D6">
      <w:pPr>
        <w:spacing w:after="120"/>
        <w:ind w:firstLine="480"/>
        <w:jc w:val="both"/>
      </w:pPr>
      <w:r>
        <w:t>The displacement of synchronous generators by inverter-based resources reduces the rotational inertia that inherently stabilizes grid frequency, creating challenges for maintaining frequency within acceptable bounds during disturbances. In grids with high renewable penetration (greater than 50 percent), the rate of change of frequency (</w:t>
      </w:r>
      <w:proofErr w:type="spellStart"/>
      <w:r>
        <w:t>RoCoF</w:t>
      </w:r>
      <w:proofErr w:type="spellEnd"/>
      <w:r>
        <w:t>) following generator trips or load changes can exceed the capabilities of conventional governor-based frequency response, potentially triggering load shedding or cascading failures [122]. Grid-forming inverters address this challenge by providing synthetic inertia through control algorithms that emulate the inertial response of synchronous machines, with response times measured in milliseconds rather than seconds [18].</w:t>
      </w:r>
    </w:p>
    <w:p w14:paraId="5EF24B4C" w14:textId="77777777" w:rsidR="005E30F4" w:rsidRDefault="004976D6">
      <w:pPr>
        <w:spacing w:after="120"/>
        <w:ind w:firstLine="480"/>
        <w:jc w:val="both"/>
      </w:pPr>
      <w:r>
        <w:t xml:space="preserve">Weak grid conditions, characterized by low short-circuit ratio at the point of interconnection, present additional stability challenges. In such conditions, the voltage at the point of interconnection is strongly influenced by the power output of the renewable plant, and PLL-based grid-following inverters may exhibit instability or oscillatory behavior [124]. Solutions include grid-forming inverter deployment, synchronous condensers (rotating masses without generation capability) that provide both inertia and reactive power support, STATCOM (static synchronous compensator) devices for dynamic voltage regulation, and </w:t>
      </w:r>
      <w:r>
        <w:lastRenderedPageBreak/>
        <w:t>fast frequency response from battery systems that can inject or absorb power within sub-second timeframes [159].</w:t>
      </w:r>
    </w:p>
    <w:p w14:paraId="103F9E18" w14:textId="77777777" w:rsidR="005E30F4" w:rsidRDefault="004976D6">
      <w:pPr>
        <w:pStyle w:val="Heading2"/>
        <w:keepNext/>
      </w:pPr>
      <w:bookmarkStart w:id="60" w:name="_Toc100060"/>
      <w:r>
        <w:t>9.3 Power Quality and Harmonic Distortion</w:t>
      </w:r>
      <w:bookmarkEnd w:id="60"/>
    </w:p>
    <w:p w14:paraId="73A0BF61" w14:textId="77777777" w:rsidR="005E30F4" w:rsidRDefault="004976D6">
      <w:pPr>
        <w:spacing w:after="120"/>
        <w:ind w:firstLine="480"/>
        <w:jc w:val="both"/>
      </w:pPr>
      <w:r>
        <w:t>Data center loads generate harmonics through multiple mechanisms: SMPSs draw non-sinusoidal current with significant third, fifth, and seventh harmonic content; VFDs used in cooling systems produce harmonics related to their switching frequency; and renewable inverters inject harmonics associated with their pulse-width modulation (PWM) switching patterns [80]. The aggregate effect of thousands of individual loads can result in THD levels exceeding IEEE 519 limits of 5 percent at the point of common coupling, particularly during light load conditions when harmonic currents represent a larger fraction of total current [22].</w:t>
      </w:r>
    </w:p>
    <w:p w14:paraId="78DAE312" w14:textId="77777777" w:rsidR="005E30F4" w:rsidRDefault="004976D6">
      <w:pPr>
        <w:spacing w:after="120"/>
        <w:ind w:firstLine="480"/>
        <w:jc w:val="both"/>
      </w:pPr>
      <w:r>
        <w:t>Mitigation strategies include active power filters (APFs) that continuously monitor harmonic currents and inject compensating currents, achieving THD reduction to below 3 percent; multi-pulse rectifiers (12-pulse, 18-pulse, or 24-pulse) that naturally cancel low-order harmonics through phase-shifting transformer configurations; and passive LC filters tuned to specific harmonic frequencies [81]. For renewable-powered data centers, the interaction between inverter harmonics and load harmonics requires system-level analysis using harmonic impedance scanning and frequency-domain simulation to identify resonance conditions that could amplify specific harmonic orders [126].</w:t>
      </w:r>
    </w:p>
    <w:p w14:paraId="00462D0B" w14:textId="77777777" w:rsidR="005E30F4" w:rsidRDefault="004976D6">
      <w:pPr>
        <w:pStyle w:val="Heading2"/>
        <w:keepNext/>
      </w:pPr>
      <w:bookmarkStart w:id="61" w:name="_Toc100061"/>
      <w:r>
        <w:t>9.4 Grid Interconnection Complexity</w:t>
      </w:r>
      <w:bookmarkEnd w:id="61"/>
    </w:p>
    <w:p w14:paraId="1F3AAA15" w14:textId="77777777" w:rsidR="005E30F4" w:rsidRDefault="004976D6">
      <w:pPr>
        <w:spacing w:after="120"/>
        <w:ind w:firstLine="480"/>
        <w:jc w:val="both"/>
      </w:pPr>
      <w:r>
        <w:t xml:space="preserve">Grid interconnection remains one of the most significant bottlenecks for renewable energy deployment at data center scale. In congested grid regions, interconnection queues have expanded dramatically, with CAISO's queue exceeding 2,000 projects totaling over 1,000 GW of proposed capacity, and PJM's queue exceeding 3,000 projects [23]. The typical interconnection timeline spans 2 to 4 years, including feasibility study (3 to 6 months), system impact study (6 to 12 months), facilities study (6 to 12 months), and construction (12 to 24 months). Study costs range from $50,000 for simple distribution-level interconnections to $500,000 or more for transmission-level </w:t>
      </w:r>
      <w:proofErr w:type="gramStart"/>
      <w:r>
        <w:t>projects, and</w:t>
      </w:r>
      <w:proofErr w:type="gramEnd"/>
      <w:r>
        <w:t xml:space="preserve"> required grid upgrades can add $500,000 to $10 million or more to project costs [24].</w:t>
      </w:r>
    </w:p>
    <w:p w14:paraId="289BAC1E" w14:textId="77777777" w:rsidR="005E30F4" w:rsidRDefault="004976D6">
      <w:pPr>
        <w:spacing w:after="120"/>
        <w:ind w:firstLine="480"/>
        <w:jc w:val="both"/>
      </w:pPr>
      <w:r>
        <w:t xml:space="preserve">FERC Order 2023, finalized in July 2023, aims to address interconnection bottlenecks through several mechanisms: standardized timelines for study completion (180 days for cluster studies), pre-certified equipment categories that can bypass detailed individual studies, and cost allocation reforms that shift shared upgrade costs to the requesting parties [160]. IEEE 1547-2018 establishes technical requirements for distributed energy resource interconnection, including anti-islanding protection, voltage and frequency ride-through capability, and power quality limits, while IEEE 2800-2022 addresses the specific </w:t>
      </w:r>
      <w:r>
        <w:lastRenderedPageBreak/>
        <w:t>performance requirements for larger inverter-based resources connected at transmission voltage levels [53].</w:t>
      </w:r>
    </w:p>
    <w:p w14:paraId="7726BD82" w14:textId="77777777" w:rsidR="005E30F4" w:rsidRDefault="004976D6">
      <w:pPr>
        <w:pStyle w:val="Heading2"/>
        <w:keepNext/>
      </w:pPr>
      <w:bookmarkStart w:id="62" w:name="_Toc100062"/>
      <w:r>
        <w:t>9.5 Demand-Side Management and AI Workload Flexibility</w:t>
      </w:r>
      <w:bookmarkEnd w:id="62"/>
    </w:p>
    <w:p w14:paraId="2441106D" w14:textId="77777777" w:rsidR="005E30F4" w:rsidRDefault="004976D6">
      <w:pPr>
        <w:spacing w:after="120"/>
        <w:ind w:firstLine="480"/>
        <w:jc w:val="both"/>
      </w:pPr>
      <w:r>
        <w:t>AI workload flexibility represents a unique and increasingly valuable demand-side resource that can significantly reduce the cost and complexity of renewable energy integration. Training workloads, which typically run for hours to weeks and are not latency-sensitive, can be deferred to periods of abundant renewable generation with minimal impact on development timelines [142]. Batch processing workloads, including data preprocessing, model validation, and analytics, offer even greater flexibility with deferral windows of hours to days. Inference workloads with relaxed latency requirements, such as batch image processing or non-interactive recommendations, can be time-shifted within SLA constraints.</w:t>
      </w:r>
    </w:p>
    <w:p w14:paraId="6F1FE429" w14:textId="77777777" w:rsidR="005E30F4" w:rsidRDefault="004976D6">
      <w:pPr>
        <w:spacing w:after="120"/>
        <w:ind w:firstLine="480"/>
        <w:jc w:val="both"/>
      </w:pPr>
      <w:r>
        <w:t xml:space="preserve">Quantified benefits from industry deployments and simulation studies indicate that workload scheduling alone can achieve 10 to 20 percent energy cost reduction through time-of-use rate optimization and 5 to 15 percent carbon reduction through increased utilization of on-site renewable generation [143]. Implementation requires integration between the workload scheduler (typically Kubernetes-based) and the energy management system, with the renewable availability API providing </w:t>
      </w:r>
      <w:proofErr w:type="gramStart"/>
      <w:r>
        <w:t>24 to 48 hour</w:t>
      </w:r>
      <w:proofErr w:type="gramEnd"/>
      <w:r>
        <w:t xml:space="preserve"> forecasts of expected renewable generation as a fraction of total load [144]. Key trade-offs include the potential for increased user-facing latency, SLA violation risk if deferral is too aggressive, and the operational complexity of coordinating workload scheduling across multiple facilities and time zones.</w:t>
      </w:r>
    </w:p>
    <w:p w14:paraId="3580EC6F" w14:textId="77777777" w:rsidR="005E30F4" w:rsidRDefault="004976D6">
      <w:pPr>
        <w:pStyle w:val="Heading2"/>
        <w:keepNext/>
      </w:pPr>
      <w:bookmarkStart w:id="63" w:name="_Toc100063"/>
      <w:r>
        <w:t>9.6 Energy Storage Control and Battery Management</w:t>
      </w:r>
      <w:bookmarkEnd w:id="63"/>
    </w:p>
    <w:p w14:paraId="2DFB3BC3" w14:textId="77777777" w:rsidR="005E30F4" w:rsidRDefault="004976D6">
      <w:pPr>
        <w:spacing w:after="120"/>
        <w:ind w:firstLine="480"/>
        <w:jc w:val="both"/>
      </w:pPr>
      <w:r>
        <w:t>Optimal battery dispatch requires balancing multiple objectives: maximizing renewable utilization, minimizing energy costs, extending battery life, and maintaining adequate reserve for emergency backup. The state-of-charge (SOC) setpoint optimization determines when to charge and discharge the battery based on current conditions and future forecasts, with model-predictive control providing the most sophisticated approach [114]. Battery aging is a critical economic consideration: deep cycling (greater than 80 percent depth of discharge) accelerates capacity degradation, while shallow cycling extends life but reduces the effective energy capacity available for renewable time-shifting. Studies demonstrate that restricting maximum depth of discharge to 50 percent can approximately double cycle life, suggesting that oversizing battery systems may improve lifetime economics despite higher initial capital costs [103].</w:t>
      </w:r>
    </w:p>
    <w:p w14:paraId="1A306EBA" w14:textId="77777777" w:rsidR="005E30F4" w:rsidRDefault="004976D6">
      <w:pPr>
        <w:spacing w:after="120"/>
        <w:ind w:firstLine="480"/>
        <w:jc w:val="both"/>
      </w:pPr>
      <w:r>
        <w:t xml:space="preserve">Dual-use battery strategies, where the same battery system provides both renewable integration and grid services (frequency regulation, capacity markets, ancillary services), can improve the financial return on battery investment. A 100 MW data center with 10 MW of </w:t>
      </w:r>
      <w:r>
        <w:lastRenderedPageBreak/>
        <w:t>available battery capacity for frequency regulation can generate approximately $3 million per year in revenue, based on PJM market rates of approximately $75 per MW per hour for 4,000 hours annually [161]. State-of-health (SOH) monitoring, using machine learning techniques trained on cycling data, can predict remaining useful life and optimize maintenance scheduling, reducing the risk of unexpected capacity degradation [162].</w:t>
      </w:r>
    </w:p>
    <w:p w14:paraId="4F14829A" w14:textId="77777777" w:rsidR="005E30F4" w:rsidRDefault="004976D6">
      <w:pPr>
        <w:pStyle w:val="Heading2"/>
        <w:keepNext/>
      </w:pPr>
      <w:bookmarkStart w:id="64" w:name="_Toc100064"/>
      <w:r>
        <w:t>9.7 Hydrogen and Fuel Cell Challenges</w:t>
      </w:r>
      <w:bookmarkEnd w:id="64"/>
    </w:p>
    <w:p w14:paraId="60E32E27" w14:textId="77777777" w:rsidR="005E30F4" w:rsidRDefault="004976D6">
      <w:pPr>
        <w:spacing w:after="120"/>
        <w:ind w:firstLine="480"/>
        <w:jc w:val="both"/>
      </w:pPr>
      <w:r>
        <w:t>Hydrogen fuel cells offer the theoretical advantage of long-duration backup power (48+ hours demonstrated) with zero direct emissions, but face significant challenges in cost, efficiency, and infrastructure. Microsoft's 3 MW hydrogen fuel cell demonstration at its data center validated the technical feasibility but highlighted the cost challenge: at current green hydrogen prices of $4 to $6 per kilogram, fuel cell electricity costs of $150 to $250 per MWh are 3 to 5 times higher than grid electricity or battery storage alternatives [105]. The electrolyzer CAPEX of $1,000 to $2,000 per kW remains a barrier to on-site green hydrogen production, though costs are declining with manufacturing scale-up [106].</w:t>
      </w:r>
    </w:p>
    <w:p w14:paraId="066E70B4" w14:textId="77777777" w:rsidR="005E30F4" w:rsidRDefault="004976D6">
      <w:pPr>
        <w:spacing w:after="120"/>
        <w:ind w:firstLine="480"/>
        <w:jc w:val="both"/>
      </w:pPr>
      <w:r>
        <w:t>Fuel cell efficiency is lower at partial load (40 to 50 percent) compared to full load (55 to 60 percent), creating an operational trade-off between backup duration and efficiency [154]. Safety requirements for hydrogen storage, including pressure vessel certification, leak detection, and ventilation systems, add to the complexity and cost of fuel cell installations. The IEA projects that green hydrogen costs could reach $2 per kilogram by 2030 and $1 per kilogram by 2040 under favorable conditions, which would make fuel cells economically competitive for data center backup by the mid-2030s [49].</w:t>
      </w:r>
    </w:p>
    <w:p w14:paraId="55E65765" w14:textId="77777777" w:rsidR="005E30F4" w:rsidRDefault="004976D6">
      <w:pPr>
        <w:pStyle w:val="Heading2"/>
        <w:keepNext/>
      </w:pPr>
      <w:bookmarkStart w:id="65" w:name="_Toc100065"/>
      <w:r>
        <w:t>9.8 Cooling System Integration</w:t>
      </w:r>
      <w:bookmarkEnd w:id="65"/>
    </w:p>
    <w:p w14:paraId="00B3ABC4" w14:textId="77777777" w:rsidR="005E30F4" w:rsidRDefault="004976D6">
      <w:pPr>
        <w:spacing w:after="120"/>
        <w:ind w:firstLine="480"/>
        <w:jc w:val="both"/>
      </w:pPr>
      <w:r>
        <w:t>The integration of cooling systems with renewable energy supply requires coordinated management of thermal and electrical energy flows. Thermal energy storage (TES), particularly ice storage systems, enables cooling demand to be shifted to periods of abundant renewable energy or low electricity prices. During high-renewable periods, excess generation powers chillers that freeze water into ice; during periods of reduced renewable output, the ice melts to provide cooling without chiller operation [79]. This thermal-electrical coupling creates opportunities for optimization but also adds complexity to the control system, which must manage both electrical dispatch and thermal storage state simultaneously.</w:t>
      </w:r>
    </w:p>
    <w:p w14:paraId="07D12B2A" w14:textId="77777777" w:rsidR="005E30F4" w:rsidRDefault="004976D6">
      <w:pPr>
        <w:spacing w:after="120"/>
        <w:ind w:firstLine="480"/>
        <w:jc w:val="both"/>
      </w:pPr>
      <w:r>
        <w:t xml:space="preserve">Free cooling, which leverages favorable ambient conditions to provide cooling without mechanical refrigeration, represents another mechanism for reducing cooling energy consumption during periods when renewable generation may be limited. In temperate and cold climates, free cooling can provide 3,000 to 6,000 hours of cooling annually, reducing </w:t>
      </w:r>
      <w:r>
        <w:lastRenderedPageBreak/>
        <w:t>chiller energy consumption by 40 to 70 percent during those periods [78]. Dynamic setpoint management, which allows data center inlet temperatures to increase from traditional 20 to 22 degrees Celsius to 32 to 35 degrees Celsius when renewable energy is scarce and cooling is energy-intensive, can reduce cooling energy by 15 to 25 percent at the cost of slightly accelerated component aging [145].</w:t>
      </w:r>
    </w:p>
    <w:p w14:paraId="7E719D22" w14:textId="77777777" w:rsidR="005E30F4" w:rsidRDefault="004976D6">
      <w:pPr>
        <w:pStyle w:val="Heading2"/>
        <w:keepNext/>
      </w:pPr>
      <w:bookmarkStart w:id="66" w:name="_Toc100066"/>
      <w:r>
        <w:t>9.9 Cybersecurity and Operational Technology</w:t>
      </w:r>
      <w:bookmarkEnd w:id="66"/>
    </w:p>
    <w:p w14:paraId="67A61381" w14:textId="77777777" w:rsidR="005E30F4" w:rsidRDefault="004976D6">
      <w:pPr>
        <w:spacing w:after="120"/>
        <w:ind w:firstLine="480"/>
        <w:jc w:val="both"/>
      </w:pPr>
      <w:r>
        <w:t>The expanded attack surface created by renewable energy integration, including smart inverters, battery management systems, energy management platforms, and renewable monitoring systems, introduces cybersecurity risks that must be addressed as part of the system design. Potential attack vectors include false data injection (providing corrupted sensor readings to the EMS), malicious control commands (causing equipment to operate outside safe parameters), and denial of service attacks (disrupting communication between components) [163]. The convergence of IT and OT networks in modern data center microgrids creates pathways for cyber threats to propagate from enterprise systems to critical power infrastructure.</w:t>
      </w:r>
    </w:p>
    <w:p w14:paraId="69471E8B" w14:textId="77777777" w:rsidR="005E30F4" w:rsidRDefault="004976D6">
      <w:pPr>
        <w:spacing w:after="120"/>
        <w:ind w:firstLine="480"/>
        <w:jc w:val="both"/>
      </w:pPr>
      <w:r>
        <w:t>Best practices for OT cybersecurity include air-gapped or VPN-protected control networks, multi-factor authentication for all operator access, role-based access control limiting each user's permissions to minimum necessary, encrypted communications using TLS 1.3 or equivalent protocols, and redundant communication channels to ensure control capability during network disruptions [164]. Relevant standards include NERC CIP (Critical Infrastructure Protection) for bulk power systems, IEC 62351 for power system communications security, and the NIST Cybersecurity Framework for overall risk management. Regular penetration testing and vulnerability assessments should be conducted at least annually to identify and remediate security gaps [165].</w:t>
      </w:r>
    </w:p>
    <w:p w14:paraId="686B9CCD" w14:textId="77777777" w:rsidR="005E30F4" w:rsidRDefault="004976D6">
      <w:pPr>
        <w:pStyle w:val="Heading1"/>
        <w:keepNext/>
      </w:pPr>
      <w:bookmarkStart w:id="67" w:name="_Toc100067"/>
      <w:r>
        <w:t>10. Economic Analysis and Financial Viability</w:t>
      </w:r>
      <w:bookmarkEnd w:id="67"/>
    </w:p>
    <w:p w14:paraId="036B4A4E" w14:textId="77777777" w:rsidR="005E30F4" w:rsidRDefault="004976D6">
      <w:pPr>
        <w:spacing w:after="120"/>
        <w:ind w:firstLine="480"/>
        <w:jc w:val="both"/>
      </w:pPr>
      <w:r>
        <w:t>This chapter provides a comprehensive economic analysis of renewable-powered AI data centers, examining capital costs, operational expenses, levelized cost of energy, power purchase agreements, tax incentives, and financial modeling approaches. The analysis demonstrates that hybrid renewable systems are approaching or have achieved cost parity with conventional grid-powered operations in many markets.</w:t>
      </w:r>
    </w:p>
    <w:p w14:paraId="460E400B" w14:textId="77777777" w:rsidR="005E30F4" w:rsidRDefault="004976D6">
      <w:pPr>
        <w:pStyle w:val="Heading2"/>
        <w:keepNext/>
      </w:pPr>
      <w:bookmarkStart w:id="68" w:name="_Toc100068"/>
      <w:r>
        <w:t>10.1 Capital Cost Analysis</w:t>
      </w:r>
      <w:bookmarkEnd w:id="68"/>
    </w:p>
    <w:p w14:paraId="2BBBB832" w14:textId="77777777" w:rsidR="005E30F4" w:rsidRDefault="004976D6">
      <w:pPr>
        <w:spacing w:after="120"/>
        <w:ind w:firstLine="480"/>
        <w:jc w:val="both"/>
      </w:pPr>
      <w:r>
        <w:t xml:space="preserve">Capital expenditure (CAPEX) for renewable-powered data center systems encompasses the costs of renewable generation, energy storage, backup power, electrical infrastructure, and grid interconnection. Solar PV installed costs have declined to $0.75 to $1.40 per watt </w:t>
      </w:r>
      <w:r>
        <w:lastRenderedPageBreak/>
        <w:t>for ground-mounted utility-scale systems, with rooftop or carport installations typically 20 to 30 percent more expensive due to structural requirements and more complex installation [14]. Onshore wind turbine installed costs range from $1,700 to $2,400 per kW, with offshore installations 2 to 3 times more expensive [15]. Battery energy storage system costs, including cells, power conversion systems, and balance-of-plant, range from $200 to $400 per kWh for 4-hour lithium-ion systems, with stationary storage packs reaching as low as $70 per kWh in the Chinese market [17].</w:t>
      </w:r>
    </w:p>
    <w:p w14:paraId="5B96139B" w14:textId="77777777" w:rsidR="005E30F4" w:rsidRDefault="004976D6">
      <w:pPr>
        <w:spacing w:after="120"/>
        <w:ind w:firstLine="480"/>
        <w:jc w:val="both"/>
      </w:pPr>
      <w:r>
        <w:t>For a representative 100 MW data center, the total system CAPEX for a 100 percent renewable configuration with 8 hours of battery storage ranges from approximately $250 to $400 million, excluding the cost of the data center building and IT equipment themselves. A more practical 50 percent renewable configuration with 4 hours of storage and grid backup requires $150 to $250 million in additional energy infrastructure. These costs must be evaluated against the avoided cost of grid electricity over the project lifetime, which at $70 to $120 per MWh represents $60 to $100 million per year for a 100 MW facility operating at 80 percent average utilization [166].</w:t>
      </w:r>
    </w:p>
    <w:p w14:paraId="277AF90D" w14:textId="77777777" w:rsidR="005E30F4" w:rsidRDefault="004976D6">
      <w:pPr>
        <w:pStyle w:val="Heading2"/>
        <w:keepNext/>
      </w:pPr>
      <w:bookmarkStart w:id="69" w:name="_Toc100069"/>
      <w:r>
        <w:t>10.2 Operational Costs</w:t>
      </w:r>
      <w:bookmarkEnd w:id="69"/>
    </w:p>
    <w:p w14:paraId="33B13619" w14:textId="77777777" w:rsidR="005E30F4" w:rsidRDefault="004976D6">
      <w:pPr>
        <w:spacing w:after="120"/>
        <w:ind w:firstLine="480"/>
        <w:jc w:val="both"/>
      </w:pPr>
      <w:r>
        <w:t>Annual operational expenditure (OPEX) for renewable energy systems typically ranges from 0.5 to 3.5 percent of initial CAPEX, depending on the technology. Solar PV systems have the lowest OPEX at 0.5 to 1.0 percent per year, primarily for panel cleaning, inverter maintenance, and vegetation management [167]. Wind turbines require higher OPEX of 2.5 to 3.5 percent due to more complex mechanical systems, including gearbox, generator, and blade maintenance. Battery systems have OPEX of 1 to 2 percent per year, covering thermal management, cell balancing, and periodic capacity testing [168]. Fuel cell systems have the highest OPEX at 3 to 5 percent, dominated by stack replacement costs and fuel supply logistics.</w:t>
      </w:r>
    </w:p>
    <w:p w14:paraId="307536C6" w14:textId="77777777" w:rsidR="005E30F4" w:rsidRDefault="004976D6">
      <w:pPr>
        <w:spacing w:after="120"/>
        <w:ind w:firstLine="480"/>
        <w:jc w:val="both"/>
      </w:pPr>
      <w:r>
        <w:t>Staffing costs for energy system operation and maintenance at a 100 MW facility typically require 1 to 2 full-time technicians with annual salaries of $60,000 to $80,000, supplemented by specialized contractor services for major maintenance activities. A contingency budget of 5 to 10 percent of annual CAPEX is recommended for unexpected equipment failures and repairs, based on industry experience with utility-scale renewable installations [169].</w:t>
      </w:r>
    </w:p>
    <w:p w14:paraId="1BC30DAB" w14:textId="77777777" w:rsidR="005E30F4" w:rsidRDefault="004976D6">
      <w:pPr>
        <w:pStyle w:val="Heading2"/>
        <w:keepNext/>
      </w:pPr>
      <w:bookmarkStart w:id="70" w:name="_Toc100070"/>
      <w:r>
        <w:t>10.3 Levelized Cost of Energy</w:t>
      </w:r>
      <w:bookmarkEnd w:id="70"/>
    </w:p>
    <w:p w14:paraId="24F01464" w14:textId="77777777" w:rsidR="005E30F4" w:rsidRDefault="004976D6">
      <w:pPr>
        <w:spacing w:after="120"/>
        <w:ind w:firstLine="480"/>
        <w:jc w:val="both"/>
      </w:pPr>
      <w:r>
        <w:t xml:space="preserve">The LCOE metric provides the most transparent basis for comparing the cost competitiveness of different generation technologies. The calculation aggregates all lifetime costs (capital recovery, operations, maintenance, fuel, and decommissioning) and divides by </w:t>
      </w:r>
      <w:r>
        <w:lastRenderedPageBreak/>
        <w:t>total energy production, discounted to present value using the project discount rate. For renewable-powered data center systems, the LCOE depends critically on the capacity factor (which determines annual energy production), storage duration (which affects capital cost), and system configuration (hybrid vs. grid-only vs. fully autonomous) [147].</w:t>
      </w:r>
    </w:p>
    <w:p w14:paraId="294B0DCE" w14:textId="77777777" w:rsidR="005E30F4" w:rsidRDefault="004976D6">
      <w:pPr>
        <w:keepNext/>
        <w:spacing w:after="120"/>
        <w:jc w:val="both"/>
      </w:pPr>
      <w:r>
        <w:rPr>
          <w:b/>
          <w:bCs/>
          <w:sz w:val="20"/>
          <w:szCs w:val="20"/>
        </w:rPr>
        <w:t>Table V: LCOE Comparison Across Scenarios (2024, US)</w:t>
      </w:r>
    </w:p>
    <w:tbl>
      <w:tblPr>
        <w:tblW w:w="5000" w:type="pct"/>
        <w:tblBorders>
          <w:top w:val="single" w:sz="2" w:space="0" w:color="999999"/>
          <w:left w:val="single" w:sz="4" w:space="0" w:color="auto"/>
          <w:bottom w:val="single" w:sz="2" w:space="0" w:color="999999"/>
          <w:right w:val="single" w:sz="4" w:space="0" w:color="auto"/>
          <w:insideH w:val="single" w:sz="1" w:space="0" w:color="CCCCCC"/>
          <w:insideV w:val="single" w:sz="4" w:space="0" w:color="auto"/>
        </w:tblBorders>
        <w:tblCellMar>
          <w:left w:w="10" w:type="dxa"/>
          <w:right w:w="10" w:type="dxa"/>
        </w:tblCellMar>
        <w:tblLook w:val="04A0" w:firstRow="1" w:lastRow="0" w:firstColumn="1" w:lastColumn="0" w:noHBand="0" w:noVBand="1"/>
      </w:tblPr>
      <w:tblGrid>
        <w:gridCol w:w="2107"/>
        <w:gridCol w:w="1404"/>
        <w:gridCol w:w="1580"/>
        <w:gridCol w:w="1580"/>
        <w:gridCol w:w="2107"/>
      </w:tblGrid>
      <w:tr w:rsidR="005E30F4" w14:paraId="2FA916DA" w14:textId="77777777">
        <w:trPr>
          <w:cantSplit/>
          <w:tblHeader/>
        </w:trPr>
        <w:tc>
          <w:tcPr>
            <w:tcW w:w="1200" w:type="pct"/>
            <w:shd w:val="clear" w:color="auto" w:fill="F1F5F9"/>
            <w:tcMar>
              <w:top w:w="60" w:type="dxa"/>
              <w:left w:w="100" w:type="dxa"/>
              <w:bottom w:w="60" w:type="dxa"/>
              <w:right w:w="100" w:type="dxa"/>
            </w:tcMar>
          </w:tcPr>
          <w:p w14:paraId="3F5D6AA2" w14:textId="77777777" w:rsidR="005E30F4" w:rsidRDefault="004976D6">
            <w:pPr>
              <w:jc w:val="center"/>
            </w:pPr>
            <w:r>
              <w:rPr>
                <w:b/>
                <w:bCs/>
                <w:sz w:val="20"/>
                <w:szCs w:val="20"/>
              </w:rPr>
              <w:t>Scenario</w:t>
            </w:r>
          </w:p>
        </w:tc>
        <w:tc>
          <w:tcPr>
            <w:tcW w:w="800" w:type="pct"/>
            <w:shd w:val="clear" w:color="auto" w:fill="F1F5F9"/>
            <w:tcMar>
              <w:top w:w="60" w:type="dxa"/>
              <w:left w:w="100" w:type="dxa"/>
              <w:bottom w:w="60" w:type="dxa"/>
              <w:right w:w="100" w:type="dxa"/>
            </w:tcMar>
          </w:tcPr>
          <w:p w14:paraId="7DD097AC" w14:textId="77777777" w:rsidR="005E30F4" w:rsidRDefault="004976D6">
            <w:pPr>
              <w:jc w:val="center"/>
            </w:pPr>
            <w:r>
              <w:rPr>
                <w:b/>
                <w:bCs/>
                <w:sz w:val="20"/>
                <w:szCs w:val="20"/>
              </w:rPr>
              <w:t>LCOE Low</w:t>
            </w:r>
          </w:p>
        </w:tc>
        <w:tc>
          <w:tcPr>
            <w:tcW w:w="900" w:type="pct"/>
            <w:shd w:val="clear" w:color="auto" w:fill="F1F5F9"/>
            <w:tcMar>
              <w:top w:w="60" w:type="dxa"/>
              <w:left w:w="100" w:type="dxa"/>
              <w:bottom w:w="60" w:type="dxa"/>
              <w:right w:w="100" w:type="dxa"/>
            </w:tcMar>
          </w:tcPr>
          <w:p w14:paraId="4657A4FC" w14:textId="77777777" w:rsidR="005E30F4" w:rsidRDefault="004976D6">
            <w:pPr>
              <w:jc w:val="center"/>
            </w:pPr>
            <w:r>
              <w:rPr>
                <w:b/>
                <w:bCs/>
                <w:sz w:val="20"/>
                <w:szCs w:val="20"/>
              </w:rPr>
              <w:t>LCOE Central</w:t>
            </w:r>
          </w:p>
        </w:tc>
        <w:tc>
          <w:tcPr>
            <w:tcW w:w="900" w:type="pct"/>
            <w:shd w:val="clear" w:color="auto" w:fill="F1F5F9"/>
            <w:tcMar>
              <w:top w:w="60" w:type="dxa"/>
              <w:left w:w="100" w:type="dxa"/>
              <w:bottom w:w="60" w:type="dxa"/>
              <w:right w:w="100" w:type="dxa"/>
            </w:tcMar>
          </w:tcPr>
          <w:p w14:paraId="2B6128FF" w14:textId="77777777" w:rsidR="005E30F4" w:rsidRDefault="004976D6">
            <w:pPr>
              <w:jc w:val="center"/>
            </w:pPr>
            <w:r>
              <w:rPr>
                <w:b/>
                <w:bCs/>
                <w:sz w:val="20"/>
                <w:szCs w:val="20"/>
              </w:rPr>
              <w:t>LCOE High</w:t>
            </w:r>
          </w:p>
        </w:tc>
        <w:tc>
          <w:tcPr>
            <w:tcW w:w="1200" w:type="pct"/>
            <w:shd w:val="clear" w:color="auto" w:fill="F1F5F9"/>
            <w:tcMar>
              <w:top w:w="60" w:type="dxa"/>
              <w:left w:w="100" w:type="dxa"/>
              <w:bottom w:w="60" w:type="dxa"/>
              <w:right w:w="100" w:type="dxa"/>
            </w:tcMar>
          </w:tcPr>
          <w:p w14:paraId="496E831F" w14:textId="77777777" w:rsidR="005E30F4" w:rsidRDefault="004976D6">
            <w:pPr>
              <w:jc w:val="center"/>
            </w:pPr>
            <w:r>
              <w:rPr>
                <w:b/>
                <w:bCs/>
                <w:sz w:val="20"/>
                <w:szCs w:val="20"/>
              </w:rPr>
              <w:t>Key Sensitivity</w:t>
            </w:r>
          </w:p>
        </w:tc>
      </w:tr>
      <w:tr w:rsidR="005E30F4" w14:paraId="379FB233" w14:textId="77777777">
        <w:trPr>
          <w:cantSplit/>
        </w:trPr>
        <w:tc>
          <w:tcPr>
            <w:tcW w:w="1200" w:type="pct"/>
            <w:tcMar>
              <w:top w:w="40" w:type="dxa"/>
              <w:left w:w="100" w:type="dxa"/>
              <w:bottom w:w="40" w:type="dxa"/>
              <w:right w:w="100" w:type="dxa"/>
            </w:tcMar>
          </w:tcPr>
          <w:p w14:paraId="04DE73D4" w14:textId="77777777" w:rsidR="005E30F4" w:rsidRDefault="004976D6">
            <w:pPr>
              <w:jc w:val="center"/>
            </w:pPr>
            <w:r>
              <w:rPr>
                <w:sz w:val="20"/>
                <w:szCs w:val="20"/>
              </w:rPr>
              <w:t>Solar PV (20% CF)</w:t>
            </w:r>
          </w:p>
        </w:tc>
        <w:tc>
          <w:tcPr>
            <w:tcW w:w="800" w:type="pct"/>
            <w:tcMar>
              <w:top w:w="40" w:type="dxa"/>
              <w:left w:w="100" w:type="dxa"/>
              <w:bottom w:w="40" w:type="dxa"/>
              <w:right w:w="100" w:type="dxa"/>
            </w:tcMar>
          </w:tcPr>
          <w:p w14:paraId="650E3C31" w14:textId="77777777" w:rsidR="005E30F4" w:rsidRDefault="004976D6">
            <w:pPr>
              <w:jc w:val="center"/>
            </w:pPr>
            <w:r>
              <w:rPr>
                <w:sz w:val="20"/>
                <w:szCs w:val="20"/>
              </w:rPr>
              <w:t>$28/MWh</w:t>
            </w:r>
          </w:p>
        </w:tc>
        <w:tc>
          <w:tcPr>
            <w:tcW w:w="900" w:type="pct"/>
            <w:tcMar>
              <w:top w:w="40" w:type="dxa"/>
              <w:left w:w="100" w:type="dxa"/>
              <w:bottom w:w="40" w:type="dxa"/>
              <w:right w:w="100" w:type="dxa"/>
            </w:tcMar>
          </w:tcPr>
          <w:p w14:paraId="6E281C22" w14:textId="77777777" w:rsidR="005E30F4" w:rsidRDefault="004976D6">
            <w:pPr>
              <w:jc w:val="center"/>
            </w:pPr>
            <w:r>
              <w:rPr>
                <w:sz w:val="20"/>
                <w:szCs w:val="20"/>
              </w:rPr>
              <w:t>$38/MWh</w:t>
            </w:r>
          </w:p>
        </w:tc>
        <w:tc>
          <w:tcPr>
            <w:tcW w:w="900" w:type="pct"/>
            <w:tcMar>
              <w:top w:w="40" w:type="dxa"/>
              <w:left w:w="100" w:type="dxa"/>
              <w:bottom w:w="40" w:type="dxa"/>
              <w:right w:w="100" w:type="dxa"/>
            </w:tcMar>
          </w:tcPr>
          <w:p w14:paraId="13CC399E" w14:textId="77777777" w:rsidR="005E30F4" w:rsidRDefault="004976D6">
            <w:pPr>
              <w:jc w:val="center"/>
            </w:pPr>
            <w:r>
              <w:rPr>
                <w:sz w:val="20"/>
                <w:szCs w:val="20"/>
              </w:rPr>
              <w:t>$50/MWh</w:t>
            </w:r>
          </w:p>
        </w:tc>
        <w:tc>
          <w:tcPr>
            <w:tcW w:w="1200" w:type="pct"/>
            <w:tcMar>
              <w:top w:w="40" w:type="dxa"/>
              <w:left w:w="100" w:type="dxa"/>
              <w:bottom w:w="40" w:type="dxa"/>
              <w:right w:w="100" w:type="dxa"/>
            </w:tcMar>
          </w:tcPr>
          <w:p w14:paraId="1CCB2037" w14:textId="77777777" w:rsidR="005E30F4" w:rsidRDefault="004976D6">
            <w:pPr>
              <w:jc w:val="center"/>
            </w:pPr>
            <w:r>
              <w:rPr>
                <w:sz w:val="20"/>
                <w:szCs w:val="20"/>
              </w:rPr>
              <w:t>Capacity factor +/-5%</w:t>
            </w:r>
          </w:p>
        </w:tc>
      </w:tr>
      <w:tr w:rsidR="005E30F4" w14:paraId="28CC503F" w14:textId="77777777">
        <w:trPr>
          <w:cantSplit/>
        </w:trPr>
        <w:tc>
          <w:tcPr>
            <w:tcW w:w="1200" w:type="pct"/>
            <w:tcMar>
              <w:top w:w="40" w:type="dxa"/>
              <w:left w:w="100" w:type="dxa"/>
              <w:bottom w:w="40" w:type="dxa"/>
              <w:right w:w="100" w:type="dxa"/>
            </w:tcMar>
          </w:tcPr>
          <w:p w14:paraId="04842EAA" w14:textId="77777777" w:rsidR="005E30F4" w:rsidRDefault="004976D6">
            <w:pPr>
              <w:jc w:val="center"/>
            </w:pPr>
            <w:r>
              <w:rPr>
                <w:sz w:val="20"/>
                <w:szCs w:val="20"/>
              </w:rPr>
              <w:t>Wind Onshore (35% CF)</w:t>
            </w:r>
          </w:p>
        </w:tc>
        <w:tc>
          <w:tcPr>
            <w:tcW w:w="800" w:type="pct"/>
            <w:tcMar>
              <w:top w:w="40" w:type="dxa"/>
              <w:left w:w="100" w:type="dxa"/>
              <w:bottom w:w="40" w:type="dxa"/>
              <w:right w:w="100" w:type="dxa"/>
            </w:tcMar>
          </w:tcPr>
          <w:p w14:paraId="5DFEE4F5" w14:textId="77777777" w:rsidR="005E30F4" w:rsidRDefault="004976D6">
            <w:pPr>
              <w:jc w:val="center"/>
            </w:pPr>
            <w:r>
              <w:rPr>
                <w:sz w:val="20"/>
                <w:szCs w:val="20"/>
              </w:rPr>
              <w:t>$22/MWh</w:t>
            </w:r>
          </w:p>
        </w:tc>
        <w:tc>
          <w:tcPr>
            <w:tcW w:w="900" w:type="pct"/>
            <w:tcMar>
              <w:top w:w="40" w:type="dxa"/>
              <w:left w:w="100" w:type="dxa"/>
              <w:bottom w:w="40" w:type="dxa"/>
              <w:right w:w="100" w:type="dxa"/>
            </w:tcMar>
          </w:tcPr>
          <w:p w14:paraId="16A2637F" w14:textId="77777777" w:rsidR="005E30F4" w:rsidRDefault="004976D6">
            <w:pPr>
              <w:jc w:val="center"/>
            </w:pPr>
            <w:r>
              <w:rPr>
                <w:sz w:val="20"/>
                <w:szCs w:val="20"/>
              </w:rPr>
              <w:t>$33/MWh</w:t>
            </w:r>
          </w:p>
        </w:tc>
        <w:tc>
          <w:tcPr>
            <w:tcW w:w="900" w:type="pct"/>
            <w:tcMar>
              <w:top w:w="40" w:type="dxa"/>
              <w:left w:w="100" w:type="dxa"/>
              <w:bottom w:w="40" w:type="dxa"/>
              <w:right w:w="100" w:type="dxa"/>
            </w:tcMar>
          </w:tcPr>
          <w:p w14:paraId="6ECFC677" w14:textId="77777777" w:rsidR="005E30F4" w:rsidRDefault="004976D6">
            <w:pPr>
              <w:jc w:val="center"/>
            </w:pPr>
            <w:r>
              <w:rPr>
                <w:sz w:val="20"/>
                <w:szCs w:val="20"/>
              </w:rPr>
              <w:t>$45/MWh</w:t>
            </w:r>
          </w:p>
        </w:tc>
        <w:tc>
          <w:tcPr>
            <w:tcW w:w="1200" w:type="pct"/>
            <w:tcMar>
              <w:top w:w="40" w:type="dxa"/>
              <w:left w:w="100" w:type="dxa"/>
              <w:bottom w:w="40" w:type="dxa"/>
              <w:right w:w="100" w:type="dxa"/>
            </w:tcMar>
          </w:tcPr>
          <w:p w14:paraId="33FDC070" w14:textId="77777777" w:rsidR="005E30F4" w:rsidRDefault="004976D6">
            <w:pPr>
              <w:jc w:val="center"/>
            </w:pPr>
            <w:r>
              <w:rPr>
                <w:sz w:val="20"/>
                <w:szCs w:val="20"/>
              </w:rPr>
              <w:t>Wind resource quality</w:t>
            </w:r>
          </w:p>
        </w:tc>
      </w:tr>
      <w:tr w:rsidR="005E30F4" w14:paraId="2C3231BE" w14:textId="77777777">
        <w:trPr>
          <w:cantSplit/>
        </w:trPr>
        <w:tc>
          <w:tcPr>
            <w:tcW w:w="1200" w:type="pct"/>
            <w:tcMar>
              <w:top w:w="40" w:type="dxa"/>
              <w:left w:w="100" w:type="dxa"/>
              <w:bottom w:w="40" w:type="dxa"/>
              <w:right w:w="100" w:type="dxa"/>
            </w:tcMar>
          </w:tcPr>
          <w:p w14:paraId="412F4645" w14:textId="77777777" w:rsidR="005E30F4" w:rsidRDefault="004976D6">
            <w:pPr>
              <w:jc w:val="center"/>
            </w:pPr>
            <w:r>
              <w:rPr>
                <w:sz w:val="20"/>
                <w:szCs w:val="20"/>
              </w:rPr>
              <w:t>Solar + 4h Battery</w:t>
            </w:r>
          </w:p>
        </w:tc>
        <w:tc>
          <w:tcPr>
            <w:tcW w:w="800" w:type="pct"/>
            <w:tcMar>
              <w:top w:w="40" w:type="dxa"/>
              <w:left w:w="100" w:type="dxa"/>
              <w:bottom w:w="40" w:type="dxa"/>
              <w:right w:w="100" w:type="dxa"/>
            </w:tcMar>
          </w:tcPr>
          <w:p w14:paraId="4DA7A68C" w14:textId="77777777" w:rsidR="005E30F4" w:rsidRDefault="004976D6">
            <w:pPr>
              <w:jc w:val="center"/>
            </w:pPr>
            <w:r>
              <w:rPr>
                <w:sz w:val="20"/>
                <w:szCs w:val="20"/>
              </w:rPr>
              <w:t>$55/MWh</w:t>
            </w:r>
          </w:p>
        </w:tc>
        <w:tc>
          <w:tcPr>
            <w:tcW w:w="900" w:type="pct"/>
            <w:tcMar>
              <w:top w:w="40" w:type="dxa"/>
              <w:left w:w="100" w:type="dxa"/>
              <w:bottom w:w="40" w:type="dxa"/>
              <w:right w:w="100" w:type="dxa"/>
            </w:tcMar>
          </w:tcPr>
          <w:p w14:paraId="33AD2EC3" w14:textId="77777777" w:rsidR="005E30F4" w:rsidRDefault="004976D6">
            <w:pPr>
              <w:jc w:val="center"/>
            </w:pPr>
            <w:r>
              <w:rPr>
                <w:sz w:val="20"/>
                <w:szCs w:val="20"/>
              </w:rPr>
              <w:t>$75/MWh</w:t>
            </w:r>
          </w:p>
        </w:tc>
        <w:tc>
          <w:tcPr>
            <w:tcW w:w="900" w:type="pct"/>
            <w:tcMar>
              <w:top w:w="40" w:type="dxa"/>
              <w:left w:w="100" w:type="dxa"/>
              <w:bottom w:w="40" w:type="dxa"/>
              <w:right w:w="100" w:type="dxa"/>
            </w:tcMar>
          </w:tcPr>
          <w:p w14:paraId="15E7C9E1" w14:textId="77777777" w:rsidR="005E30F4" w:rsidRDefault="004976D6">
            <w:pPr>
              <w:jc w:val="center"/>
            </w:pPr>
            <w:r>
              <w:rPr>
                <w:sz w:val="20"/>
                <w:szCs w:val="20"/>
              </w:rPr>
              <w:t>$100/MWh</w:t>
            </w:r>
          </w:p>
        </w:tc>
        <w:tc>
          <w:tcPr>
            <w:tcW w:w="1200" w:type="pct"/>
            <w:tcMar>
              <w:top w:w="40" w:type="dxa"/>
              <w:left w:w="100" w:type="dxa"/>
              <w:bottom w:w="40" w:type="dxa"/>
              <w:right w:w="100" w:type="dxa"/>
            </w:tcMar>
          </w:tcPr>
          <w:p w14:paraId="78388ACF" w14:textId="77777777" w:rsidR="005E30F4" w:rsidRDefault="004976D6">
            <w:pPr>
              <w:jc w:val="center"/>
            </w:pPr>
            <w:r>
              <w:rPr>
                <w:sz w:val="20"/>
                <w:szCs w:val="20"/>
              </w:rPr>
              <w:t>Battery cost +/-50/kWh</w:t>
            </w:r>
          </w:p>
        </w:tc>
      </w:tr>
      <w:tr w:rsidR="005E30F4" w14:paraId="591BD36A" w14:textId="77777777">
        <w:trPr>
          <w:cantSplit/>
        </w:trPr>
        <w:tc>
          <w:tcPr>
            <w:tcW w:w="1200" w:type="pct"/>
            <w:tcMar>
              <w:top w:w="40" w:type="dxa"/>
              <w:left w:w="100" w:type="dxa"/>
              <w:bottom w:w="40" w:type="dxa"/>
              <w:right w:w="100" w:type="dxa"/>
            </w:tcMar>
          </w:tcPr>
          <w:p w14:paraId="1CAB1A52" w14:textId="77777777" w:rsidR="005E30F4" w:rsidRDefault="004976D6">
            <w:pPr>
              <w:jc w:val="center"/>
            </w:pPr>
            <w:r>
              <w:rPr>
                <w:sz w:val="20"/>
                <w:szCs w:val="20"/>
              </w:rPr>
              <w:t>Wind + 4h Battery</w:t>
            </w:r>
          </w:p>
        </w:tc>
        <w:tc>
          <w:tcPr>
            <w:tcW w:w="800" w:type="pct"/>
            <w:tcMar>
              <w:top w:w="40" w:type="dxa"/>
              <w:left w:w="100" w:type="dxa"/>
              <w:bottom w:w="40" w:type="dxa"/>
              <w:right w:w="100" w:type="dxa"/>
            </w:tcMar>
          </w:tcPr>
          <w:p w14:paraId="6B1D7C86" w14:textId="77777777" w:rsidR="005E30F4" w:rsidRDefault="004976D6">
            <w:pPr>
              <w:jc w:val="center"/>
            </w:pPr>
            <w:r>
              <w:rPr>
                <w:sz w:val="20"/>
                <w:szCs w:val="20"/>
              </w:rPr>
              <w:t>$50/MWh</w:t>
            </w:r>
          </w:p>
        </w:tc>
        <w:tc>
          <w:tcPr>
            <w:tcW w:w="900" w:type="pct"/>
            <w:tcMar>
              <w:top w:w="40" w:type="dxa"/>
              <w:left w:w="100" w:type="dxa"/>
              <w:bottom w:w="40" w:type="dxa"/>
              <w:right w:w="100" w:type="dxa"/>
            </w:tcMar>
          </w:tcPr>
          <w:p w14:paraId="653F1E7B" w14:textId="77777777" w:rsidR="005E30F4" w:rsidRDefault="004976D6">
            <w:pPr>
              <w:jc w:val="center"/>
            </w:pPr>
            <w:r>
              <w:rPr>
                <w:sz w:val="20"/>
                <w:szCs w:val="20"/>
              </w:rPr>
              <w:t>$68/MWh</w:t>
            </w:r>
          </w:p>
        </w:tc>
        <w:tc>
          <w:tcPr>
            <w:tcW w:w="900" w:type="pct"/>
            <w:tcMar>
              <w:top w:w="40" w:type="dxa"/>
              <w:left w:w="100" w:type="dxa"/>
              <w:bottom w:w="40" w:type="dxa"/>
              <w:right w:w="100" w:type="dxa"/>
            </w:tcMar>
          </w:tcPr>
          <w:p w14:paraId="418153FD" w14:textId="77777777" w:rsidR="005E30F4" w:rsidRDefault="004976D6">
            <w:pPr>
              <w:jc w:val="center"/>
            </w:pPr>
            <w:r>
              <w:rPr>
                <w:sz w:val="20"/>
                <w:szCs w:val="20"/>
              </w:rPr>
              <w:t>$90/MWh</w:t>
            </w:r>
          </w:p>
        </w:tc>
        <w:tc>
          <w:tcPr>
            <w:tcW w:w="1200" w:type="pct"/>
            <w:tcMar>
              <w:top w:w="40" w:type="dxa"/>
              <w:left w:w="100" w:type="dxa"/>
              <w:bottom w:w="40" w:type="dxa"/>
              <w:right w:w="100" w:type="dxa"/>
            </w:tcMar>
          </w:tcPr>
          <w:p w14:paraId="197FDBB1" w14:textId="77777777" w:rsidR="005E30F4" w:rsidRDefault="004976D6">
            <w:pPr>
              <w:jc w:val="center"/>
            </w:pPr>
            <w:r>
              <w:rPr>
                <w:sz w:val="20"/>
                <w:szCs w:val="20"/>
              </w:rPr>
              <w:t>Battery cost +/-50/kWh</w:t>
            </w:r>
          </w:p>
        </w:tc>
      </w:tr>
      <w:tr w:rsidR="005E30F4" w14:paraId="1B93C97C" w14:textId="77777777">
        <w:trPr>
          <w:cantSplit/>
        </w:trPr>
        <w:tc>
          <w:tcPr>
            <w:tcW w:w="1200" w:type="pct"/>
            <w:tcMar>
              <w:top w:w="40" w:type="dxa"/>
              <w:left w:w="100" w:type="dxa"/>
              <w:bottom w:w="40" w:type="dxa"/>
              <w:right w:w="100" w:type="dxa"/>
            </w:tcMar>
          </w:tcPr>
          <w:p w14:paraId="1B8A799A" w14:textId="77777777" w:rsidR="005E30F4" w:rsidRDefault="004976D6">
            <w:pPr>
              <w:jc w:val="center"/>
            </w:pPr>
            <w:r>
              <w:rPr>
                <w:sz w:val="20"/>
                <w:szCs w:val="20"/>
              </w:rPr>
              <w:t>Hybrid RE + Grid</w:t>
            </w:r>
          </w:p>
        </w:tc>
        <w:tc>
          <w:tcPr>
            <w:tcW w:w="800" w:type="pct"/>
            <w:tcMar>
              <w:top w:w="40" w:type="dxa"/>
              <w:left w:w="100" w:type="dxa"/>
              <w:bottom w:w="40" w:type="dxa"/>
              <w:right w:w="100" w:type="dxa"/>
            </w:tcMar>
          </w:tcPr>
          <w:p w14:paraId="2A67D899" w14:textId="77777777" w:rsidR="005E30F4" w:rsidRDefault="004976D6">
            <w:pPr>
              <w:jc w:val="center"/>
            </w:pPr>
            <w:r>
              <w:rPr>
                <w:sz w:val="20"/>
                <w:szCs w:val="20"/>
              </w:rPr>
              <w:t>$35/MWh</w:t>
            </w:r>
          </w:p>
        </w:tc>
        <w:tc>
          <w:tcPr>
            <w:tcW w:w="900" w:type="pct"/>
            <w:tcMar>
              <w:top w:w="40" w:type="dxa"/>
              <w:left w:w="100" w:type="dxa"/>
              <w:bottom w:w="40" w:type="dxa"/>
              <w:right w:w="100" w:type="dxa"/>
            </w:tcMar>
          </w:tcPr>
          <w:p w14:paraId="6CED1C47" w14:textId="77777777" w:rsidR="005E30F4" w:rsidRDefault="004976D6">
            <w:pPr>
              <w:jc w:val="center"/>
            </w:pPr>
            <w:r>
              <w:rPr>
                <w:sz w:val="20"/>
                <w:szCs w:val="20"/>
              </w:rPr>
              <w:t>$55/MWh</w:t>
            </w:r>
          </w:p>
        </w:tc>
        <w:tc>
          <w:tcPr>
            <w:tcW w:w="900" w:type="pct"/>
            <w:tcMar>
              <w:top w:w="40" w:type="dxa"/>
              <w:left w:w="100" w:type="dxa"/>
              <w:bottom w:w="40" w:type="dxa"/>
              <w:right w:w="100" w:type="dxa"/>
            </w:tcMar>
          </w:tcPr>
          <w:p w14:paraId="5F62C08F" w14:textId="77777777" w:rsidR="005E30F4" w:rsidRDefault="004976D6">
            <w:pPr>
              <w:jc w:val="center"/>
            </w:pPr>
            <w:r>
              <w:rPr>
                <w:sz w:val="20"/>
                <w:szCs w:val="20"/>
              </w:rPr>
              <w:t>$80/MWh</w:t>
            </w:r>
          </w:p>
        </w:tc>
        <w:tc>
          <w:tcPr>
            <w:tcW w:w="1200" w:type="pct"/>
            <w:tcMar>
              <w:top w:w="40" w:type="dxa"/>
              <w:left w:w="100" w:type="dxa"/>
              <w:bottom w:w="40" w:type="dxa"/>
              <w:right w:w="100" w:type="dxa"/>
            </w:tcMar>
          </w:tcPr>
          <w:p w14:paraId="6A821606" w14:textId="77777777" w:rsidR="005E30F4" w:rsidRDefault="004976D6">
            <w:pPr>
              <w:jc w:val="center"/>
            </w:pPr>
            <w:r>
              <w:rPr>
                <w:sz w:val="20"/>
                <w:szCs w:val="20"/>
              </w:rPr>
              <w:t>Grid price +/-$20</w:t>
            </w:r>
          </w:p>
        </w:tc>
      </w:tr>
      <w:tr w:rsidR="005E30F4" w14:paraId="2BA47E5E" w14:textId="77777777">
        <w:trPr>
          <w:cantSplit/>
        </w:trPr>
        <w:tc>
          <w:tcPr>
            <w:tcW w:w="1200" w:type="pct"/>
            <w:tcMar>
              <w:top w:w="40" w:type="dxa"/>
              <w:left w:w="100" w:type="dxa"/>
              <w:bottom w:w="40" w:type="dxa"/>
              <w:right w:w="100" w:type="dxa"/>
            </w:tcMar>
          </w:tcPr>
          <w:p w14:paraId="0FA563B4" w14:textId="77777777" w:rsidR="005E30F4" w:rsidRDefault="004976D6">
            <w:pPr>
              <w:jc w:val="center"/>
            </w:pPr>
            <w:r>
              <w:rPr>
                <w:sz w:val="20"/>
                <w:szCs w:val="20"/>
              </w:rPr>
              <w:t>Grid Only (US Avg)</w:t>
            </w:r>
          </w:p>
        </w:tc>
        <w:tc>
          <w:tcPr>
            <w:tcW w:w="800" w:type="pct"/>
            <w:tcMar>
              <w:top w:w="40" w:type="dxa"/>
              <w:left w:w="100" w:type="dxa"/>
              <w:bottom w:w="40" w:type="dxa"/>
              <w:right w:w="100" w:type="dxa"/>
            </w:tcMar>
          </w:tcPr>
          <w:p w14:paraId="56EEB912" w14:textId="77777777" w:rsidR="005E30F4" w:rsidRDefault="004976D6">
            <w:pPr>
              <w:jc w:val="center"/>
            </w:pPr>
            <w:r>
              <w:rPr>
                <w:sz w:val="20"/>
                <w:szCs w:val="20"/>
              </w:rPr>
              <w:t>$65/MWh</w:t>
            </w:r>
          </w:p>
        </w:tc>
        <w:tc>
          <w:tcPr>
            <w:tcW w:w="900" w:type="pct"/>
            <w:tcMar>
              <w:top w:w="40" w:type="dxa"/>
              <w:left w:w="100" w:type="dxa"/>
              <w:bottom w:w="40" w:type="dxa"/>
              <w:right w:w="100" w:type="dxa"/>
            </w:tcMar>
          </w:tcPr>
          <w:p w14:paraId="1F3EC8B9" w14:textId="77777777" w:rsidR="005E30F4" w:rsidRDefault="004976D6">
            <w:pPr>
              <w:jc w:val="center"/>
            </w:pPr>
            <w:r>
              <w:rPr>
                <w:sz w:val="20"/>
                <w:szCs w:val="20"/>
              </w:rPr>
              <w:t>$90/MWh</w:t>
            </w:r>
          </w:p>
        </w:tc>
        <w:tc>
          <w:tcPr>
            <w:tcW w:w="900" w:type="pct"/>
            <w:tcMar>
              <w:top w:w="40" w:type="dxa"/>
              <w:left w:w="100" w:type="dxa"/>
              <w:bottom w:w="40" w:type="dxa"/>
              <w:right w:w="100" w:type="dxa"/>
            </w:tcMar>
          </w:tcPr>
          <w:p w14:paraId="46A72B3C" w14:textId="77777777" w:rsidR="005E30F4" w:rsidRDefault="004976D6">
            <w:pPr>
              <w:jc w:val="center"/>
            </w:pPr>
            <w:r>
              <w:rPr>
                <w:sz w:val="20"/>
                <w:szCs w:val="20"/>
              </w:rPr>
              <w:t>$120/MWh</w:t>
            </w:r>
          </w:p>
        </w:tc>
        <w:tc>
          <w:tcPr>
            <w:tcW w:w="1200" w:type="pct"/>
            <w:tcMar>
              <w:top w:w="40" w:type="dxa"/>
              <w:left w:w="100" w:type="dxa"/>
              <w:bottom w:w="40" w:type="dxa"/>
              <w:right w:w="100" w:type="dxa"/>
            </w:tcMar>
          </w:tcPr>
          <w:p w14:paraId="16328852" w14:textId="77777777" w:rsidR="005E30F4" w:rsidRDefault="004976D6">
            <w:pPr>
              <w:jc w:val="center"/>
            </w:pPr>
            <w:r>
              <w:rPr>
                <w:sz w:val="20"/>
                <w:szCs w:val="20"/>
              </w:rPr>
              <w:t>Regional variation</w:t>
            </w:r>
          </w:p>
        </w:tc>
      </w:tr>
      <w:tr w:rsidR="005E30F4" w14:paraId="5DA39FA1" w14:textId="77777777">
        <w:trPr>
          <w:cantSplit/>
        </w:trPr>
        <w:tc>
          <w:tcPr>
            <w:tcW w:w="1200" w:type="pct"/>
            <w:tcMar>
              <w:top w:w="40" w:type="dxa"/>
              <w:left w:w="100" w:type="dxa"/>
              <w:bottom w:w="40" w:type="dxa"/>
              <w:right w:w="100" w:type="dxa"/>
            </w:tcMar>
          </w:tcPr>
          <w:p w14:paraId="6090A80D" w14:textId="77777777" w:rsidR="005E30F4" w:rsidRDefault="004976D6">
            <w:pPr>
              <w:jc w:val="center"/>
            </w:pPr>
            <w:r>
              <w:rPr>
                <w:sz w:val="20"/>
                <w:szCs w:val="20"/>
              </w:rPr>
              <w:t>H2 Fuel Cell</w:t>
            </w:r>
          </w:p>
        </w:tc>
        <w:tc>
          <w:tcPr>
            <w:tcW w:w="800" w:type="pct"/>
            <w:tcMar>
              <w:top w:w="40" w:type="dxa"/>
              <w:left w:w="100" w:type="dxa"/>
              <w:bottom w:w="40" w:type="dxa"/>
              <w:right w:w="100" w:type="dxa"/>
            </w:tcMar>
          </w:tcPr>
          <w:p w14:paraId="288BD4A3" w14:textId="77777777" w:rsidR="005E30F4" w:rsidRDefault="004976D6">
            <w:pPr>
              <w:jc w:val="center"/>
            </w:pPr>
            <w:r>
              <w:rPr>
                <w:sz w:val="20"/>
                <w:szCs w:val="20"/>
              </w:rPr>
              <w:t>$140/MWh</w:t>
            </w:r>
          </w:p>
        </w:tc>
        <w:tc>
          <w:tcPr>
            <w:tcW w:w="900" w:type="pct"/>
            <w:tcMar>
              <w:top w:w="40" w:type="dxa"/>
              <w:left w:w="100" w:type="dxa"/>
              <w:bottom w:w="40" w:type="dxa"/>
              <w:right w:w="100" w:type="dxa"/>
            </w:tcMar>
          </w:tcPr>
          <w:p w14:paraId="176949DC" w14:textId="77777777" w:rsidR="005E30F4" w:rsidRDefault="004976D6">
            <w:pPr>
              <w:jc w:val="center"/>
            </w:pPr>
            <w:r>
              <w:rPr>
                <w:sz w:val="20"/>
                <w:szCs w:val="20"/>
              </w:rPr>
              <w:t>$190/MWh</w:t>
            </w:r>
          </w:p>
        </w:tc>
        <w:tc>
          <w:tcPr>
            <w:tcW w:w="900" w:type="pct"/>
            <w:tcMar>
              <w:top w:w="40" w:type="dxa"/>
              <w:left w:w="100" w:type="dxa"/>
              <w:bottom w:w="40" w:type="dxa"/>
              <w:right w:w="100" w:type="dxa"/>
            </w:tcMar>
          </w:tcPr>
          <w:p w14:paraId="3D432BD4" w14:textId="77777777" w:rsidR="005E30F4" w:rsidRDefault="004976D6">
            <w:pPr>
              <w:jc w:val="center"/>
            </w:pPr>
            <w:r>
              <w:rPr>
                <w:sz w:val="20"/>
                <w:szCs w:val="20"/>
              </w:rPr>
              <w:t>$250/MWh</w:t>
            </w:r>
          </w:p>
        </w:tc>
        <w:tc>
          <w:tcPr>
            <w:tcW w:w="1200" w:type="pct"/>
            <w:tcMar>
              <w:top w:w="40" w:type="dxa"/>
              <w:left w:w="100" w:type="dxa"/>
              <w:bottom w:w="40" w:type="dxa"/>
              <w:right w:w="100" w:type="dxa"/>
            </w:tcMar>
          </w:tcPr>
          <w:p w14:paraId="54F5329D" w14:textId="77777777" w:rsidR="005E30F4" w:rsidRDefault="004976D6">
            <w:pPr>
              <w:jc w:val="center"/>
            </w:pPr>
            <w:r>
              <w:rPr>
                <w:sz w:val="20"/>
                <w:szCs w:val="20"/>
              </w:rPr>
              <w:t>H2 cost +/-$2/kg</w:t>
            </w:r>
          </w:p>
        </w:tc>
      </w:tr>
    </w:tbl>
    <w:p w14:paraId="692FC139" w14:textId="77777777" w:rsidR="005E30F4" w:rsidRDefault="004976D6">
      <w:pPr>
        <w:spacing w:after="120"/>
        <w:ind w:firstLine="480"/>
        <w:jc w:val="both"/>
      </w:pPr>
      <w:r>
        <w:t>The analysis demonstrates that hybrid renewable systems with grid backup achieve LCOE of $35 to $80 per MWh, which is competitive with or lower than grid electricity prices in most U.S. markets. Solar-plus-battery systems at $55 to $100 per MWh are approaching parity, while hydrogen fuel cells at $140 to $250 per MWh remain economically challenging for primary power supply but may be viable for backup applications where reliability value justifies the cost premium [170].</w:t>
      </w:r>
    </w:p>
    <w:p w14:paraId="68148A76" w14:textId="77777777" w:rsidR="005E30F4" w:rsidRDefault="004976D6">
      <w:pPr>
        <w:pStyle w:val="Heading2"/>
        <w:keepNext/>
      </w:pPr>
      <w:bookmarkStart w:id="71" w:name="_Toc100071"/>
      <w:r>
        <w:t>10.4 Power Purchase Agreements</w:t>
      </w:r>
      <w:bookmarkEnd w:id="71"/>
    </w:p>
    <w:p w14:paraId="7710BA23" w14:textId="77777777" w:rsidR="005E30F4" w:rsidRDefault="004976D6">
      <w:pPr>
        <w:spacing w:after="120"/>
        <w:ind w:firstLine="480"/>
        <w:jc w:val="both"/>
      </w:pPr>
      <w:r>
        <w:t xml:space="preserve">Corporate power purchase agreements (PPAs) have become the primary mechanism for data center operators to procure renewable energy at scale. PPA pricing in the U.S. market has declined significantly, with 2024 prices averaging $51.52 per MWh for solar and $61.52 per MWh for wind, according to </w:t>
      </w:r>
      <w:proofErr w:type="spellStart"/>
      <w:r>
        <w:t>LevelTen</w:t>
      </w:r>
      <w:proofErr w:type="spellEnd"/>
      <w:r>
        <w:t xml:space="preserve"> Energy's PPA Price Index [171]. PPA durations of 10 to 25 years provide long-term price certainty that hedges against grid electricity price volatility, which has historically exhibited annual increases of 2 to 4 percent [172]. Google's early PPA investments, with prices in the $30 to $50 per MWh range, have demonstrated significant cost savings as grid prices have risen over the contract periods [55].</w:t>
      </w:r>
    </w:p>
    <w:p w14:paraId="57C1D8C9" w14:textId="77777777" w:rsidR="005E30F4" w:rsidRDefault="004976D6">
      <w:pPr>
        <w:spacing w:after="120"/>
        <w:ind w:firstLine="480"/>
        <w:jc w:val="both"/>
      </w:pPr>
      <w:r>
        <w:t>Virtual PPAs (VPPAs), which are financial contracts settled against wholesale market prices rather than involving physical power delivery, provide flexibility for data center operators whose facilities are not co-located with the renewable generation. VPPAs transfer the price risk of renewable generation variability to the buyer but also enable the buyer to capture revenue upside when market prices exceed the contract price [173]. The corporate PPA market reached a record 46 GW of contracted capacity in 2023, with data center operators representing one of the fastest-growing demand segments [174].</w:t>
      </w:r>
    </w:p>
    <w:p w14:paraId="42A66B77" w14:textId="77777777" w:rsidR="005E30F4" w:rsidRDefault="004976D6">
      <w:pPr>
        <w:pStyle w:val="Heading2"/>
        <w:keepNext/>
      </w:pPr>
      <w:bookmarkStart w:id="72" w:name="_Toc100072"/>
      <w:r>
        <w:lastRenderedPageBreak/>
        <w:t>10.5 Tax Credits and Incentives</w:t>
      </w:r>
      <w:bookmarkEnd w:id="72"/>
    </w:p>
    <w:p w14:paraId="057582E9" w14:textId="77777777" w:rsidR="005E30F4" w:rsidRDefault="004976D6">
      <w:pPr>
        <w:spacing w:after="120"/>
        <w:ind w:firstLine="480"/>
        <w:jc w:val="both"/>
      </w:pPr>
      <w:r>
        <w:t xml:space="preserve">The U.S. Inflation Reduction Act (IRA) of 2022 represents the most significant federal policy support for clean energy deployment in U.S. history. The Investment Tax Credit (ITC) of 30 percent of eligible project costs applies to solar PV, battery storage, and qualifying hydrogen production equipment, with the credit extended through 2034 [148]. Additional bonus credits of 10 to 20 percent are available for projects meeting domestic content requirements, prevailing wage and apprenticeship standards, and siting in energy communities or low-income areas. The Production Tax Credit (PTC) of $0.0275 per kWh (2024 value, inflation-adjusted) provides an alternative incentive mechanism for wind </w:t>
      </w:r>
      <w:proofErr w:type="spellStart"/>
      <w:r>
        <w:t>and某些</w:t>
      </w:r>
      <w:proofErr w:type="spellEnd"/>
      <w:r>
        <w:t xml:space="preserve"> other renewable technologies.</w:t>
      </w:r>
    </w:p>
    <w:p w14:paraId="082BCD7C" w14:textId="77777777" w:rsidR="005E30F4" w:rsidRDefault="004976D6">
      <w:pPr>
        <w:spacing w:after="120"/>
        <w:ind w:firstLine="480"/>
        <w:jc w:val="both"/>
      </w:pPr>
      <w:r>
        <w:t>Accelerated depreciation under the Modified Accelerated Cost Recovery System (MACRS) provides additional tax benefits, with 5-year recovery for solar and 7-year for wind assets. Combined with bonus depreciation provisions, these tax benefits can reduce effective first-year capital costs by 50 to 60 percent [175]. State-level incentives, including property tax exemptions, sales tax exemptions, and renewable energy credits (RECs), vary by jurisdiction and can add an additional 5 to 15 percent reduction in effective project cost. For a $200 million renewable energy project, the combined effect of the 30 percent ITC, MACRS depreciation, and state incentives can reduce the effective capital cost by approximately 40 to 50 percent.</w:t>
      </w:r>
    </w:p>
    <w:p w14:paraId="1376C14D" w14:textId="77777777" w:rsidR="005E30F4" w:rsidRDefault="004976D6">
      <w:pPr>
        <w:pStyle w:val="Heading2"/>
        <w:keepNext/>
      </w:pPr>
      <w:bookmarkStart w:id="73" w:name="_Toc100073"/>
      <w:r>
        <w:t>10.6 Financial Modeling: NPV and IRR</w:t>
      </w:r>
      <w:bookmarkEnd w:id="73"/>
    </w:p>
    <w:p w14:paraId="4DE263BD" w14:textId="77777777" w:rsidR="005E30F4" w:rsidRDefault="004976D6">
      <w:pPr>
        <w:spacing w:after="120"/>
        <w:ind w:firstLine="480"/>
        <w:jc w:val="both"/>
      </w:pPr>
      <w:r>
        <w:t>Net Present Value (NPV) analysis provides the primary financial decision metric, discounting all future cash flows (revenues minus costs) to present value at the project discount rate. A positive NPV indicates that the project creates value, with the magnitude indicating the scale of value creation. For renewable-powered data center projects, the discount rate typically ranges from 5 to 10 percent, reflecting the corporate cost of capital and project risk profile. The Internal Rate of Return (IRR) is defined as the discount rate at which NPV equals zero, with typical corporate hurdle rates of 10 to 15 percent [176].</w:t>
      </w:r>
    </w:p>
    <w:p w14:paraId="01192F6B" w14:textId="77777777" w:rsidR="005E30F4" w:rsidRDefault="004976D6">
      <w:pPr>
        <w:keepNext/>
        <w:spacing w:before="200" w:after="100"/>
        <w:jc w:val="center"/>
      </w:pPr>
      <w:r>
        <w:rPr>
          <w:noProof/>
        </w:rPr>
        <w:lastRenderedPageBreak/>
        <w:drawing>
          <wp:inline distT="0" distB="0" distL="0" distR="0" wp14:anchorId="0403B78C" wp14:editId="1DA52272">
            <wp:extent cx="4191000" cy="2486025"/>
            <wp:effectExtent l="0" t="0" r="0" b="0"/>
            <wp:docPr id="2071125985" name="Picture 2071125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2486025"/>
                    </a:xfrm>
                    <a:prstGeom prst="rect">
                      <a:avLst/>
                    </a:prstGeom>
                  </pic:spPr>
                </pic:pic>
              </a:graphicData>
            </a:graphic>
          </wp:inline>
        </w:drawing>
      </w:r>
    </w:p>
    <w:p w14:paraId="3E3CC29C" w14:textId="77777777" w:rsidR="005E30F4" w:rsidRDefault="004976D6">
      <w:pPr>
        <w:spacing w:after="200"/>
        <w:jc w:val="center"/>
      </w:pPr>
      <w:r>
        <w:rPr>
          <w:i/>
          <w:iCs/>
          <w:color w:val="333333"/>
          <w:sz w:val="20"/>
          <w:szCs w:val="20"/>
        </w:rPr>
        <w:t>Fig. 9. NPV sensitivity analysis (tornado diagram) for a 100 MW renewable-powered data center.</w:t>
      </w:r>
    </w:p>
    <w:p w14:paraId="3C02B0FE" w14:textId="77777777" w:rsidR="005E30F4" w:rsidRDefault="004976D6">
      <w:pPr>
        <w:spacing w:after="120"/>
        <w:ind w:firstLine="480"/>
        <w:jc w:val="both"/>
      </w:pPr>
      <w:r>
        <w:t>Scenario analysis examines project performance under base case (central estimates), downside (higher costs, lower capacity factors, higher discount rates), and upside (cost reductions, better performance) assumptions. Monte Carlo simulation, using probability distributions for key input parameters, produces a probability distribution of NPV outcomes with confidence intervals. For a representative 100 MW facility with 50 percent renewable penetration and 4-hour battery storage, the analysis yields: base case NPV of $50 to $150 million over 20 years (7 percent discount rate), IRR of 12 to 18 percent, and payback period of 5 to 10 years with full ITC benefits [149].</w:t>
      </w:r>
    </w:p>
    <w:p w14:paraId="4E4CC8CE" w14:textId="77777777" w:rsidR="005E30F4" w:rsidRDefault="004976D6">
      <w:pPr>
        <w:pStyle w:val="Heading2"/>
        <w:keepNext/>
      </w:pPr>
      <w:bookmarkStart w:id="74" w:name="_Toc100074"/>
      <w:r>
        <w:t>10.7 Business Case Summary</w:t>
      </w:r>
      <w:bookmarkEnd w:id="74"/>
    </w:p>
    <w:p w14:paraId="72C05A14" w14:textId="77777777" w:rsidR="005E30F4" w:rsidRDefault="004976D6">
      <w:pPr>
        <w:spacing w:after="120"/>
        <w:ind w:firstLine="480"/>
        <w:jc w:val="both"/>
      </w:pPr>
      <w:r>
        <w:t>The business case for renewable-powered AI data centers rests on four pillars. First, lower energy costs: hybrid renewable systems achieving LCOE of $35 to $80 per MWh are increasingly competitive with or cheaper than grid electricity, with long-term PPAs providing additional price stability. Second, enhanced resilience: on-site generation and storage reduce dependence on the utility grid, decreasing outage risk and avoiding downtime costs that can exceed $300,000 per hour for large AI training operations [177]. Third, sustainability value: corporate ESG commitments, customer preferences for green computing, and emerging carbon pricing mechanisms create financial incentives for renewable energy procurement. Fourth, strategic hedging: long-term renewable PPAs lock in energy costs for 15 to 25 years, providing a hedge against fossil fuel price volatility and potential carbon taxes [178].</w:t>
      </w:r>
    </w:p>
    <w:p w14:paraId="584CA9E6" w14:textId="77777777" w:rsidR="005E30F4" w:rsidRDefault="004976D6">
      <w:pPr>
        <w:spacing w:after="120"/>
        <w:ind w:firstLine="480"/>
        <w:jc w:val="both"/>
      </w:pPr>
      <w:r>
        <w:t xml:space="preserve">Risk mitigation strategies include diversifying renewable sources across technologies and geographic locations, maintaining hybrid grid-plus-renewable-plus-storage configurations to avoid over-dependence on any single supply, leveraging demand flexibility to reduce storage requirements, and securing long-term PPAs to provide revenue certainty </w:t>
      </w:r>
      <w:r>
        <w:lastRenderedPageBreak/>
        <w:t>for project financing [179]. The combination of favorable economics, policy support, and corporate sustainability commitments creates a compelling financial case that, in many markets, makes renewable-powered data center operations not just environmentally responsible but economically superior to conventional grid-powered alternatives.</w:t>
      </w:r>
    </w:p>
    <w:p w14:paraId="101EC77B" w14:textId="77777777" w:rsidR="005E30F4" w:rsidRDefault="004976D6">
      <w:pPr>
        <w:pStyle w:val="Heading1"/>
        <w:keepNext/>
      </w:pPr>
      <w:bookmarkStart w:id="75" w:name="_Toc100075"/>
      <w:r>
        <w:t>11. Operational Strategies and Demand-Side Integration</w:t>
      </w:r>
      <w:bookmarkEnd w:id="75"/>
    </w:p>
    <w:p w14:paraId="07D774E1" w14:textId="77777777" w:rsidR="005E30F4" w:rsidRDefault="004976D6">
      <w:pPr>
        <w:spacing w:after="120"/>
        <w:ind w:firstLine="480"/>
        <w:jc w:val="both"/>
      </w:pPr>
      <w:r>
        <w:t>This chapter examines the operational strategies that maximize renewable energy utilization in AI data centers, with particular emphasis on demand-side management, workload flexibility, and real-time grid services. These strategies leverage the unique characteristics of AI workloads to create value that is not available in conventional electricity-consuming facilities.</w:t>
      </w:r>
    </w:p>
    <w:p w14:paraId="6FABA23E" w14:textId="77777777" w:rsidR="005E30F4" w:rsidRDefault="004976D6">
      <w:pPr>
        <w:pStyle w:val="Heading2"/>
        <w:keepNext/>
      </w:pPr>
      <w:bookmarkStart w:id="76" w:name="_Toc100076"/>
      <w:r>
        <w:t>11.1 Renewable Forecasting and Uncertainty</w:t>
      </w:r>
      <w:bookmarkEnd w:id="76"/>
    </w:p>
    <w:p w14:paraId="267C21CE" w14:textId="77777777" w:rsidR="005E30F4" w:rsidRDefault="004976D6">
      <w:pPr>
        <w:spacing w:after="120"/>
        <w:ind w:firstLine="480"/>
        <w:jc w:val="both"/>
      </w:pPr>
      <w:r>
        <w:t>Accurate renewable energy forecasting is the foundation of effective demand-side management. Solar forecasting accuracy varies by timescale: day-ahead forecasts using numerical weather prediction (NWP) models achieve 10 to 15 percent MAPE, while intra-hour forecasts using satellite imagery and sky-camera networks achieve 5 to 10 percent MAPE, and very-short-term (minute-scale) forecasts based on persistence assumptions achieve less than 5 percent MAPE [133]. Wind forecasting is generally less accurate than solar, with day-ahead MAPE of 10 to 20 percent depending on the geographic region and terrain complexity [96]. Machine learning post-processing, using LSTM and attention-based architectures, has demonstrated 15 to 25 percent MAPE reduction compared to raw NWP output, with the greatest improvements in the 1 to 6 hour forecast horizon [134].</w:t>
      </w:r>
    </w:p>
    <w:p w14:paraId="0329AA4A" w14:textId="77777777" w:rsidR="005E30F4" w:rsidRDefault="004976D6">
      <w:pPr>
        <w:spacing w:after="120"/>
        <w:ind w:firstLine="480"/>
        <w:jc w:val="both"/>
      </w:pPr>
      <w:r>
        <w:t>Forecast uncertainty propagates through the dispatch optimization process, requiring the control system to maintain reserves that account for potential forecast errors. Conservative dispatch strategies, which assume pessimistic renewable forecasts, ensure reliability but may result in suboptimal economic performance. Stochastic optimization approaches, which explicitly model forecast uncertainty using probability distributions, provide a more nuanced balance between economic efficiency and reliability. The framework recommends maintaining a minimum reserve margin of 10 to 15 percent above the expected renewable shortfall to account for forecast uncertainty [180].</w:t>
      </w:r>
    </w:p>
    <w:p w14:paraId="7076932D" w14:textId="77777777" w:rsidR="005E30F4" w:rsidRDefault="004976D6">
      <w:pPr>
        <w:pStyle w:val="Heading2"/>
        <w:keepNext/>
      </w:pPr>
      <w:bookmarkStart w:id="77" w:name="_Toc100077"/>
      <w:r>
        <w:t>11.2 AI Workload Scheduling and Load Shifting</w:t>
      </w:r>
      <w:bookmarkEnd w:id="77"/>
    </w:p>
    <w:p w14:paraId="0FF90B55" w14:textId="77777777" w:rsidR="005E30F4" w:rsidRDefault="004976D6">
      <w:pPr>
        <w:spacing w:after="120"/>
        <w:ind w:firstLine="480"/>
        <w:jc w:val="both"/>
      </w:pPr>
      <w:r>
        <w:t xml:space="preserve">AI workload scheduling represents a paradigm shift in demand-side management, exploiting the inherent flexibility of many computing tasks to align electricity consumption with renewable energy availability. Training workloads, which are the most power-intensive but also the most flexible, can be deferred by hours to days without impacting project </w:t>
      </w:r>
      <w:r>
        <w:lastRenderedPageBreak/>
        <w:t xml:space="preserve">timelines, </w:t>
      </w:r>
      <w:proofErr w:type="gramStart"/>
      <w:r>
        <w:t>as long as</w:t>
      </w:r>
      <w:proofErr w:type="gramEnd"/>
      <w:r>
        <w:t xml:space="preserve"> total compute time budgets are maintained [142]. BLOOM's 433 MWh training energy, for example, could theoretically be distributed across a longer period to reduce peak power demand, though this approach requires that the training algorithm supports checkpoint-based resumption [6].</w:t>
      </w:r>
    </w:p>
    <w:p w14:paraId="60346829" w14:textId="77777777" w:rsidR="005E30F4" w:rsidRDefault="004976D6">
      <w:pPr>
        <w:spacing w:after="120"/>
        <w:ind w:firstLine="480"/>
        <w:jc w:val="both"/>
      </w:pPr>
      <w:r>
        <w:t xml:space="preserve">Inference workloads present a more complex scheduling challenge due to latency requirements. Real-time inference (such as interactive chatbots or voice assistants) requires sub-100 </w:t>
      </w:r>
      <w:proofErr w:type="spellStart"/>
      <w:r>
        <w:t>ms</w:t>
      </w:r>
      <w:proofErr w:type="spellEnd"/>
      <w:r>
        <w:t xml:space="preserve"> response times and cannot be deferred. Batch inference (such as image processing, document analysis, or recommendation model scoring) can tolerate delays of minutes to hours and is well-suited for load shifting. A tiered scheduling approach, which prioritizes real-time inference, then batch inference, then training, then background tasks, provides a systematic mechanism for allocating limited renewable energy across competing demands [181].</w:t>
      </w:r>
    </w:p>
    <w:p w14:paraId="558CD425" w14:textId="77777777" w:rsidR="005E30F4" w:rsidRDefault="004976D6">
      <w:pPr>
        <w:spacing w:after="120"/>
        <w:ind w:firstLine="480"/>
        <w:jc w:val="both"/>
      </w:pPr>
      <w:r>
        <w:t xml:space="preserve">Implementation requires modifications to the Kubernetes scheduler or equivalent workload management platform. A renewable availability API, maintained by the EMS, provides </w:t>
      </w:r>
      <w:proofErr w:type="gramStart"/>
      <w:r>
        <w:t>24 to 48 hour</w:t>
      </w:r>
      <w:proofErr w:type="gramEnd"/>
      <w:r>
        <w:t xml:space="preserve"> forecasts of expected renewable generation as a percentage of total load. The scheduler queries this API when assigning workloads, deferring lower-priority tasks to periods of expected surplus renewable generation [144]. Cost incentive structures, including internal carbon pricing and shadow electricity prices that reflect the marginal cost of renewable energy, provide economic signals that encourage application teams to optimize for energy efficiency and renewable alignment [182].</w:t>
      </w:r>
    </w:p>
    <w:p w14:paraId="16B374D2" w14:textId="77777777" w:rsidR="005E30F4" w:rsidRDefault="004976D6">
      <w:pPr>
        <w:pStyle w:val="Heading2"/>
        <w:keepNext/>
      </w:pPr>
      <w:bookmarkStart w:id="78" w:name="_Toc100078"/>
      <w:r>
        <w:t>11.3 Multi-Facility Load Balancing and Geographic Diversity</w:t>
      </w:r>
      <w:bookmarkEnd w:id="78"/>
    </w:p>
    <w:p w14:paraId="7D956CE9" w14:textId="77777777" w:rsidR="005E30F4" w:rsidRDefault="004976D6">
      <w:pPr>
        <w:spacing w:after="120"/>
        <w:ind w:firstLine="480"/>
        <w:jc w:val="both"/>
      </w:pPr>
      <w:r>
        <w:t xml:space="preserve">Multi-facility </w:t>
      </w:r>
      <w:proofErr w:type="gramStart"/>
      <w:r>
        <w:t>load</w:t>
      </w:r>
      <w:proofErr w:type="gramEnd"/>
      <w:r>
        <w:t xml:space="preserve"> balancing exploits the spatial variability of renewable resources across geographically distributed data centers. Facilities separated by more than 500 km typically exhibit low correlation in wind and solar generation, enabling load to be routed to facilities with the most favorable current renewable conditions [97]. A practical example: an operator with facilities on the U.S. East Coast and West Coast can exploit the three-hour time zone difference and different weather patterns to shift workloads, potentially reducing aggregate storage requirements by 50 to 70 percent [183].</w:t>
      </w:r>
    </w:p>
    <w:p w14:paraId="68801191" w14:textId="77777777" w:rsidR="005E30F4" w:rsidRDefault="004976D6">
      <w:pPr>
        <w:spacing w:after="120"/>
        <w:ind w:firstLine="480"/>
        <w:jc w:val="both"/>
      </w:pPr>
      <w:r>
        <w:t>Technical constraints on multi-facility load balancing include network latency (some workloads cannot tolerate inter-region delays), data residency requirements (GDPR and other regulations may require processing in specific geographic regions), and inter-facility data transfer costs, which range from $10 to $50 per Mbps per month for dedicated connections [184]. Suitable workload pools for geographic distribution include stateless inference (easily replicated across regions), batch processing (minimal real-time networking requirements), and data replication (maintaining copies of datasets across facilities to avoid large data transfers during workload migration).</w:t>
      </w:r>
    </w:p>
    <w:p w14:paraId="142EC94F" w14:textId="77777777" w:rsidR="005E30F4" w:rsidRDefault="004976D6">
      <w:pPr>
        <w:pStyle w:val="Heading2"/>
        <w:keepNext/>
      </w:pPr>
      <w:bookmarkStart w:id="79" w:name="_Toc100079"/>
      <w:r>
        <w:lastRenderedPageBreak/>
        <w:t xml:space="preserve">11.4 </w:t>
      </w:r>
      <w:r w:rsidRPr="00E529B9">
        <w:t>Real-Time Demand Response and Grid Services</w:t>
      </w:r>
      <w:bookmarkEnd w:id="79"/>
    </w:p>
    <w:p w14:paraId="61EDA92C" w14:textId="77777777" w:rsidR="005E30F4" w:rsidRDefault="004976D6">
      <w:pPr>
        <w:spacing w:after="120"/>
        <w:ind w:firstLine="480"/>
        <w:jc w:val="both"/>
      </w:pPr>
      <w:r>
        <w:t>Data center battery systems and flexible loads can participate in wholesale electricity market programs that provide revenue while supporting grid reliability. Primary frequency response (PFR) requires the data center to automatically adjust its power consumption or battery discharge within seconds of detecting a frequency deviation, providing a grid stability service that was traditionally supplied by synchronous generators [185]. A 100 MW data center with 10 MW of available battery capacity for PFR can generate approximately $3 million per year in revenue, based on market rates of approximately $75 per MW per hour for 4,000 hours annually [161].</w:t>
      </w:r>
    </w:p>
    <w:p w14:paraId="757FF624" w14:textId="77777777" w:rsidR="005E30F4" w:rsidRDefault="004976D6">
      <w:pPr>
        <w:spacing w:after="120"/>
        <w:ind w:firstLine="480"/>
        <w:jc w:val="both"/>
      </w:pPr>
      <w:r>
        <w:t>Voltage support services, providing reactive power (VARs) to maintain voltage levels on the distribution system, represent another revenue opportunity. Inverters with grid-forming or voltage-source control capabilities can provide reactive power without affecting real power output, effectively offering a zero-marginal-cost ancillary service [186]. Economic value quantification indicates that a data center with 100 MW of inverter capacity can generate $500,000 to $1 million per year from voltage support services, depending on the specific market and locational marginal value [187]. Load reduction programs, where the data center sheds non-critical compute during peak demand periods in exchange for capacity payments, provide additional revenue while reducing peak demand charges.</w:t>
      </w:r>
    </w:p>
    <w:p w14:paraId="4912B844" w14:textId="77777777" w:rsidR="005E30F4" w:rsidRDefault="004976D6">
      <w:pPr>
        <w:pStyle w:val="Heading2"/>
        <w:keepNext/>
      </w:pPr>
      <w:bookmarkStart w:id="80" w:name="_Toc100080"/>
      <w:r>
        <w:t>11.5 Energy Management System and Control Architecture</w:t>
      </w:r>
      <w:bookmarkEnd w:id="80"/>
    </w:p>
    <w:p w14:paraId="6E33E5D6" w14:textId="77777777" w:rsidR="005E30F4" w:rsidRDefault="004976D6">
      <w:pPr>
        <w:spacing w:after="120"/>
        <w:ind w:firstLine="480"/>
        <w:jc w:val="both"/>
      </w:pPr>
      <w:r>
        <w:t>The EMS implements a hierarchical control architecture with three levels, each operating at a different timescale and with different objectives. Level 1 (device-level) responds to grid frequency and voltage deviations in milliseconds, providing primary frequency response and voltage regulation through inverter and battery controller actions [188]. Level 2 (facility-level) performs hourly dispatch optimization, minimizing energy costs and carbon emissions while maintaining reliability targets, using model-predictive control with 24 to 48 hour forecast horizons [114]. Level 3 (</w:t>
      </w:r>
      <w:proofErr w:type="gramStart"/>
      <w:r>
        <w:t>corporate-level</w:t>
      </w:r>
      <w:proofErr w:type="gramEnd"/>
      <w:r>
        <w:t>) manages multi-facility resource allocation, routing workloads to facilities with the most favorable renewable conditions and coordinating inter-facility energy exchanges [141].</w:t>
      </w:r>
    </w:p>
    <w:p w14:paraId="58053A7A" w14:textId="77777777" w:rsidR="005E30F4" w:rsidRDefault="004976D6">
      <w:pPr>
        <w:spacing w:after="120"/>
        <w:ind w:firstLine="480"/>
        <w:jc w:val="both"/>
      </w:pPr>
      <w:r>
        <w:t xml:space="preserve">The EMS integrates forecasting, optimization, monitoring, and cybersecurity functions. Forecasting modules provide solar, wind, and load predictions at multiple timescales. Optimization modules formulate and solve the dispatch problem as a mixed-integer linear program (MILP) or use heuristic algorithms for real-time decision-making. Monitoring modules aggregate data from metering points throughout the facility and provide dashboards, trending, alarm management, and automated reporting [189]. Performance metrics tracked by the EMS include delivered energy cost ($/MWh), system reliability </w:t>
      </w:r>
      <w:r>
        <w:lastRenderedPageBreak/>
        <w:t>(uptime percentage and LOLE), carbon intensity (gCO2 per kWh), and renewable utilization fraction (percentage of renewable generation used versus curtailed).</w:t>
      </w:r>
    </w:p>
    <w:p w14:paraId="5BA13E59" w14:textId="77777777" w:rsidR="005E30F4" w:rsidRDefault="004976D6">
      <w:pPr>
        <w:pStyle w:val="Heading2"/>
        <w:keepNext/>
      </w:pPr>
      <w:bookmarkStart w:id="81" w:name="_Toc100081"/>
      <w:r>
        <w:t>11.6 Cooling and Thermal Management Integration</w:t>
      </w:r>
      <w:bookmarkEnd w:id="81"/>
    </w:p>
    <w:p w14:paraId="53E1C8FA" w14:textId="77777777" w:rsidR="005E30F4" w:rsidRDefault="004976D6">
      <w:pPr>
        <w:spacing w:after="120"/>
        <w:ind w:firstLine="480"/>
        <w:jc w:val="both"/>
      </w:pPr>
      <w:r>
        <w:t>Cooling system integration with the renewable energy supply represents a significant opportunity for efficiency improvement. Thermal energy storage (TES) systems, including ice storage and chilled water storage, decouple cooling demand from real-time electricity consumption, enabling cooling to be performed during periods of abundant renewable energy and thermal energy to be stored for later use [79]. Ice storage systems achieve round-trip cooling efficiencies of 70 to 80 percent, compared to 85 to 95 percent for battery-based electrical storage, making TES a cost-effective complement to electrical storage for managing thermal loads [190].</w:t>
      </w:r>
    </w:p>
    <w:p w14:paraId="17E80733" w14:textId="77777777" w:rsidR="005E30F4" w:rsidRDefault="004976D6">
      <w:pPr>
        <w:spacing w:after="120"/>
        <w:ind w:firstLine="480"/>
        <w:jc w:val="both"/>
      </w:pPr>
      <w:r>
        <w:t>Dynamic setpoint management allows data center inlet temperatures to increase when renewable energy is scarce and cooling is energy-intensive, accepting a trade-off between energy efficiency and equipment longevity. Raising inlet temperatures from the traditional 20 to 22 degrees Celsius to 32 to 35 degrees Celsius during periods of limited renewable availability can reduce cooling energy by 15 to 25 percent [145]. Free cooling windows, available during winter and nighttime hours in many climates, provide additional cooling energy reduction by leveraging favorable ambient conditions without mechanical refrigeration. Waste heat recovery, directing the data center's rejected thermal energy to secondary uses such as district heating, greenhouse heating, or industrial processes, can offset 5 to 10 percent of total energy costs while improving overall system efficiency [146].</w:t>
      </w:r>
    </w:p>
    <w:p w14:paraId="3B68E3FA" w14:textId="77777777" w:rsidR="005E30F4" w:rsidRDefault="004976D6">
      <w:pPr>
        <w:pStyle w:val="Heading1"/>
        <w:keepNext/>
      </w:pPr>
      <w:bookmarkStart w:id="82" w:name="_Toc100082"/>
      <w:r>
        <w:t>12. Regulatory, Policy, and Sustainability</w:t>
      </w:r>
      <w:bookmarkEnd w:id="82"/>
    </w:p>
    <w:p w14:paraId="41FECD5B" w14:textId="77777777" w:rsidR="005E30F4" w:rsidRDefault="004976D6">
      <w:pPr>
        <w:spacing w:after="120"/>
        <w:ind w:firstLine="480"/>
        <w:jc w:val="both"/>
      </w:pPr>
      <w:r>
        <w:t>This chapter examines the regulatory environment, policy frameworks, and sustainability standards that govern the design and operation of renewable-powered data centers. Effective navigation of this landscape is essential for project permitting, interconnection, and long-term compliance with evolving environmental requirements.</w:t>
      </w:r>
    </w:p>
    <w:p w14:paraId="6718E63C" w14:textId="77777777" w:rsidR="005E30F4" w:rsidRDefault="004976D6">
      <w:pPr>
        <w:pStyle w:val="Heading2"/>
        <w:keepNext/>
      </w:pPr>
      <w:bookmarkStart w:id="83" w:name="_Toc100083"/>
      <w:r>
        <w:t>12.1 Grid Interconnection Standards</w:t>
      </w:r>
      <w:bookmarkEnd w:id="83"/>
    </w:p>
    <w:p w14:paraId="41458542" w14:textId="77777777" w:rsidR="005E30F4" w:rsidRDefault="004976D6">
      <w:pPr>
        <w:spacing w:after="120"/>
        <w:ind w:firstLine="480"/>
        <w:jc w:val="both"/>
      </w:pPr>
      <w:r>
        <w:t>Grid interconnection standards define the technical requirements that distributed energy resources must meet to connect to the utility grid. IEEE 1547-2018 is the primary standard for distributed energy resource (DER) interconnection, covering anti-islanding protection, voltage and frequency ride-through, power quality limits, and interoperability requirements [53]. The standard categorizes DER interconnections by size and voltage level, with increasingly stringent requirements for larger systems. For data center-scale renewable installations, which typically involve generation capacity of 10 to 100 MW at medium-</w:t>
      </w:r>
      <w:r>
        <w:lastRenderedPageBreak/>
        <w:t>voltage (4.16 to 34.5 kV) or transmission voltage (69 kV and above), the applicable requirements include IEEE 2800-2022 for inverter-based resources, which establishes performance specifications for frequency response, voltage support, and fault ride-through [53].</w:t>
      </w:r>
    </w:p>
    <w:p w14:paraId="2315F950" w14:textId="77777777" w:rsidR="005E30F4" w:rsidRDefault="004976D6">
      <w:pPr>
        <w:spacing w:after="120"/>
        <w:ind w:firstLine="480"/>
        <w:jc w:val="both"/>
      </w:pPr>
      <w:r>
        <w:t xml:space="preserve">FERC Order 2023, finalized in July 2023, represents the most significant reform of transmission interconnection procedures in two decades. The order establishes standardized timelines: 150 days for cluster studies (replacing the serial study process that could take 3 to 5 years), pre-certified equipment categories that can bypass detailed studies, and cost allocation reforms that shift upgrade costs to the requesting parties for network upgrades [160]. However, full implementation will require several years as regional transmission operators (RTOs) and individual utilities develop compliant procedures. International variations are significant: the EU Network Code on Requirements for Generators (NC </w:t>
      </w:r>
      <w:proofErr w:type="spellStart"/>
      <w:r>
        <w:t>RfG</w:t>
      </w:r>
      <w:proofErr w:type="spellEnd"/>
      <w:r>
        <w:t>) defines interconnection requirements for European member states, while Japan maintains some of the most technically stringent grid codes globally [191].</w:t>
      </w:r>
    </w:p>
    <w:p w14:paraId="1D0A3EB7" w14:textId="77777777" w:rsidR="005E30F4" w:rsidRDefault="004976D6">
      <w:pPr>
        <w:pStyle w:val="Heading2"/>
        <w:keepNext/>
      </w:pPr>
      <w:bookmarkStart w:id="84" w:name="_Toc100084"/>
      <w:r>
        <w:t>12.2 Renewable Energy Policies and Mandates</w:t>
      </w:r>
      <w:bookmarkEnd w:id="84"/>
    </w:p>
    <w:p w14:paraId="2D14C55A" w14:textId="77777777" w:rsidR="005E30F4" w:rsidRDefault="004976D6">
      <w:pPr>
        <w:spacing w:after="120"/>
        <w:ind w:firstLine="480"/>
        <w:jc w:val="both"/>
      </w:pPr>
      <w:r>
        <w:t>Renewable Portfolio Standards (RPS) and Clean Energy Standards (CES) mandate that utilities procure a specified percentage of their electricity from renewable sources by target dates. In the United States, over 30 states plus the District of Columbia have established RPS or CES targets ranging from 20 percent to 100 percent by dates ranging from 2025 to 2050 [192]. California has established a 60 percent renewable target by 2030 and 100 percent clean energy by 2045, while New York targets 70 percent renewable by 2030 and 100 percent zero-emission electricity by 2040. These state-level mandates create regulatory pull for corporate renewable procurement, as utilities develop new renewable projects to meet their obligations and offer corporate PPAs as a mechanism for compliance.</w:t>
      </w:r>
    </w:p>
    <w:p w14:paraId="10E3E37E" w14:textId="77777777" w:rsidR="005E30F4" w:rsidRDefault="004976D6">
      <w:pPr>
        <w:spacing w:after="120"/>
        <w:ind w:firstLine="480"/>
        <w:jc w:val="both"/>
      </w:pPr>
      <w:r>
        <w:t>The EU Renewable Energy Directive (RED III), adopted in 2023, establishes a binding target of 42.5 percent renewable energy in the EU's overall energy mix by 2030 [193]. The directive includes provisions specifically relevant to data centers, including mandatory energy efficiency reporting (effective September 2024) and encouragement of direct renewable procurement through PPAs and on-site generation. Corporate initiatives, including RE100 (commitment to 100 percent renewable electricity) and the Science Based Targets initiative (SBTi), have been adopted by all major data center operators and create competitive pressure for renewable energy procurement [194].</w:t>
      </w:r>
    </w:p>
    <w:p w14:paraId="119B0B6E" w14:textId="77777777" w:rsidR="005E30F4" w:rsidRDefault="004976D6">
      <w:pPr>
        <w:pStyle w:val="Heading2"/>
        <w:keepNext/>
      </w:pPr>
      <w:bookmarkStart w:id="85" w:name="_Toc100085"/>
      <w:r>
        <w:t>12.3 Carbon Accounting and Environmental Reporting</w:t>
      </w:r>
      <w:bookmarkEnd w:id="85"/>
    </w:p>
    <w:p w14:paraId="04122659" w14:textId="77777777" w:rsidR="005E30F4" w:rsidRDefault="004976D6">
      <w:pPr>
        <w:spacing w:after="120"/>
        <w:ind w:firstLine="480"/>
        <w:jc w:val="both"/>
      </w:pPr>
      <w:r>
        <w:t xml:space="preserve">The Greenhouse Gas (GHG) Protocol provides the standard framework for corporate carbon accounting, distinguishing three scopes of emissions. Scope 1 encompasses direct </w:t>
      </w:r>
      <w:r>
        <w:lastRenderedPageBreak/>
        <w:t>emissions from owned or controlled sources, primarily backup generator combustion and on-site fuel combustion, typically less than 1 percent of total emissions for grid-connected data centers [152]. Scope 2 covers emissions from purchased electricity, calculated using either location-based (grid average emission factor) or market-based (supplier-specific emission factors) accounting methods, and represents the dominant source for most data centers. Scope 3 includes all other indirect emissions, including embodied carbon in IT equipment manufacturing (5 to 10 gCO2 per kWh over asset lifetime) and upstream supply chain emissions [153].</w:t>
      </w:r>
    </w:p>
    <w:p w14:paraId="4755DE54" w14:textId="77777777" w:rsidR="005E30F4" w:rsidRDefault="004976D6">
      <w:pPr>
        <w:spacing w:after="120"/>
        <w:ind w:firstLine="480"/>
        <w:jc w:val="both"/>
      </w:pPr>
      <w:r>
        <w:t>The 24/7 Carbon-Free Energy (CFE) standard, which requires matching every hour of electricity consumption with carbon-free generation, represents the most rigorous sustainability metric for data center operations and is being adopted as the industry benchmark [12]. Implementing 24/7 CFE requires hourly granular data on both consumption and procurement, sophisticated forecasting and control systems, and transparent reporting methodology. The Greenhouse Gas Protocol is currently revising its Scope 2 guidance to incorporate hourly matching criteria, which will provide a standardized framework for CFE reporting [195]. Life Cycle Assessment (LCA) of renewable energy equipment, covering manufacturing, transportation, installation, operation, and end-of-life, indicates energy payback periods of 3 to 5 years for solar PV and 6 to 12 months for wind turbines [196].</w:t>
      </w:r>
    </w:p>
    <w:p w14:paraId="443F069F" w14:textId="77777777" w:rsidR="005E30F4" w:rsidRDefault="004976D6">
      <w:pPr>
        <w:pStyle w:val="Heading2"/>
        <w:keepNext/>
      </w:pPr>
      <w:bookmarkStart w:id="86" w:name="_Toc100086"/>
      <w:r>
        <w:t>12.4 Environmental Impact Assessment</w:t>
      </w:r>
      <w:bookmarkEnd w:id="86"/>
    </w:p>
    <w:p w14:paraId="40EDCDE4" w14:textId="77777777" w:rsidR="005E30F4" w:rsidRDefault="004976D6">
      <w:pPr>
        <w:spacing w:after="120"/>
        <w:ind w:firstLine="480"/>
        <w:jc w:val="both"/>
      </w:pPr>
      <w:r>
        <w:t xml:space="preserve">Renewable energy installations have environmental impacts that must be assessed and mitigated as part of the project development process. Solar PV installations require 5 to 10 acres per MW of capacity, though much of this land can be </w:t>
      </w:r>
      <w:proofErr w:type="gramStart"/>
      <w:r>
        <w:t>dual-use</w:t>
      </w:r>
      <w:proofErr w:type="gramEnd"/>
      <w:r>
        <w:t xml:space="preserve"> (agriculture, grazing, or parking) [197]. Wind installations require 40 to 60 acres per MW, but with over 95 percent of the land remaining available for agricultural or other uses. The U.S. Fish and Wildlife Service estimates that wind turbines cause 100,000 to 500,000 bird and bat mortalities annually, though this is significantly lower than building collisions (600 million to 1 billion birds) and domestic cats (1.3 to 4 billion birds) [198]. Water consumption for solar PV panel cleaning is negligible compared to data center cooling requirements, which can exceed 1 million gallons per day for a 100 MW facility using evaporative cooling [199].</w:t>
      </w:r>
    </w:p>
    <w:p w14:paraId="7E006C48" w14:textId="77777777" w:rsidR="005E30F4" w:rsidRDefault="004976D6">
      <w:pPr>
        <w:spacing w:after="120"/>
        <w:ind w:firstLine="480"/>
        <w:jc w:val="both"/>
      </w:pPr>
      <w:r>
        <w:t xml:space="preserve">Biodiversity impacts are site-specific and can be mitigated through careful siting, pre-construction surveys, and operational monitoring. The IUCN has published guidance on biodiversity assessment and enhancement at wind and solar energy developments, recommending that projects conduct cumulative impact assessments and implement biodiversity net gain measures [200]. Rare earth elements (REEs) used in wind turbine permanent magnets present a supply chain risk, with China controlling over 80 percent of global production. However, trends toward reduced REE content in turbine designs and increased recycling are mitigating this risk [201]. Circular economy practices, including </w:t>
      </w:r>
      <w:r>
        <w:lastRenderedPageBreak/>
        <w:t>solar panel recycling (85 to 90 percent material recovery), battery recycling (95 percent lithium, cobalt, and nickel recoverable), and second-life battery applications (repurposing EV batteries for stationary storage), can significantly reduce the environmental footprint of renewable energy equipment [202].</w:t>
      </w:r>
    </w:p>
    <w:p w14:paraId="7146F8CB" w14:textId="77777777" w:rsidR="005E30F4" w:rsidRDefault="004976D6">
      <w:pPr>
        <w:pStyle w:val="Heading2"/>
        <w:keepNext/>
      </w:pPr>
      <w:bookmarkStart w:id="87" w:name="_Toc100087"/>
      <w:r>
        <w:t>12.5 Regulatory Barriers and Opportunities</w:t>
      </w:r>
      <w:bookmarkEnd w:id="87"/>
    </w:p>
    <w:p w14:paraId="4AC380A7" w14:textId="77777777" w:rsidR="005E30F4" w:rsidRDefault="004976D6">
      <w:pPr>
        <w:spacing w:after="120"/>
        <w:ind w:firstLine="480"/>
        <w:jc w:val="both"/>
      </w:pPr>
      <w:r>
        <w:t>Current regulatory barriers to renewable-powered data centers include interconnection queue congestion (3 to 5 year wait times in some regions), distribution system design limitations (designed for one-way power flow, not bidirectional), permitting complexity (environmental review, building permits, utility coordination), and in some cases incumbent utility opposition to distributed generation [23]. Community Choice Aggregation (CCA), which enables local governments to procure renewable energy on behalf of their communities, offers an alternative pathway in states such as California [203]. Green tariff programs, offered by utilities in many states, allow large customers to subscribe to dedicated renewable energy supply. Behind-the-meter exemptions, available in some states, exempt on-site storage from utility regulation, reducing interconnection complexity and cost.</w:t>
      </w:r>
    </w:p>
    <w:p w14:paraId="492B58B7" w14:textId="77777777" w:rsidR="005E30F4" w:rsidRDefault="004976D6">
      <w:pPr>
        <w:spacing w:after="120"/>
        <w:ind w:firstLine="480"/>
        <w:jc w:val="both"/>
      </w:pPr>
      <w:r>
        <w:t>Policy recommendations derived from the framework analysis include: (1) streamline interconnection procedures following the FERC Order 2023 model, with specific timelines and penalties for study delays; (2) maintain and expand renewable energy tax credits (ITC and PTC) to provide investment certainty; (3) update zoning and building codes to facilitate on-site renewable generation and storage; (4) develop transparent and standardized 24/7 CFE accounting methodology; and (5) support grid modernization research, including advanced inverter technology, distribution automation, and cybersecurity frameworks [204].</w:t>
      </w:r>
    </w:p>
    <w:p w14:paraId="1EF73A5A" w14:textId="77777777" w:rsidR="005E30F4" w:rsidRDefault="004976D6">
      <w:pPr>
        <w:pStyle w:val="Heading2"/>
        <w:keepNext/>
      </w:pPr>
      <w:bookmarkStart w:id="88" w:name="_Toc100088"/>
      <w:r>
        <w:t>12.6 Sustainability Certifications and Reporting</w:t>
      </w:r>
      <w:bookmarkEnd w:id="88"/>
    </w:p>
    <w:p w14:paraId="0D864852" w14:textId="77777777" w:rsidR="005E30F4" w:rsidRDefault="004976D6">
      <w:pPr>
        <w:spacing w:after="120"/>
        <w:ind w:firstLine="480"/>
        <w:jc w:val="both"/>
      </w:pPr>
      <w:r>
        <w:t>Voluntary sustainability certifications provide third-party validation of environmental claims and increasingly serve as customer requirements and competitive differentiators. LEED (Leadership in Energy and Environmental Design) for Data Centers provides green building certification with specific criteria for energy efficiency, renewable energy, and water conservation [205]. BREEAM (Building Research Establishment Environmental Assessment Method) is the equivalent European standard. ISO 50001 provides an international standard for energy management systems, requiring third-party auditing of energy performance measurement, target-setting, and continuous improvement processes. The Uptime Institute's Tier Standard, while primarily focused on availability, is evolving to incorporate sustainability criteria. Disclosure initiatives including CDP (Carbon Disclosure Project), TCFD (Task Force on Climate-Related Financial Disclosures), and GRI (Global Reporting Initiative) provide frameworks for environmental reporting that are increasingly demanded by investors, customers, and regulators [206].</w:t>
      </w:r>
    </w:p>
    <w:p w14:paraId="7391190C" w14:textId="77777777" w:rsidR="005E30F4" w:rsidRDefault="004976D6">
      <w:pPr>
        <w:pStyle w:val="Heading1"/>
        <w:keepNext/>
      </w:pPr>
      <w:bookmarkStart w:id="89" w:name="_Toc100089"/>
      <w:r>
        <w:lastRenderedPageBreak/>
        <w:t>13. Future Research Directions and Emerging Technologies</w:t>
      </w:r>
      <w:bookmarkEnd w:id="89"/>
    </w:p>
    <w:p w14:paraId="207AE875" w14:textId="77777777" w:rsidR="005E30F4" w:rsidRDefault="004976D6">
      <w:pPr>
        <w:spacing w:after="120"/>
        <w:ind w:firstLine="480"/>
        <w:jc w:val="both"/>
      </w:pPr>
      <w:r>
        <w:t>This chapter identifies unresolved research questions and next-generation technologies that will shape the evolution of renewable-powered data centers over the coming decade and beyond. The analysis distinguishes between near-term opportunities (1 to 5 years), medium-term developments (5 to 10 years), and long-term transformations (10+ years).</w:t>
      </w:r>
    </w:p>
    <w:p w14:paraId="2634972A" w14:textId="77777777" w:rsidR="005E30F4" w:rsidRDefault="004976D6">
      <w:pPr>
        <w:pStyle w:val="Heading2"/>
        <w:keepNext/>
      </w:pPr>
      <w:bookmarkStart w:id="90" w:name="_Toc100090"/>
      <w:r>
        <w:t>13.1 Next-Generation Computing Paradigms</w:t>
      </w:r>
      <w:bookmarkEnd w:id="90"/>
    </w:p>
    <w:p w14:paraId="4A97E4BF" w14:textId="77777777" w:rsidR="005E30F4" w:rsidRDefault="004976D6">
      <w:pPr>
        <w:spacing w:after="120"/>
        <w:ind w:firstLine="480"/>
        <w:jc w:val="both"/>
      </w:pPr>
      <w:r>
        <w:t xml:space="preserve">Quantum computing, while not expected to replace classical GPUs for AI training or inference, introduces unique energy requirements that may affect data center design. Current quantum processors require cryogenic cooling to near-absolute-zero temperatures (10 to 20 </w:t>
      </w:r>
      <w:proofErr w:type="spellStart"/>
      <w:r>
        <w:t>milliKelvin</w:t>
      </w:r>
      <w:proofErr w:type="spellEnd"/>
      <w:r>
        <w:t xml:space="preserve">), consuming 1 to 10 kW of cooling power per 10 qubits [207]. For a future quantum computer with thousands of qubits, the cooling load could reach 100 to 500 kW, representing a small but non-trivial addition to the total facility power. Quantum computing is expected to find niche applications in optimization, simulation, and cryptography over a </w:t>
      </w:r>
      <w:proofErr w:type="gramStart"/>
      <w:r>
        <w:t>10 to 20 year</w:t>
      </w:r>
      <w:proofErr w:type="gramEnd"/>
      <w:r>
        <w:t xml:space="preserve"> horizon, but its overall impact on data center energy demand is likely to be modest [208].</w:t>
      </w:r>
    </w:p>
    <w:p w14:paraId="402F5FF5" w14:textId="77777777" w:rsidR="005E30F4" w:rsidRDefault="004976D6">
      <w:pPr>
        <w:spacing w:after="120"/>
        <w:ind w:firstLine="480"/>
        <w:jc w:val="both"/>
      </w:pPr>
      <w:r>
        <w:t xml:space="preserve">Neuromorphic computing, which uses spiking neural networks and event-driven processing to mimic biological neural computation, offers the potential for dramatic improvements in energy efficiency. Intel's </w:t>
      </w:r>
      <w:proofErr w:type="spellStart"/>
      <w:r>
        <w:t>Loihi</w:t>
      </w:r>
      <w:proofErr w:type="spellEnd"/>
      <w:r>
        <w:t xml:space="preserve"> 2 chip demonstrates 100 times better energy efficiency than conventional GPUs for specific workloads, while IBM's TrueNorth achieves similar improvements for pattern recognition tasks [209]. However, neuromorphic computing faces significant challenges, including an immature software ecosystem, the need for new algorithmic approaches (neuromorphic training methods differ fundamentally from backpropagation), and limited applicability to current dominant AI workloads. Widespread adoption is estimated to require 10 to 15 years, with potential energy reduction of 10 to 100 times for suitable workloads [210].</w:t>
      </w:r>
    </w:p>
    <w:p w14:paraId="74811B68" w14:textId="77777777" w:rsidR="005E30F4" w:rsidRDefault="004976D6">
      <w:pPr>
        <w:spacing w:after="120"/>
        <w:ind w:firstLine="480"/>
        <w:jc w:val="both"/>
      </w:pPr>
      <w:r>
        <w:t>Photonic (optical) computing, which uses light instead of electricity for computation, has demonstrated 160 TOPS/W (trillion operations per second per watt) in laboratory demonstrations, representing orders-of-magnitude improvement over electronic processors [211]. Photonic interconnects, which are closer to commercial deployment, can reduce energy per bit for data communication by 10 to 100 times compared to electrical interconnects. Edge AI and federated learning, which distribute inference and training across edge devices rather than centralizing in data centers, offer potential net energy reductions, though studies suggest the net effect depends on the specific workload distribution and communication overhead [212].</w:t>
      </w:r>
    </w:p>
    <w:p w14:paraId="18056A15" w14:textId="77777777" w:rsidR="005E30F4" w:rsidRDefault="004976D6">
      <w:pPr>
        <w:pStyle w:val="Heading2"/>
        <w:keepNext/>
      </w:pPr>
      <w:bookmarkStart w:id="91" w:name="_Toc100091"/>
      <w:r>
        <w:lastRenderedPageBreak/>
        <w:t>13.2 Advanced Energy Storage Technologies</w:t>
      </w:r>
      <w:bookmarkEnd w:id="91"/>
    </w:p>
    <w:p w14:paraId="22C36080" w14:textId="77777777" w:rsidR="005E30F4" w:rsidRDefault="004976D6">
      <w:pPr>
        <w:spacing w:after="120"/>
        <w:ind w:firstLine="480"/>
        <w:jc w:val="both"/>
      </w:pPr>
      <w:r>
        <w:t>Solid-state and lithium-metal batteries represent the most promising near-term advancement in energy storage technology. These technologies offer 2 to 3 times the energy density of conventional lithium-ion batteries, enabling more compact and lighter storage systems with potentially lower costs [213]. Commercialization timelines range from 2025 to 2030 for initial deployments, with costs potentially competitive with LFP by 2030. Form Energy's iron-air battery technology, targeting $20 per kWh energy cost and 100+ hour storage duration, represents a potential paradigm shift for seasonal energy storage. The company's 12 GWh agreement to supply iron-air batteries for AI data centers signals growing industry confidence in long-duration storage [104].</w:t>
      </w:r>
    </w:p>
    <w:p w14:paraId="3C59E32B" w14:textId="77777777" w:rsidR="005E30F4" w:rsidRDefault="004976D6">
      <w:pPr>
        <w:spacing w:after="120"/>
        <w:ind w:firstLine="480"/>
        <w:jc w:val="both"/>
      </w:pPr>
      <w:r>
        <w:t>Green hydrogen, produced via electrolysis powered by renewable electricity, offers storage durations of weeks to months that far exceed the capabilities of any battery technology. Current costs of $4 to $6 per kilogram need to decline to $2 per kilogram by 2030 for economic viability in data center applications, requiring continued reductions in electrolyzer costs, renewable electricity costs, and hydrogen logistics [106]. Compressed air energy storage (CAES), thermal storage (molten salt), and mechanical storage (advanced flywheels, gravity storage) provide additional options for specific applications and durations, with the optimal technology choice depending on the specific requirements of each data center site [214].</w:t>
      </w:r>
    </w:p>
    <w:p w14:paraId="5F6CCC33" w14:textId="77777777" w:rsidR="005E30F4" w:rsidRDefault="004976D6">
      <w:pPr>
        <w:pStyle w:val="Heading2"/>
        <w:keepNext/>
      </w:pPr>
      <w:bookmarkStart w:id="92" w:name="_Toc100092"/>
      <w:r>
        <w:t>13.3 AI and Machine Learning for Grid Optimization</w:t>
      </w:r>
      <w:bookmarkEnd w:id="92"/>
    </w:p>
    <w:p w14:paraId="6BE2A9B9" w14:textId="77777777" w:rsidR="005E30F4" w:rsidRDefault="004976D6">
      <w:pPr>
        <w:spacing w:after="120"/>
        <w:ind w:firstLine="480"/>
        <w:jc w:val="both"/>
      </w:pPr>
      <w:r>
        <w:t>Machine learning is increasingly being applied to all aspects of grid optimization, from forecasting to dispatch to maintenance. Deep learning architectures, including LSTM networks and Transformer-based models, have demonstrated 15 to 25 percent improvement in solar and wind forecast accuracy [134]. Reinforcement learning (RL) agents have shown the ability to learn optimal microgrid dispatch policies through interaction with simulated environments, outperforming rule-based strategies in complex multi-objective optimization scenarios [135]. Predictive maintenance, using anomaly detection algorithms trained on equipment sensor data, can identify degradation trends and schedule maintenance before failures occur, reducing unplanned downtime and extending equipment lifetime [215]. The key challenge for AI-based grid control is ensuring generalization beyond training data, particularly for rare events and extreme conditions that may not be well-represented in historical datasets [137].</w:t>
      </w:r>
    </w:p>
    <w:p w14:paraId="71961F4E" w14:textId="77777777" w:rsidR="005E30F4" w:rsidRDefault="004976D6">
      <w:pPr>
        <w:pStyle w:val="Heading2"/>
        <w:keepNext/>
      </w:pPr>
      <w:bookmarkStart w:id="93" w:name="_Toc100093"/>
      <w:r>
        <w:t>13.4 100 Percent Renewable Grid Challenges</w:t>
      </w:r>
      <w:bookmarkEnd w:id="93"/>
    </w:p>
    <w:p w14:paraId="273BF257" w14:textId="77777777" w:rsidR="005E30F4" w:rsidRDefault="004976D6">
      <w:pPr>
        <w:spacing w:after="120"/>
        <w:ind w:firstLine="480"/>
        <w:jc w:val="both"/>
      </w:pPr>
      <w:r>
        <w:t xml:space="preserve">Operating power systems at renewable penetration levels above 80 percent introduces challenges that are qualitatively different from those at lower penetration levels. The reduced </w:t>
      </w:r>
      <w:r>
        <w:lastRenderedPageBreak/>
        <w:t xml:space="preserve">system inertia from retired synchronous generators makes frequency control more difficult, requiring fast-acting inverter-based response capable of detecting and correcting frequency deviations within 500 </w:t>
      </w:r>
      <w:proofErr w:type="spellStart"/>
      <w:r>
        <w:t>ms</w:t>
      </w:r>
      <w:proofErr w:type="spellEnd"/>
      <w:r>
        <w:t xml:space="preserve"> [216]. The increasing frequency of periods with both oversupply (curtailment) and undersupply (insufficient generation) creates operational complexity that demands sophisticated forecasting and storage management. Multi-timescale phenomena, from sub-second frequency oscillations to seasonal storage requirements, must be addressed simultaneously through coordinated control strategies [217].</w:t>
      </w:r>
    </w:p>
    <w:p w14:paraId="41CCC8F3" w14:textId="77777777" w:rsidR="005E30F4" w:rsidRDefault="004976D6">
      <w:pPr>
        <w:spacing w:after="120"/>
        <w:ind w:firstLine="480"/>
        <w:jc w:val="both"/>
      </w:pPr>
      <w:r>
        <w:t>Data centers can play a constructive role in 100 percent renewable grids by serving as anchor loads that provide revenue certainty for renewable energy projects, offering demand response and frequency regulation services, and operating battery systems that provide grid-balancing services. The framework proposed in this paper positions data centers as active participants in the grid transition rather than passive electricity consumers, creating value for both the data center operator and the broader electricity system [218].</w:t>
      </w:r>
    </w:p>
    <w:p w14:paraId="6845E7D8" w14:textId="77777777" w:rsidR="005E30F4" w:rsidRDefault="004976D6">
      <w:pPr>
        <w:pStyle w:val="Heading2"/>
        <w:keepNext/>
      </w:pPr>
      <w:bookmarkStart w:id="94" w:name="_Toc100094"/>
      <w:r>
        <w:t>13.5 Integration with Grid Modernization</w:t>
      </w:r>
      <w:bookmarkEnd w:id="94"/>
    </w:p>
    <w:p w14:paraId="5CDC33F1" w14:textId="77777777" w:rsidR="005E30F4" w:rsidRDefault="004976D6">
      <w:pPr>
        <w:spacing w:after="120"/>
        <w:ind w:firstLine="480"/>
        <w:jc w:val="both"/>
      </w:pPr>
      <w:r>
        <w:t>Smart grid evolution, including distribution automation, advanced metering, and microgrid deployment, creates opportunities for deeper integration of data centers with the electricity system. Vehicle-to-Grid (V2G) technology, which enables electric vehicle batteries to serve as distributed storage resources, could reduce the need for dedicated data center battery storage by 30 to 50 percent in scenarios where data centers co-locate with EV charging infrastructure [219]. District energy systems, sharing thermal energy between data centers and adjacent buildings, improve overall energy efficiency through waste heat recovery and thermal load diversity. Community microgrids, where data centers share renewable resources and storage with surrounding community loads, can achieve economies of scale and improve renewable utilization through load diversification [220].</w:t>
      </w:r>
    </w:p>
    <w:p w14:paraId="06C182AA" w14:textId="77777777" w:rsidR="005E30F4" w:rsidRDefault="004976D6">
      <w:pPr>
        <w:pStyle w:val="Heading2"/>
        <w:keepNext/>
      </w:pPr>
      <w:bookmarkStart w:id="95" w:name="_Toc100095"/>
      <w:r>
        <w:t>13.6 Recommendations for Future Research</w:t>
      </w:r>
      <w:bookmarkEnd w:id="95"/>
    </w:p>
    <w:p w14:paraId="48BE6CA1" w14:textId="77777777" w:rsidR="005E30F4" w:rsidRDefault="004976D6">
      <w:pPr>
        <w:spacing w:after="120"/>
        <w:ind w:firstLine="480"/>
        <w:jc w:val="both"/>
      </w:pPr>
      <w:r>
        <w:t>Near-term research priorities (1 to 5 years) include: standardization of 24/7 CFE accounting and reporting methodology; field validation of AI-based microgrid control algorithms at operational data centers; study of V2G integration with data center load shifting; and case studies documenting renewable-powered data centers achieving LCOE below $60 per MWh. Medium-term priorities (5 to 10 years) include: commercialization assessment of advanced storage technologies (solid-state batteries, iron-air, liquid air energy storage); quantification of neuromorphic computing energy efficiency improvements in practical applications; cross-sector coupling models integrating data centers with district energy systems; and grid stability analysis at 80 percent or higher renewable penetration [221].</w:t>
      </w:r>
    </w:p>
    <w:p w14:paraId="4C5A3128" w14:textId="77777777" w:rsidR="005E30F4" w:rsidRDefault="004976D6">
      <w:pPr>
        <w:spacing w:after="120"/>
        <w:ind w:firstLine="480"/>
        <w:jc w:val="both"/>
      </w:pPr>
      <w:r>
        <w:lastRenderedPageBreak/>
        <w:t xml:space="preserve">Long-term research priorities (10+ years) </w:t>
      </w:r>
      <w:proofErr w:type="gramStart"/>
      <w:r>
        <w:t>include:</w:t>
      </w:r>
      <w:proofErr w:type="gramEnd"/>
      <w:r>
        <w:t xml:space="preserve"> validation of photonic computing energy efficiency claims in practical AI workloads; assessment of the green hydrogen ecosystem for data center backup and seasonal storage; integration of quantum computing resources with classical AI infrastructure; and development of fully decentralized, AI-controlled autonomous microgrids. These research directions collectively chart a path from today's predominantly grid-dependent data centers to a future where 100 percent renewable, resilient, and economically viable AI infrastructure is the norm rather than the exception [222].</w:t>
      </w:r>
    </w:p>
    <w:p w14:paraId="3B1CAF1D" w14:textId="77777777" w:rsidR="005E30F4" w:rsidRDefault="004976D6">
      <w:pPr>
        <w:pStyle w:val="Heading1"/>
        <w:keepNext/>
      </w:pPr>
      <w:bookmarkStart w:id="96" w:name="_Toc100096"/>
      <w:r>
        <w:t>14. Conclusion and Synthesis</w:t>
      </w:r>
      <w:bookmarkEnd w:id="96"/>
    </w:p>
    <w:p w14:paraId="5676AE5F" w14:textId="77777777" w:rsidR="005E30F4" w:rsidRDefault="004976D6">
      <w:pPr>
        <w:spacing w:after="120"/>
        <w:ind w:firstLine="480"/>
        <w:jc w:val="both"/>
      </w:pPr>
      <w:r>
        <w:t>This paper has presented a comprehensive, seven-component framework for designing, deploying, and operating AI data centers powered predominantly by renewable energy sources. The framework addresses the full spectrum of technical, economic, operational, and regulatory dimensions, providing actionable guidance for data center operators, technology vendors, policymakers, and researchers.</w:t>
      </w:r>
    </w:p>
    <w:p w14:paraId="220C4D41" w14:textId="77777777" w:rsidR="005E30F4" w:rsidRDefault="004976D6">
      <w:pPr>
        <w:pStyle w:val="Heading2"/>
        <w:keepNext/>
      </w:pPr>
      <w:bookmarkStart w:id="97" w:name="_Toc100097"/>
      <w:r>
        <w:t>14.1 Key Findings</w:t>
      </w:r>
      <w:bookmarkEnd w:id="97"/>
    </w:p>
    <w:p w14:paraId="4CFC68D1" w14:textId="77777777" w:rsidR="005E30F4" w:rsidRDefault="004976D6">
      <w:pPr>
        <w:spacing w:after="120"/>
        <w:ind w:firstLine="480"/>
        <w:jc w:val="both"/>
      </w:pPr>
      <w:r>
        <w:t>The research conducted for this paper, drawing upon over 260 peer-reviewed sources, industry reports, and policy documents published between 2015 and 2025, yields several principal findings. First, renewable energy is both technically and economically feasible for AI data centers: hybrid systems combining renewable generation, battery storage, and grid backup achieve LCOE of $35 to $80 per MWh, which is competitive with or lower than grid electricity in most markets. Second, lithium-ion battery costs have declined to $108 per kWh in 2025, with stationary storage packs reaching $70 per kWh, fundamentally changing the economics of renewable time-shifting and backup power. Third, demand-side flexibility, unique to data center workloads, can reduce energy costs by 10 to 20 percent and carbon emissions by 5 to 15 percent through intelligent workload scheduling. Fourth, geographic diversification across distributed facilities can reduce storage requirements by 40 to 60 percent through spatial smoothing of renewable generation. Fifth, policy support, particularly the U.S. IRA's 30 percent ITC and accelerated depreciation provisions, significantly improves the financial viability of renewable investments, with payback periods of 5 to 10 years achievable under current incentives.</w:t>
      </w:r>
    </w:p>
    <w:p w14:paraId="0A4DE83B" w14:textId="77777777" w:rsidR="005E30F4" w:rsidRDefault="004976D6">
      <w:pPr>
        <w:pStyle w:val="Heading2"/>
        <w:keepNext/>
      </w:pPr>
      <w:bookmarkStart w:id="98" w:name="_Toc100098"/>
      <w:r>
        <w:t>14.2 Framework Summary and Validation</w:t>
      </w:r>
      <w:bookmarkEnd w:id="98"/>
    </w:p>
    <w:p w14:paraId="69D2CBCA" w14:textId="77777777" w:rsidR="005E30F4" w:rsidRDefault="004976D6">
      <w:pPr>
        <w:spacing w:after="120"/>
        <w:ind w:firstLine="480"/>
        <w:jc w:val="both"/>
      </w:pPr>
      <w:r>
        <w:t xml:space="preserve">The proposed framework's seven components, namely site assessment, technology selection, electrical integration, control strategy, demand flexibility, economic viability, and sustainability compliance, have been validated through detailed case studies of five leading </w:t>
      </w:r>
      <w:r>
        <w:lastRenderedPageBreak/>
        <w:t>technology companies (Google, Meta, Microsoft, Equinix, and Apple). The case studies confirm that all seven components are represented in current industry practice, though the level of sophistication varies across organizations. Google's approach most closely aligns with the complete framework, while other companies demonstrate strong performance in specific components (Microsoft in resilience and innovation, Equinix in economic optimization and geographic diversity, Apple in sustainability commitment). The framework's modularity enables adaptation to different facility scales, geographic regions, and organizational priorities, making it applicable across the full spectrum of data center operations from edge computing nodes to hyperscale cloud facilities.</w:t>
      </w:r>
    </w:p>
    <w:p w14:paraId="56E0F29A" w14:textId="77777777" w:rsidR="005E30F4" w:rsidRDefault="004976D6">
      <w:pPr>
        <w:pStyle w:val="Heading2"/>
        <w:keepNext/>
      </w:pPr>
      <w:bookmarkStart w:id="99" w:name="_Toc100099"/>
      <w:r>
        <w:t>14.3 Comparative Advantages</w:t>
      </w:r>
      <w:bookmarkEnd w:id="99"/>
    </w:p>
    <w:p w14:paraId="0EC7DF35" w14:textId="77777777" w:rsidR="005E30F4" w:rsidRDefault="004976D6">
      <w:pPr>
        <w:keepNext/>
        <w:spacing w:after="120"/>
        <w:jc w:val="both"/>
      </w:pPr>
      <w:r>
        <w:rPr>
          <w:b/>
          <w:bCs/>
          <w:sz w:val="20"/>
          <w:szCs w:val="20"/>
        </w:rPr>
        <w:t>Table VI: Comparative Assessment of Data Center Power Strategies</w:t>
      </w:r>
    </w:p>
    <w:tbl>
      <w:tblPr>
        <w:tblW w:w="5000" w:type="pct"/>
        <w:tblBorders>
          <w:top w:val="single" w:sz="2" w:space="0" w:color="999999"/>
          <w:left w:val="single" w:sz="4" w:space="0" w:color="auto"/>
          <w:bottom w:val="single" w:sz="2" w:space="0" w:color="999999"/>
          <w:right w:val="single" w:sz="4" w:space="0" w:color="auto"/>
          <w:insideH w:val="single" w:sz="1" w:space="0" w:color="CCCCCC"/>
          <w:insideV w:val="single" w:sz="4" w:space="0" w:color="auto"/>
        </w:tblBorders>
        <w:tblCellMar>
          <w:left w:w="10" w:type="dxa"/>
          <w:right w:w="10" w:type="dxa"/>
        </w:tblCellMar>
        <w:tblLook w:val="04A0" w:firstRow="1" w:lastRow="0" w:firstColumn="1" w:lastColumn="0" w:noHBand="0" w:noVBand="1"/>
      </w:tblPr>
      <w:tblGrid>
        <w:gridCol w:w="1932"/>
        <w:gridCol w:w="1756"/>
        <w:gridCol w:w="1404"/>
        <w:gridCol w:w="1404"/>
        <w:gridCol w:w="2282"/>
      </w:tblGrid>
      <w:tr w:rsidR="005E30F4" w14:paraId="5D1DBA2A" w14:textId="77777777">
        <w:trPr>
          <w:cantSplit/>
          <w:tblHeader/>
        </w:trPr>
        <w:tc>
          <w:tcPr>
            <w:tcW w:w="1100" w:type="pct"/>
            <w:shd w:val="clear" w:color="auto" w:fill="F1F5F9"/>
            <w:tcMar>
              <w:top w:w="60" w:type="dxa"/>
              <w:left w:w="100" w:type="dxa"/>
              <w:bottom w:w="60" w:type="dxa"/>
              <w:right w:w="100" w:type="dxa"/>
            </w:tcMar>
          </w:tcPr>
          <w:p w14:paraId="24CA9EE4" w14:textId="77777777" w:rsidR="005E30F4" w:rsidRDefault="004976D6">
            <w:pPr>
              <w:jc w:val="center"/>
            </w:pPr>
            <w:r>
              <w:rPr>
                <w:b/>
                <w:bCs/>
                <w:sz w:val="20"/>
                <w:szCs w:val="20"/>
              </w:rPr>
              <w:t>Strategy</w:t>
            </w:r>
          </w:p>
        </w:tc>
        <w:tc>
          <w:tcPr>
            <w:tcW w:w="1000" w:type="pct"/>
            <w:shd w:val="clear" w:color="auto" w:fill="F1F5F9"/>
            <w:tcMar>
              <w:top w:w="60" w:type="dxa"/>
              <w:left w:w="100" w:type="dxa"/>
              <w:bottom w:w="60" w:type="dxa"/>
              <w:right w:w="100" w:type="dxa"/>
            </w:tcMar>
          </w:tcPr>
          <w:p w14:paraId="0C3E51DF" w14:textId="77777777" w:rsidR="005E30F4" w:rsidRDefault="004976D6">
            <w:pPr>
              <w:jc w:val="center"/>
            </w:pPr>
            <w:r>
              <w:rPr>
                <w:b/>
                <w:bCs/>
                <w:sz w:val="20"/>
                <w:szCs w:val="20"/>
              </w:rPr>
              <w:t>LCOE ($/MWh)</w:t>
            </w:r>
          </w:p>
        </w:tc>
        <w:tc>
          <w:tcPr>
            <w:tcW w:w="800" w:type="pct"/>
            <w:shd w:val="clear" w:color="auto" w:fill="F1F5F9"/>
            <w:tcMar>
              <w:top w:w="60" w:type="dxa"/>
              <w:left w:w="100" w:type="dxa"/>
              <w:bottom w:w="60" w:type="dxa"/>
              <w:right w:w="100" w:type="dxa"/>
            </w:tcMar>
          </w:tcPr>
          <w:p w14:paraId="4DD77E99" w14:textId="77777777" w:rsidR="005E30F4" w:rsidRDefault="004976D6">
            <w:pPr>
              <w:jc w:val="center"/>
            </w:pPr>
            <w:r>
              <w:rPr>
                <w:b/>
                <w:bCs/>
                <w:sz w:val="20"/>
                <w:szCs w:val="20"/>
              </w:rPr>
              <w:t>Reliability</w:t>
            </w:r>
          </w:p>
        </w:tc>
        <w:tc>
          <w:tcPr>
            <w:tcW w:w="800" w:type="pct"/>
            <w:shd w:val="clear" w:color="auto" w:fill="F1F5F9"/>
            <w:tcMar>
              <w:top w:w="60" w:type="dxa"/>
              <w:left w:w="100" w:type="dxa"/>
              <w:bottom w:w="60" w:type="dxa"/>
              <w:right w:w="100" w:type="dxa"/>
            </w:tcMar>
          </w:tcPr>
          <w:p w14:paraId="5F20A253" w14:textId="77777777" w:rsidR="005E30F4" w:rsidRDefault="004976D6">
            <w:pPr>
              <w:jc w:val="center"/>
            </w:pPr>
            <w:r>
              <w:rPr>
                <w:b/>
                <w:bCs/>
                <w:sz w:val="20"/>
                <w:szCs w:val="20"/>
              </w:rPr>
              <w:t>Resilience</w:t>
            </w:r>
          </w:p>
        </w:tc>
        <w:tc>
          <w:tcPr>
            <w:tcW w:w="1300" w:type="pct"/>
            <w:shd w:val="clear" w:color="auto" w:fill="F1F5F9"/>
            <w:tcMar>
              <w:top w:w="60" w:type="dxa"/>
              <w:left w:w="100" w:type="dxa"/>
              <w:bottom w:w="60" w:type="dxa"/>
              <w:right w:w="100" w:type="dxa"/>
            </w:tcMar>
          </w:tcPr>
          <w:p w14:paraId="020035D4" w14:textId="77777777" w:rsidR="005E30F4" w:rsidRDefault="004976D6">
            <w:pPr>
              <w:jc w:val="center"/>
            </w:pPr>
            <w:r>
              <w:rPr>
                <w:b/>
                <w:bCs/>
                <w:sz w:val="20"/>
                <w:szCs w:val="20"/>
              </w:rPr>
              <w:t>Sustainability</w:t>
            </w:r>
          </w:p>
        </w:tc>
      </w:tr>
      <w:tr w:rsidR="005E30F4" w14:paraId="77838D38" w14:textId="77777777">
        <w:trPr>
          <w:cantSplit/>
        </w:trPr>
        <w:tc>
          <w:tcPr>
            <w:tcW w:w="1100" w:type="pct"/>
            <w:tcMar>
              <w:top w:w="40" w:type="dxa"/>
              <w:left w:w="100" w:type="dxa"/>
              <w:bottom w:w="40" w:type="dxa"/>
              <w:right w:w="100" w:type="dxa"/>
            </w:tcMar>
          </w:tcPr>
          <w:p w14:paraId="587BC748" w14:textId="77777777" w:rsidR="005E30F4" w:rsidRDefault="004976D6">
            <w:pPr>
              <w:jc w:val="center"/>
            </w:pPr>
            <w:r>
              <w:rPr>
                <w:sz w:val="20"/>
                <w:szCs w:val="20"/>
              </w:rPr>
              <w:t>RE + Storage + Grid</w:t>
            </w:r>
          </w:p>
        </w:tc>
        <w:tc>
          <w:tcPr>
            <w:tcW w:w="1000" w:type="pct"/>
            <w:tcMar>
              <w:top w:w="40" w:type="dxa"/>
              <w:left w:w="100" w:type="dxa"/>
              <w:bottom w:w="40" w:type="dxa"/>
              <w:right w:w="100" w:type="dxa"/>
            </w:tcMar>
          </w:tcPr>
          <w:p w14:paraId="1F9906D3" w14:textId="77777777" w:rsidR="005E30F4" w:rsidRDefault="004976D6">
            <w:pPr>
              <w:jc w:val="center"/>
            </w:pPr>
            <w:r>
              <w:rPr>
                <w:sz w:val="20"/>
                <w:szCs w:val="20"/>
              </w:rPr>
              <w:t>35-80</w:t>
            </w:r>
          </w:p>
        </w:tc>
        <w:tc>
          <w:tcPr>
            <w:tcW w:w="800" w:type="pct"/>
            <w:tcMar>
              <w:top w:w="40" w:type="dxa"/>
              <w:left w:w="100" w:type="dxa"/>
              <w:bottom w:w="40" w:type="dxa"/>
              <w:right w:w="100" w:type="dxa"/>
            </w:tcMar>
          </w:tcPr>
          <w:p w14:paraId="4CA7952F" w14:textId="77777777" w:rsidR="005E30F4" w:rsidRDefault="004976D6">
            <w:pPr>
              <w:jc w:val="center"/>
            </w:pPr>
            <w:r>
              <w:rPr>
                <w:sz w:val="20"/>
                <w:szCs w:val="20"/>
              </w:rPr>
              <w:t>99.99%+</w:t>
            </w:r>
          </w:p>
        </w:tc>
        <w:tc>
          <w:tcPr>
            <w:tcW w:w="800" w:type="pct"/>
            <w:tcMar>
              <w:top w:w="40" w:type="dxa"/>
              <w:left w:w="100" w:type="dxa"/>
              <w:bottom w:w="40" w:type="dxa"/>
              <w:right w:w="100" w:type="dxa"/>
            </w:tcMar>
          </w:tcPr>
          <w:p w14:paraId="5412FF52" w14:textId="77777777" w:rsidR="005E30F4" w:rsidRDefault="004976D6">
            <w:pPr>
              <w:jc w:val="center"/>
            </w:pPr>
            <w:r>
              <w:rPr>
                <w:sz w:val="20"/>
                <w:szCs w:val="20"/>
              </w:rPr>
              <w:t>Excellent</w:t>
            </w:r>
          </w:p>
        </w:tc>
        <w:tc>
          <w:tcPr>
            <w:tcW w:w="1300" w:type="pct"/>
            <w:tcMar>
              <w:top w:w="40" w:type="dxa"/>
              <w:left w:w="100" w:type="dxa"/>
              <w:bottom w:w="40" w:type="dxa"/>
              <w:right w:w="100" w:type="dxa"/>
            </w:tcMar>
          </w:tcPr>
          <w:p w14:paraId="77D9BF0F" w14:textId="77777777" w:rsidR="005E30F4" w:rsidRDefault="004976D6">
            <w:pPr>
              <w:jc w:val="center"/>
            </w:pPr>
            <w:r>
              <w:rPr>
                <w:sz w:val="20"/>
                <w:szCs w:val="20"/>
              </w:rPr>
              <w:t>Excellent</w:t>
            </w:r>
          </w:p>
        </w:tc>
      </w:tr>
      <w:tr w:rsidR="005E30F4" w14:paraId="2E7108A8" w14:textId="77777777">
        <w:trPr>
          <w:cantSplit/>
        </w:trPr>
        <w:tc>
          <w:tcPr>
            <w:tcW w:w="1100" w:type="pct"/>
            <w:tcMar>
              <w:top w:w="40" w:type="dxa"/>
              <w:left w:w="100" w:type="dxa"/>
              <w:bottom w:w="40" w:type="dxa"/>
              <w:right w:w="100" w:type="dxa"/>
            </w:tcMar>
          </w:tcPr>
          <w:p w14:paraId="0CCD9768" w14:textId="77777777" w:rsidR="005E30F4" w:rsidRDefault="004976D6">
            <w:pPr>
              <w:jc w:val="center"/>
            </w:pPr>
            <w:r>
              <w:rPr>
                <w:sz w:val="20"/>
                <w:szCs w:val="20"/>
              </w:rPr>
              <w:t>Grid Only</w:t>
            </w:r>
          </w:p>
        </w:tc>
        <w:tc>
          <w:tcPr>
            <w:tcW w:w="1000" w:type="pct"/>
            <w:tcMar>
              <w:top w:w="40" w:type="dxa"/>
              <w:left w:w="100" w:type="dxa"/>
              <w:bottom w:w="40" w:type="dxa"/>
              <w:right w:w="100" w:type="dxa"/>
            </w:tcMar>
          </w:tcPr>
          <w:p w14:paraId="46362036" w14:textId="77777777" w:rsidR="005E30F4" w:rsidRDefault="004976D6">
            <w:pPr>
              <w:jc w:val="center"/>
            </w:pPr>
            <w:r>
              <w:rPr>
                <w:sz w:val="20"/>
                <w:szCs w:val="20"/>
              </w:rPr>
              <w:t>70-120</w:t>
            </w:r>
          </w:p>
        </w:tc>
        <w:tc>
          <w:tcPr>
            <w:tcW w:w="800" w:type="pct"/>
            <w:tcMar>
              <w:top w:w="40" w:type="dxa"/>
              <w:left w:w="100" w:type="dxa"/>
              <w:bottom w:w="40" w:type="dxa"/>
              <w:right w:w="100" w:type="dxa"/>
            </w:tcMar>
          </w:tcPr>
          <w:p w14:paraId="257E90A2" w14:textId="77777777" w:rsidR="005E30F4" w:rsidRDefault="004976D6">
            <w:pPr>
              <w:jc w:val="center"/>
            </w:pPr>
            <w:r>
              <w:rPr>
                <w:sz w:val="20"/>
                <w:szCs w:val="20"/>
              </w:rPr>
              <w:t>Grid-dep.</w:t>
            </w:r>
          </w:p>
        </w:tc>
        <w:tc>
          <w:tcPr>
            <w:tcW w:w="800" w:type="pct"/>
            <w:tcMar>
              <w:top w:w="40" w:type="dxa"/>
              <w:left w:w="100" w:type="dxa"/>
              <w:bottom w:w="40" w:type="dxa"/>
              <w:right w:w="100" w:type="dxa"/>
            </w:tcMar>
          </w:tcPr>
          <w:p w14:paraId="037F689A" w14:textId="77777777" w:rsidR="005E30F4" w:rsidRDefault="004976D6">
            <w:pPr>
              <w:jc w:val="center"/>
            </w:pPr>
            <w:r>
              <w:rPr>
                <w:sz w:val="20"/>
                <w:szCs w:val="20"/>
              </w:rPr>
              <w:t>Poor</w:t>
            </w:r>
          </w:p>
        </w:tc>
        <w:tc>
          <w:tcPr>
            <w:tcW w:w="1300" w:type="pct"/>
            <w:tcMar>
              <w:top w:w="40" w:type="dxa"/>
              <w:left w:w="100" w:type="dxa"/>
              <w:bottom w:w="40" w:type="dxa"/>
              <w:right w:w="100" w:type="dxa"/>
            </w:tcMar>
          </w:tcPr>
          <w:p w14:paraId="49DC95F1" w14:textId="77777777" w:rsidR="005E30F4" w:rsidRDefault="004976D6">
            <w:pPr>
              <w:jc w:val="center"/>
            </w:pPr>
            <w:r>
              <w:rPr>
                <w:sz w:val="20"/>
                <w:szCs w:val="20"/>
              </w:rPr>
              <w:t>Grid-dependent</w:t>
            </w:r>
          </w:p>
        </w:tc>
      </w:tr>
      <w:tr w:rsidR="005E30F4" w14:paraId="5A2ADD5B" w14:textId="77777777">
        <w:trPr>
          <w:cantSplit/>
        </w:trPr>
        <w:tc>
          <w:tcPr>
            <w:tcW w:w="1100" w:type="pct"/>
            <w:tcMar>
              <w:top w:w="40" w:type="dxa"/>
              <w:left w:w="100" w:type="dxa"/>
              <w:bottom w:w="40" w:type="dxa"/>
              <w:right w:w="100" w:type="dxa"/>
            </w:tcMar>
          </w:tcPr>
          <w:p w14:paraId="4165E129" w14:textId="77777777" w:rsidR="005E30F4" w:rsidRDefault="004976D6">
            <w:pPr>
              <w:jc w:val="center"/>
            </w:pPr>
            <w:r>
              <w:rPr>
                <w:sz w:val="20"/>
                <w:szCs w:val="20"/>
              </w:rPr>
              <w:t>Diesel Backup</w:t>
            </w:r>
          </w:p>
        </w:tc>
        <w:tc>
          <w:tcPr>
            <w:tcW w:w="1000" w:type="pct"/>
            <w:tcMar>
              <w:top w:w="40" w:type="dxa"/>
              <w:left w:w="100" w:type="dxa"/>
              <w:bottom w:w="40" w:type="dxa"/>
              <w:right w:w="100" w:type="dxa"/>
            </w:tcMar>
          </w:tcPr>
          <w:p w14:paraId="7C7BAA59" w14:textId="77777777" w:rsidR="005E30F4" w:rsidRDefault="004976D6">
            <w:pPr>
              <w:jc w:val="center"/>
            </w:pPr>
            <w:r>
              <w:rPr>
                <w:sz w:val="20"/>
                <w:szCs w:val="20"/>
              </w:rPr>
              <w:t>80-150</w:t>
            </w:r>
          </w:p>
        </w:tc>
        <w:tc>
          <w:tcPr>
            <w:tcW w:w="800" w:type="pct"/>
            <w:tcMar>
              <w:top w:w="40" w:type="dxa"/>
              <w:left w:w="100" w:type="dxa"/>
              <w:bottom w:w="40" w:type="dxa"/>
              <w:right w:w="100" w:type="dxa"/>
            </w:tcMar>
          </w:tcPr>
          <w:p w14:paraId="2F430AF9" w14:textId="77777777" w:rsidR="005E30F4" w:rsidRDefault="004976D6">
            <w:pPr>
              <w:jc w:val="center"/>
            </w:pPr>
            <w:r>
              <w:rPr>
                <w:sz w:val="20"/>
                <w:szCs w:val="20"/>
              </w:rPr>
              <w:t>99.9%+</w:t>
            </w:r>
          </w:p>
        </w:tc>
        <w:tc>
          <w:tcPr>
            <w:tcW w:w="800" w:type="pct"/>
            <w:tcMar>
              <w:top w:w="40" w:type="dxa"/>
              <w:left w:w="100" w:type="dxa"/>
              <w:bottom w:w="40" w:type="dxa"/>
              <w:right w:w="100" w:type="dxa"/>
            </w:tcMar>
          </w:tcPr>
          <w:p w14:paraId="3A08C900" w14:textId="77777777" w:rsidR="005E30F4" w:rsidRDefault="004976D6">
            <w:pPr>
              <w:jc w:val="center"/>
            </w:pPr>
            <w:r>
              <w:rPr>
                <w:sz w:val="20"/>
                <w:szCs w:val="20"/>
              </w:rPr>
              <w:t>Good</w:t>
            </w:r>
          </w:p>
        </w:tc>
        <w:tc>
          <w:tcPr>
            <w:tcW w:w="1300" w:type="pct"/>
            <w:tcMar>
              <w:top w:w="40" w:type="dxa"/>
              <w:left w:w="100" w:type="dxa"/>
              <w:bottom w:w="40" w:type="dxa"/>
              <w:right w:w="100" w:type="dxa"/>
            </w:tcMar>
          </w:tcPr>
          <w:p w14:paraId="7E13D6F8" w14:textId="77777777" w:rsidR="005E30F4" w:rsidRDefault="004976D6">
            <w:pPr>
              <w:jc w:val="center"/>
            </w:pPr>
            <w:r>
              <w:rPr>
                <w:sz w:val="20"/>
                <w:szCs w:val="20"/>
              </w:rPr>
              <w:t>Poor (local emissions)</w:t>
            </w:r>
          </w:p>
        </w:tc>
      </w:tr>
      <w:tr w:rsidR="005E30F4" w14:paraId="2CCE2406" w14:textId="77777777">
        <w:trPr>
          <w:cantSplit/>
        </w:trPr>
        <w:tc>
          <w:tcPr>
            <w:tcW w:w="1100" w:type="pct"/>
            <w:tcMar>
              <w:top w:w="40" w:type="dxa"/>
              <w:left w:w="100" w:type="dxa"/>
              <w:bottom w:w="40" w:type="dxa"/>
              <w:right w:w="100" w:type="dxa"/>
            </w:tcMar>
          </w:tcPr>
          <w:p w14:paraId="397AD03D" w14:textId="77777777" w:rsidR="005E30F4" w:rsidRDefault="004976D6">
            <w:pPr>
              <w:jc w:val="center"/>
            </w:pPr>
            <w:r>
              <w:rPr>
                <w:sz w:val="20"/>
                <w:szCs w:val="20"/>
              </w:rPr>
              <w:t>Nuclear (SMR)</w:t>
            </w:r>
          </w:p>
        </w:tc>
        <w:tc>
          <w:tcPr>
            <w:tcW w:w="1000" w:type="pct"/>
            <w:tcMar>
              <w:top w:w="40" w:type="dxa"/>
              <w:left w:w="100" w:type="dxa"/>
              <w:bottom w:w="40" w:type="dxa"/>
              <w:right w:w="100" w:type="dxa"/>
            </w:tcMar>
          </w:tcPr>
          <w:p w14:paraId="37938861" w14:textId="77777777" w:rsidR="005E30F4" w:rsidRDefault="004976D6">
            <w:pPr>
              <w:jc w:val="center"/>
            </w:pPr>
            <w:r>
              <w:rPr>
                <w:sz w:val="20"/>
                <w:szCs w:val="20"/>
              </w:rPr>
              <w:t>60-100</w:t>
            </w:r>
          </w:p>
        </w:tc>
        <w:tc>
          <w:tcPr>
            <w:tcW w:w="800" w:type="pct"/>
            <w:tcMar>
              <w:top w:w="40" w:type="dxa"/>
              <w:left w:w="100" w:type="dxa"/>
              <w:bottom w:w="40" w:type="dxa"/>
              <w:right w:w="100" w:type="dxa"/>
            </w:tcMar>
          </w:tcPr>
          <w:p w14:paraId="31E3D15F" w14:textId="77777777" w:rsidR="005E30F4" w:rsidRDefault="004976D6">
            <w:pPr>
              <w:jc w:val="center"/>
            </w:pPr>
            <w:r>
              <w:rPr>
                <w:sz w:val="20"/>
                <w:szCs w:val="20"/>
              </w:rPr>
              <w:t>Excellent</w:t>
            </w:r>
          </w:p>
        </w:tc>
        <w:tc>
          <w:tcPr>
            <w:tcW w:w="800" w:type="pct"/>
            <w:tcMar>
              <w:top w:w="40" w:type="dxa"/>
              <w:left w:w="100" w:type="dxa"/>
              <w:bottom w:w="40" w:type="dxa"/>
              <w:right w:w="100" w:type="dxa"/>
            </w:tcMar>
          </w:tcPr>
          <w:p w14:paraId="0BE40514" w14:textId="77777777" w:rsidR="005E30F4" w:rsidRDefault="004976D6">
            <w:pPr>
              <w:jc w:val="center"/>
            </w:pPr>
            <w:r>
              <w:rPr>
                <w:sz w:val="20"/>
                <w:szCs w:val="20"/>
              </w:rPr>
              <w:t>Good</w:t>
            </w:r>
          </w:p>
        </w:tc>
        <w:tc>
          <w:tcPr>
            <w:tcW w:w="1300" w:type="pct"/>
            <w:tcMar>
              <w:top w:w="40" w:type="dxa"/>
              <w:left w:w="100" w:type="dxa"/>
              <w:bottom w:w="40" w:type="dxa"/>
              <w:right w:w="100" w:type="dxa"/>
            </w:tcMar>
          </w:tcPr>
          <w:p w14:paraId="45A38265" w14:textId="77777777" w:rsidR="005E30F4" w:rsidRDefault="004976D6">
            <w:pPr>
              <w:jc w:val="center"/>
            </w:pPr>
            <w:r>
              <w:rPr>
                <w:sz w:val="20"/>
                <w:szCs w:val="20"/>
              </w:rPr>
              <w:t>Good (</w:t>
            </w:r>
            <w:proofErr w:type="gramStart"/>
            <w:r>
              <w:rPr>
                <w:sz w:val="20"/>
                <w:szCs w:val="20"/>
              </w:rPr>
              <w:t>low-carbon</w:t>
            </w:r>
            <w:proofErr w:type="gramEnd"/>
            <w:r>
              <w:rPr>
                <w:sz w:val="20"/>
                <w:szCs w:val="20"/>
              </w:rPr>
              <w:t>)</w:t>
            </w:r>
          </w:p>
        </w:tc>
      </w:tr>
      <w:tr w:rsidR="005E30F4" w14:paraId="1285D587" w14:textId="77777777">
        <w:trPr>
          <w:cantSplit/>
        </w:trPr>
        <w:tc>
          <w:tcPr>
            <w:tcW w:w="1100" w:type="pct"/>
            <w:tcMar>
              <w:top w:w="40" w:type="dxa"/>
              <w:left w:w="100" w:type="dxa"/>
              <w:bottom w:w="40" w:type="dxa"/>
              <w:right w:w="100" w:type="dxa"/>
            </w:tcMar>
          </w:tcPr>
          <w:p w14:paraId="7B48D105" w14:textId="77777777" w:rsidR="005E30F4" w:rsidRDefault="004976D6">
            <w:pPr>
              <w:jc w:val="center"/>
            </w:pPr>
            <w:r>
              <w:rPr>
                <w:sz w:val="20"/>
                <w:szCs w:val="20"/>
              </w:rPr>
              <w:t>H2 Fuel Cell</w:t>
            </w:r>
          </w:p>
        </w:tc>
        <w:tc>
          <w:tcPr>
            <w:tcW w:w="1000" w:type="pct"/>
            <w:tcMar>
              <w:top w:w="40" w:type="dxa"/>
              <w:left w:w="100" w:type="dxa"/>
              <w:bottom w:w="40" w:type="dxa"/>
              <w:right w:w="100" w:type="dxa"/>
            </w:tcMar>
          </w:tcPr>
          <w:p w14:paraId="33879AAA" w14:textId="77777777" w:rsidR="005E30F4" w:rsidRDefault="004976D6">
            <w:pPr>
              <w:jc w:val="center"/>
            </w:pPr>
            <w:r>
              <w:rPr>
                <w:sz w:val="20"/>
                <w:szCs w:val="20"/>
              </w:rPr>
              <w:t>150-250</w:t>
            </w:r>
          </w:p>
        </w:tc>
        <w:tc>
          <w:tcPr>
            <w:tcW w:w="800" w:type="pct"/>
            <w:tcMar>
              <w:top w:w="40" w:type="dxa"/>
              <w:left w:w="100" w:type="dxa"/>
              <w:bottom w:w="40" w:type="dxa"/>
              <w:right w:w="100" w:type="dxa"/>
            </w:tcMar>
          </w:tcPr>
          <w:p w14:paraId="74452A52" w14:textId="77777777" w:rsidR="005E30F4" w:rsidRDefault="004976D6">
            <w:pPr>
              <w:jc w:val="center"/>
            </w:pPr>
            <w:r>
              <w:rPr>
                <w:sz w:val="20"/>
                <w:szCs w:val="20"/>
              </w:rPr>
              <w:t>Good</w:t>
            </w:r>
          </w:p>
        </w:tc>
        <w:tc>
          <w:tcPr>
            <w:tcW w:w="800" w:type="pct"/>
            <w:tcMar>
              <w:top w:w="40" w:type="dxa"/>
              <w:left w:w="100" w:type="dxa"/>
              <w:bottom w:w="40" w:type="dxa"/>
              <w:right w:w="100" w:type="dxa"/>
            </w:tcMar>
          </w:tcPr>
          <w:p w14:paraId="1C757F55" w14:textId="77777777" w:rsidR="005E30F4" w:rsidRDefault="004976D6">
            <w:pPr>
              <w:jc w:val="center"/>
            </w:pPr>
            <w:r>
              <w:rPr>
                <w:sz w:val="20"/>
                <w:szCs w:val="20"/>
              </w:rPr>
              <w:t>Excellent</w:t>
            </w:r>
          </w:p>
        </w:tc>
        <w:tc>
          <w:tcPr>
            <w:tcW w:w="1300" w:type="pct"/>
            <w:tcMar>
              <w:top w:w="40" w:type="dxa"/>
              <w:left w:w="100" w:type="dxa"/>
              <w:bottom w:w="40" w:type="dxa"/>
              <w:right w:w="100" w:type="dxa"/>
            </w:tcMar>
          </w:tcPr>
          <w:p w14:paraId="62A296F3" w14:textId="77777777" w:rsidR="005E30F4" w:rsidRDefault="004976D6">
            <w:pPr>
              <w:jc w:val="center"/>
            </w:pPr>
            <w:r>
              <w:rPr>
                <w:sz w:val="20"/>
                <w:szCs w:val="20"/>
              </w:rPr>
              <w:t>Excellent</w:t>
            </w:r>
          </w:p>
        </w:tc>
      </w:tr>
    </w:tbl>
    <w:p w14:paraId="335D4913" w14:textId="77777777" w:rsidR="005E30F4" w:rsidRDefault="004976D6">
      <w:pPr>
        <w:spacing w:after="120"/>
        <w:ind w:firstLine="480"/>
        <w:jc w:val="both"/>
      </w:pPr>
      <w:r>
        <w:t>The comparative analysis demonstrates that the hybrid renewable-storage-grid strategy offers the best combination of cost competitiveness, reliability, resilience, and sustainability. While no single strategy dominates on all dimensions, the hybrid approach achieves a favorable balance that aligns with the multi-objective requirements of modern AI data center operations.</w:t>
      </w:r>
    </w:p>
    <w:p w14:paraId="1CC93E1D" w14:textId="77777777" w:rsidR="005E30F4" w:rsidRDefault="004976D6">
      <w:pPr>
        <w:pStyle w:val="Heading2"/>
        <w:keepNext/>
      </w:pPr>
      <w:bookmarkStart w:id="100" w:name="_Toc100100"/>
      <w:r>
        <w:t>14.4 Implementation Pathway and Timeline</w:t>
      </w:r>
      <w:bookmarkEnd w:id="100"/>
    </w:p>
    <w:p w14:paraId="6F609AB3" w14:textId="77777777" w:rsidR="005E30F4" w:rsidRDefault="004976D6">
      <w:pPr>
        <w:keepNext/>
        <w:spacing w:before="200" w:after="100"/>
        <w:jc w:val="center"/>
      </w:pPr>
      <w:r>
        <w:rPr>
          <w:noProof/>
        </w:rPr>
        <w:drawing>
          <wp:inline distT="0" distB="0" distL="0" distR="0" wp14:anchorId="632725CF" wp14:editId="6FE27174">
            <wp:extent cx="4381500" cy="2190750"/>
            <wp:effectExtent l="0" t="0" r="0" b="0"/>
            <wp:docPr id="15984989" name="Picture 15984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81500" cy="2190750"/>
                    </a:xfrm>
                    <a:prstGeom prst="rect">
                      <a:avLst/>
                    </a:prstGeom>
                  </pic:spPr>
                </pic:pic>
              </a:graphicData>
            </a:graphic>
          </wp:inline>
        </w:drawing>
      </w:r>
    </w:p>
    <w:p w14:paraId="681BBFC2" w14:textId="77777777" w:rsidR="005E30F4" w:rsidRDefault="004976D6">
      <w:pPr>
        <w:spacing w:after="200"/>
        <w:jc w:val="center"/>
      </w:pPr>
      <w:r>
        <w:rPr>
          <w:i/>
          <w:iCs/>
          <w:color w:val="333333"/>
          <w:sz w:val="20"/>
          <w:szCs w:val="20"/>
        </w:rPr>
        <w:t>Fig. 10. Implementation roadmap for renewable-powered AI data centers (2024-2045).</w:t>
      </w:r>
    </w:p>
    <w:p w14:paraId="0B9863B3" w14:textId="77777777" w:rsidR="005E30F4" w:rsidRDefault="004976D6">
      <w:pPr>
        <w:spacing w:after="120"/>
        <w:ind w:firstLine="480"/>
        <w:jc w:val="both"/>
      </w:pPr>
      <w:r>
        <w:lastRenderedPageBreak/>
        <w:t>The proposed implementation pathway follows four phases. Phase 1 (2024-2026) focuses on demonstration projects that prove the concept and refine the framework through real-world deployment. Phase 2 (2027-2030) targets commercial deployment, with 30 to 50 percent of new data center capacity incorporating significant renewable integration. Phase 3 (2031-2035) anticipates 70 percent or more of new capacity being renewable-powered, with cost parity achieved in most markets as battery costs decline below $60 per kWh and solar/wind LCOE reaches $20 to $30 per MWh. Phase 4 (2036-2045) projects that 100 percent renewable mainstream operation will be achievable, supported by mature hydrogen backup systems, advanced long-duration storage, and AI-driven autonomous microgrid control.</w:t>
      </w:r>
    </w:p>
    <w:p w14:paraId="703584EB" w14:textId="77777777" w:rsidR="005E30F4" w:rsidRDefault="004976D6">
      <w:pPr>
        <w:pStyle w:val="Heading2"/>
        <w:keepNext/>
      </w:pPr>
      <w:bookmarkStart w:id="101" w:name="_Toc100101"/>
      <w:r>
        <w:t>14.5 Stakeholder Recommendations</w:t>
      </w:r>
      <w:bookmarkEnd w:id="101"/>
    </w:p>
    <w:p w14:paraId="503922BB" w14:textId="77777777" w:rsidR="005E30F4" w:rsidRDefault="004976D6">
      <w:pPr>
        <w:spacing w:after="120"/>
        <w:ind w:firstLine="480"/>
        <w:jc w:val="both"/>
      </w:pPr>
      <w:r>
        <w:t>Data center operators are recommended to: (1) conduct comprehensive renewable energy assessments at each facility, evaluating on-site generation, PPA opportunities, and storage options; (2) develop multi-year renewable procurement strategies aligned with corporate sustainability goals; (3) invest in advanced EMS, forecasting, and demand-side management capabilities; and (4) pursue third-party sustainability certifications (LEED, ISO 50001, SBTi) to demonstrate environmental leadership. Technology vendors should: (1) continue rapid cost reduction for battery storage, targeting $60 per kWh by 2030; (2) develop integrated EMS platforms that seamlessly manage renewable, storage, and load resources; (3) advance hydrogen production and fuel cell technology toward cost competitiveness; and (4) actively contribute to standards development (IEEE 1547, IEEE 2800) that enable higher renewable penetration [223].</w:t>
      </w:r>
    </w:p>
    <w:p w14:paraId="3AF64769" w14:textId="77777777" w:rsidR="005E30F4" w:rsidRDefault="004976D6">
      <w:pPr>
        <w:spacing w:after="120"/>
        <w:ind w:firstLine="480"/>
        <w:jc w:val="both"/>
      </w:pPr>
      <w:r>
        <w:t>Policymakers should: (1) continue to streamline interconnection procedures following the FERC Order 2023 model; (2) maintain and expand renewable energy tax credits (ITC and PTC) to provide investment certainty; (3) support grid modernization through investment in transmission infrastructure, distribution automation, and advanced metering; and (4) develop transparent and standardized carbon accounting methodology, particularly for 24/7 CFE matching [224]. Researchers should: (1) advance machine learning for renewable forecasting and microgrid control; (2) develop affordable long-duration storage technologies; (3) model grid stability at high renewable penetration levels (above 80 percent); and (4) quantify the resilience value of distributed renewable energy systems [225].</w:t>
      </w:r>
    </w:p>
    <w:p w14:paraId="151E5B11" w14:textId="77777777" w:rsidR="005E30F4" w:rsidRDefault="004976D6">
      <w:pPr>
        <w:pStyle w:val="Heading2"/>
        <w:keepNext/>
      </w:pPr>
      <w:bookmarkStart w:id="102" w:name="_Toc100102"/>
      <w:r>
        <w:t>14.6 Vision for 2035-2045</w:t>
      </w:r>
      <w:bookmarkEnd w:id="102"/>
    </w:p>
    <w:p w14:paraId="48985F6F" w14:textId="77777777" w:rsidR="005E30F4" w:rsidRDefault="004976D6">
      <w:pPr>
        <w:spacing w:after="120"/>
        <w:ind w:firstLine="480"/>
        <w:jc w:val="both"/>
      </w:pPr>
      <w:r>
        <w:t xml:space="preserve">Looking toward the next two decades, the convergence of declining renewable energy costs, advancing storage technologies, maturing AI-driven control systems, and strengthening policy support creates a clear trajectory toward fully sustainable AI infrastructure. By 2035, it is projected that 70 percent or more of data center electricity will </w:t>
      </w:r>
      <w:r>
        <w:lastRenderedPageBreak/>
        <w:t>come from renewable sources, with cost parity between renewable and grid electricity achieved in most regions. By 2040, hydrogen fuel cells are expected to reach cost competitiveness for long-duration backup applications, and advanced storage technologies (solid-state batteries, iron-air, liquid air) will provide economical options for seasonal energy shifting. By 2045, 100 percent renewable, resilient, and economically viable AI data center operations should be achievable as a mainstream standard, with data centers serving as active grid-stabilizing resources that enhance the overall reliability and sustainability of the electricity system. The framework presented in this paper provides the roadmap for this transformation, offering a practical, validated methodology for navigating the complex technical, economic, and regulatory landscape of renewable-powered AI data center design and operation.</w:t>
      </w:r>
    </w:p>
    <w:p w14:paraId="18921160" w14:textId="77777777" w:rsidR="005E30F4" w:rsidRDefault="004976D6">
      <w:pPr>
        <w:pStyle w:val="Heading1"/>
        <w:keepNext/>
      </w:pPr>
      <w:bookmarkStart w:id="103" w:name="_Toc100103"/>
      <w:r>
        <w:t>References</w:t>
      </w:r>
      <w:bookmarkEnd w:id="103"/>
    </w:p>
    <w:p w14:paraId="36B14081" w14:textId="77777777" w:rsidR="005E30F4" w:rsidRDefault="004976D6">
      <w:pPr>
        <w:spacing w:after="120"/>
        <w:jc w:val="both"/>
      </w:pPr>
      <w:r>
        <w:rPr>
          <w:sz w:val="18"/>
          <w:szCs w:val="18"/>
          <w:vertAlign w:val="superscript"/>
        </w:rPr>
        <w:t xml:space="preserve">[] </w:t>
      </w:r>
      <w:r>
        <w:rPr>
          <w:sz w:val="22"/>
          <w:szCs w:val="22"/>
        </w:rPr>
        <w:t>IEA, "Data Centres and Data Transmission Networks," 2024. [Online]. Available: https://www.iea.org/energy-system/buildings/data-centres-and-data-transmission-networks</w:t>
      </w:r>
    </w:p>
    <w:p w14:paraId="49046A48" w14:textId="77777777" w:rsidR="005E30F4" w:rsidRDefault="004976D6">
      <w:pPr>
        <w:spacing w:after="120"/>
        <w:jc w:val="both"/>
      </w:pPr>
      <w:r>
        <w:rPr>
          <w:sz w:val="18"/>
          <w:szCs w:val="18"/>
          <w:vertAlign w:val="superscript"/>
        </w:rPr>
        <w:t xml:space="preserve">[] </w:t>
      </w:r>
      <w:r>
        <w:rPr>
          <w:sz w:val="22"/>
          <w:szCs w:val="22"/>
        </w:rPr>
        <w:t>A. Shehabi et al., "2024 United States Data Center Energy Usage Report," LBNL, Dec. 2024.</w:t>
      </w:r>
    </w:p>
    <w:p w14:paraId="496E28B1" w14:textId="77777777" w:rsidR="005E30F4" w:rsidRDefault="004976D6">
      <w:pPr>
        <w:spacing w:after="120"/>
        <w:jc w:val="both"/>
      </w:pPr>
      <w:r>
        <w:rPr>
          <w:sz w:val="18"/>
          <w:szCs w:val="18"/>
          <w:vertAlign w:val="superscript"/>
        </w:rPr>
        <w:t xml:space="preserve">[] </w:t>
      </w:r>
      <w:r>
        <w:rPr>
          <w:sz w:val="22"/>
          <w:szCs w:val="22"/>
        </w:rPr>
        <w:t>IEA, "Energy and AI," Paris, 2025. [Online]. Available: https://www.iea.org/reports/energy-and-ai</w:t>
      </w:r>
    </w:p>
    <w:p w14:paraId="221BF4A8" w14:textId="77777777" w:rsidR="005E30F4" w:rsidRDefault="004976D6">
      <w:pPr>
        <w:spacing w:after="120"/>
        <w:jc w:val="both"/>
      </w:pPr>
      <w:r>
        <w:rPr>
          <w:sz w:val="18"/>
          <w:szCs w:val="18"/>
          <w:vertAlign w:val="superscript"/>
        </w:rPr>
        <w:t xml:space="preserve">[] </w:t>
      </w:r>
      <w:r>
        <w:rPr>
          <w:sz w:val="22"/>
          <w:szCs w:val="22"/>
        </w:rPr>
        <w:t>D. A. Patterson et al., "Carbon emissions and large neural network training," arXiv:2104.10350, 2021.</w:t>
      </w:r>
    </w:p>
    <w:p w14:paraId="25858928" w14:textId="77777777" w:rsidR="005E30F4" w:rsidRDefault="004976D6">
      <w:pPr>
        <w:spacing w:after="120"/>
        <w:jc w:val="both"/>
      </w:pPr>
      <w:r>
        <w:rPr>
          <w:sz w:val="18"/>
          <w:szCs w:val="18"/>
          <w:vertAlign w:val="superscript"/>
        </w:rPr>
        <w:t xml:space="preserve">[] </w:t>
      </w:r>
      <w:r>
        <w:rPr>
          <w:sz w:val="22"/>
          <w:szCs w:val="22"/>
        </w:rPr>
        <w:t xml:space="preserve">E. </w:t>
      </w:r>
      <w:proofErr w:type="spellStart"/>
      <w:r>
        <w:rPr>
          <w:sz w:val="22"/>
          <w:szCs w:val="22"/>
        </w:rPr>
        <w:t>Strubell</w:t>
      </w:r>
      <w:proofErr w:type="spellEnd"/>
      <w:r>
        <w:rPr>
          <w:sz w:val="22"/>
          <w:szCs w:val="22"/>
        </w:rPr>
        <w:t>, A. Ganesh, and I. McCallum, "Energy and policy considerations for deep learning in NLP," in Proc. 57th ACL, 2019.</w:t>
      </w:r>
    </w:p>
    <w:p w14:paraId="0EEB78E2" w14:textId="77777777" w:rsidR="005E30F4" w:rsidRDefault="004976D6">
      <w:pPr>
        <w:spacing w:after="120"/>
        <w:jc w:val="both"/>
      </w:pPr>
      <w:r>
        <w:rPr>
          <w:sz w:val="18"/>
          <w:szCs w:val="18"/>
          <w:vertAlign w:val="superscript"/>
        </w:rPr>
        <w:t xml:space="preserve">[] </w:t>
      </w:r>
      <w:r>
        <w:rPr>
          <w:sz w:val="22"/>
          <w:szCs w:val="22"/>
        </w:rPr>
        <w:t xml:space="preserve">S. Luccioni et al., "Estimating the carbon footprint of BLOOM," in Proc. ACM </w:t>
      </w:r>
      <w:proofErr w:type="spellStart"/>
      <w:r>
        <w:rPr>
          <w:sz w:val="22"/>
          <w:szCs w:val="22"/>
        </w:rPr>
        <w:t>FAccT</w:t>
      </w:r>
      <w:proofErr w:type="spellEnd"/>
      <w:r>
        <w:rPr>
          <w:sz w:val="22"/>
          <w:szCs w:val="22"/>
        </w:rPr>
        <w:t>, 2022.</w:t>
      </w:r>
    </w:p>
    <w:p w14:paraId="7A893629" w14:textId="77777777" w:rsidR="005E30F4" w:rsidRDefault="004976D6">
      <w:pPr>
        <w:spacing w:after="120"/>
        <w:jc w:val="both"/>
      </w:pPr>
      <w:r>
        <w:rPr>
          <w:sz w:val="18"/>
          <w:szCs w:val="18"/>
          <w:vertAlign w:val="superscript"/>
        </w:rPr>
        <w:t xml:space="preserve">[] </w:t>
      </w:r>
      <w:r>
        <w:rPr>
          <w:sz w:val="22"/>
          <w:szCs w:val="22"/>
        </w:rPr>
        <w:t>L. Li, "Eco-friendly large language models," arXiv:2310.00673, 2023.</w:t>
      </w:r>
    </w:p>
    <w:p w14:paraId="7CEFCEB5" w14:textId="77777777" w:rsidR="005E30F4" w:rsidRDefault="004976D6">
      <w:pPr>
        <w:spacing w:after="120"/>
        <w:jc w:val="both"/>
      </w:pPr>
      <w:r>
        <w:rPr>
          <w:sz w:val="18"/>
          <w:szCs w:val="18"/>
          <w:vertAlign w:val="superscript"/>
        </w:rPr>
        <w:t xml:space="preserve">[] </w:t>
      </w:r>
      <w:r>
        <w:rPr>
          <w:sz w:val="22"/>
          <w:szCs w:val="22"/>
        </w:rPr>
        <w:t>Goldman Sachs Research, "AI to drive 165% increase in data center power demand," Feb. 2025.</w:t>
      </w:r>
    </w:p>
    <w:p w14:paraId="16D9F3DC" w14:textId="77777777" w:rsidR="005E30F4" w:rsidRDefault="004976D6">
      <w:pPr>
        <w:spacing w:after="120"/>
        <w:jc w:val="both"/>
      </w:pPr>
      <w:r>
        <w:rPr>
          <w:sz w:val="18"/>
          <w:szCs w:val="18"/>
          <w:vertAlign w:val="superscript"/>
        </w:rPr>
        <w:t xml:space="preserve">[] </w:t>
      </w:r>
      <w:r>
        <w:rPr>
          <w:sz w:val="22"/>
          <w:szCs w:val="22"/>
        </w:rPr>
        <w:t>Uptime Institute, Global Data Center Survey 2024.</w:t>
      </w:r>
    </w:p>
    <w:p w14:paraId="426D0D5F" w14:textId="77777777" w:rsidR="005E30F4" w:rsidRDefault="004976D6">
      <w:pPr>
        <w:spacing w:after="120"/>
        <w:jc w:val="both"/>
      </w:pPr>
      <w:r>
        <w:rPr>
          <w:sz w:val="18"/>
          <w:szCs w:val="18"/>
          <w:vertAlign w:val="superscript"/>
        </w:rPr>
        <w:t xml:space="preserve">[] </w:t>
      </w:r>
      <w:r>
        <w:rPr>
          <w:sz w:val="22"/>
          <w:szCs w:val="22"/>
        </w:rPr>
        <w:t>NVIDIA, "H100 Tensor Core GPU Architecture," White Paper, Mar. 2024.</w:t>
      </w:r>
    </w:p>
    <w:p w14:paraId="6CA6D62B" w14:textId="77777777" w:rsidR="005E30F4" w:rsidRDefault="004976D6">
      <w:pPr>
        <w:spacing w:after="120"/>
        <w:jc w:val="both"/>
      </w:pPr>
      <w:r>
        <w:rPr>
          <w:sz w:val="18"/>
          <w:szCs w:val="18"/>
          <w:vertAlign w:val="superscript"/>
        </w:rPr>
        <w:t xml:space="preserve">[] </w:t>
      </w:r>
      <w:r>
        <w:rPr>
          <w:sz w:val="22"/>
          <w:szCs w:val="22"/>
        </w:rPr>
        <w:t>IPCC, "Climate Change 2023: Synthesis Report," 2023.</w:t>
      </w:r>
    </w:p>
    <w:p w14:paraId="57731599" w14:textId="77777777" w:rsidR="005E30F4" w:rsidRDefault="004976D6">
      <w:pPr>
        <w:spacing w:after="120"/>
        <w:jc w:val="both"/>
      </w:pPr>
      <w:r>
        <w:rPr>
          <w:sz w:val="18"/>
          <w:szCs w:val="18"/>
          <w:vertAlign w:val="superscript"/>
        </w:rPr>
        <w:t xml:space="preserve">[] </w:t>
      </w:r>
      <w:r>
        <w:rPr>
          <w:sz w:val="22"/>
          <w:szCs w:val="22"/>
        </w:rPr>
        <w:t>Google, "Operating sustainably," 2024. [Online]. Available: https://datacenters.google/operating-sustainably</w:t>
      </w:r>
    </w:p>
    <w:p w14:paraId="751070A9" w14:textId="77777777" w:rsidR="005E30F4" w:rsidRDefault="004976D6">
      <w:pPr>
        <w:spacing w:after="120"/>
        <w:jc w:val="both"/>
      </w:pPr>
      <w:r>
        <w:rPr>
          <w:sz w:val="18"/>
          <w:szCs w:val="18"/>
          <w:vertAlign w:val="superscript"/>
        </w:rPr>
        <w:t xml:space="preserve">[] </w:t>
      </w:r>
      <w:r>
        <w:rPr>
          <w:sz w:val="22"/>
          <w:szCs w:val="22"/>
        </w:rPr>
        <w:t>NREL, "Spring 2025 Solar Industry Update," NREL/TP-7A40-95135, 2025.</w:t>
      </w:r>
    </w:p>
    <w:p w14:paraId="12BEFAAF" w14:textId="77777777" w:rsidR="005E30F4" w:rsidRDefault="004976D6">
      <w:pPr>
        <w:spacing w:after="120"/>
        <w:jc w:val="both"/>
      </w:pPr>
      <w:r>
        <w:rPr>
          <w:sz w:val="18"/>
          <w:szCs w:val="18"/>
          <w:vertAlign w:val="superscript"/>
        </w:rPr>
        <w:t xml:space="preserve">[] </w:t>
      </w:r>
      <w:r>
        <w:rPr>
          <w:sz w:val="22"/>
          <w:szCs w:val="22"/>
        </w:rPr>
        <w:t>IRENA, "Renewable Power Generation Costs in 2023," Sep. 2024.</w:t>
      </w:r>
    </w:p>
    <w:p w14:paraId="43A3C5A5" w14:textId="77777777" w:rsidR="005E30F4" w:rsidRDefault="004976D6">
      <w:pPr>
        <w:spacing w:after="120"/>
        <w:jc w:val="both"/>
      </w:pPr>
      <w:r>
        <w:rPr>
          <w:sz w:val="18"/>
          <w:szCs w:val="18"/>
          <w:vertAlign w:val="superscript"/>
        </w:rPr>
        <w:t xml:space="preserve">[] </w:t>
      </w:r>
      <w:r>
        <w:rPr>
          <w:sz w:val="22"/>
          <w:szCs w:val="22"/>
        </w:rPr>
        <w:t>IEA, "Wind - Energy System Outlook," 2024. [Online]. Available: https://www.iea.org/energy-system/renewables/wind</w:t>
      </w:r>
    </w:p>
    <w:p w14:paraId="7CE21C03" w14:textId="77777777" w:rsidR="005E30F4" w:rsidRDefault="004976D6">
      <w:pPr>
        <w:spacing w:after="120"/>
        <w:jc w:val="both"/>
      </w:pPr>
      <w:r>
        <w:rPr>
          <w:sz w:val="18"/>
          <w:szCs w:val="18"/>
          <w:vertAlign w:val="superscript"/>
        </w:rPr>
        <w:t xml:space="preserve">[] </w:t>
      </w:r>
      <w:r>
        <w:rPr>
          <w:sz w:val="22"/>
          <w:szCs w:val="22"/>
        </w:rPr>
        <w:t>IRENA, "Renewable Power Generation Costs in 2024," Jul. 2025.</w:t>
      </w:r>
    </w:p>
    <w:p w14:paraId="09598D76" w14:textId="77777777" w:rsidR="005E30F4" w:rsidRDefault="004976D6">
      <w:pPr>
        <w:spacing w:after="120"/>
        <w:jc w:val="both"/>
      </w:pPr>
      <w:r>
        <w:rPr>
          <w:sz w:val="18"/>
          <w:szCs w:val="18"/>
          <w:vertAlign w:val="superscript"/>
        </w:rPr>
        <w:lastRenderedPageBreak/>
        <w:t xml:space="preserve">[] </w:t>
      </w:r>
      <w:proofErr w:type="spellStart"/>
      <w:r>
        <w:rPr>
          <w:sz w:val="22"/>
          <w:szCs w:val="22"/>
        </w:rPr>
        <w:t>BloombergNEF</w:t>
      </w:r>
      <w:proofErr w:type="spellEnd"/>
      <w:r>
        <w:rPr>
          <w:sz w:val="22"/>
          <w:szCs w:val="22"/>
        </w:rPr>
        <w:t>, "Lithium-Ion Battery Pack Prices Fall to $108/kWh," Dec. 2025.</w:t>
      </w:r>
    </w:p>
    <w:p w14:paraId="4B94B0C6" w14:textId="77777777" w:rsidR="005E30F4" w:rsidRDefault="004976D6">
      <w:pPr>
        <w:spacing w:after="120"/>
        <w:jc w:val="both"/>
      </w:pPr>
      <w:r>
        <w:rPr>
          <w:sz w:val="18"/>
          <w:szCs w:val="18"/>
          <w:vertAlign w:val="superscript"/>
        </w:rPr>
        <w:t xml:space="preserve">[] </w:t>
      </w:r>
      <w:r>
        <w:rPr>
          <w:sz w:val="22"/>
          <w:szCs w:val="22"/>
        </w:rPr>
        <w:t xml:space="preserve">J. </w:t>
      </w:r>
      <w:proofErr w:type="spellStart"/>
      <w:r>
        <w:rPr>
          <w:sz w:val="22"/>
          <w:szCs w:val="22"/>
        </w:rPr>
        <w:t>Rocabert</w:t>
      </w:r>
      <w:proofErr w:type="spellEnd"/>
      <w:r>
        <w:rPr>
          <w:sz w:val="22"/>
          <w:szCs w:val="22"/>
        </w:rPr>
        <w:t xml:space="preserve"> et al., "Grid-forming inverters," IEEE Trans. Power Syst., 2022.</w:t>
      </w:r>
    </w:p>
    <w:p w14:paraId="224E6BA8" w14:textId="77777777" w:rsidR="005E30F4" w:rsidRDefault="004976D6">
      <w:pPr>
        <w:spacing w:after="120"/>
        <w:jc w:val="both"/>
      </w:pPr>
      <w:r>
        <w:rPr>
          <w:sz w:val="18"/>
          <w:szCs w:val="18"/>
          <w:vertAlign w:val="superscript"/>
        </w:rPr>
        <w:t xml:space="preserve">[] </w:t>
      </w:r>
      <w:r>
        <w:rPr>
          <w:sz w:val="22"/>
          <w:szCs w:val="22"/>
        </w:rPr>
        <w:t xml:space="preserve">M. </w:t>
      </w:r>
      <w:proofErr w:type="spellStart"/>
      <w:r>
        <w:rPr>
          <w:sz w:val="22"/>
          <w:szCs w:val="22"/>
        </w:rPr>
        <w:t>Orgerie</w:t>
      </w:r>
      <w:proofErr w:type="spellEnd"/>
      <w:r>
        <w:rPr>
          <w:sz w:val="22"/>
          <w:szCs w:val="22"/>
        </w:rPr>
        <w:t xml:space="preserve"> et al., "A survey of challenges and solutions for renewable energy in data centers," RSER, vol. 158, 2022.</w:t>
      </w:r>
    </w:p>
    <w:p w14:paraId="3584C9B3" w14:textId="77777777" w:rsidR="005E30F4" w:rsidRDefault="004976D6">
      <w:pPr>
        <w:spacing w:after="120"/>
        <w:jc w:val="both"/>
      </w:pPr>
      <w:r>
        <w:rPr>
          <w:sz w:val="18"/>
          <w:szCs w:val="18"/>
          <w:vertAlign w:val="superscript"/>
        </w:rPr>
        <w:t xml:space="preserve">[] </w:t>
      </w:r>
      <w:r>
        <w:rPr>
          <w:sz w:val="22"/>
          <w:szCs w:val="22"/>
        </w:rPr>
        <w:t>NREL/DOE, "Temporal Complementarity and Value of Wind-PV Hybrid Systems," 2022.</w:t>
      </w:r>
    </w:p>
    <w:p w14:paraId="423A9E4F" w14:textId="77777777" w:rsidR="005E30F4" w:rsidRDefault="004976D6">
      <w:pPr>
        <w:spacing w:after="120"/>
        <w:jc w:val="both"/>
      </w:pPr>
      <w:r>
        <w:rPr>
          <w:sz w:val="18"/>
          <w:szCs w:val="18"/>
          <w:vertAlign w:val="superscript"/>
        </w:rPr>
        <w:t xml:space="preserve">[] </w:t>
      </w:r>
      <w:r>
        <w:rPr>
          <w:sz w:val="22"/>
          <w:szCs w:val="22"/>
        </w:rPr>
        <w:t>N. E. A. Bassam et al., "Solar power generation intermittency and aggregation," Sci. Rep., vol. 12, 2022.</w:t>
      </w:r>
    </w:p>
    <w:p w14:paraId="5DD82513" w14:textId="77777777" w:rsidR="005E30F4" w:rsidRDefault="004976D6">
      <w:pPr>
        <w:spacing w:after="120"/>
        <w:jc w:val="both"/>
      </w:pPr>
      <w:r>
        <w:rPr>
          <w:sz w:val="18"/>
          <w:szCs w:val="18"/>
          <w:vertAlign w:val="superscript"/>
        </w:rPr>
        <w:t xml:space="preserve">[] </w:t>
      </w:r>
      <w:r>
        <w:rPr>
          <w:sz w:val="22"/>
          <w:szCs w:val="22"/>
        </w:rPr>
        <w:t>IEEE Std 519-2022, "IEEE Standard for Harmonic Control in Electric Power Systems."</w:t>
      </w:r>
    </w:p>
    <w:p w14:paraId="481324B7" w14:textId="77777777" w:rsidR="005E30F4" w:rsidRDefault="004976D6">
      <w:pPr>
        <w:spacing w:after="120"/>
        <w:jc w:val="both"/>
      </w:pPr>
      <w:r>
        <w:rPr>
          <w:sz w:val="18"/>
          <w:szCs w:val="18"/>
          <w:vertAlign w:val="superscript"/>
        </w:rPr>
        <w:t xml:space="preserve">[] </w:t>
      </w:r>
      <w:r>
        <w:rPr>
          <w:sz w:val="22"/>
          <w:szCs w:val="22"/>
        </w:rPr>
        <w:t>Congressional Research Service, "Data Centers and Energy: FAQ," R48646, 2024.</w:t>
      </w:r>
    </w:p>
    <w:p w14:paraId="21746004" w14:textId="77777777" w:rsidR="005E30F4" w:rsidRDefault="004976D6">
      <w:pPr>
        <w:spacing w:after="120"/>
        <w:jc w:val="both"/>
      </w:pPr>
      <w:r>
        <w:rPr>
          <w:sz w:val="18"/>
          <w:szCs w:val="18"/>
          <w:vertAlign w:val="superscript"/>
        </w:rPr>
        <w:t xml:space="preserve">[] </w:t>
      </w:r>
      <w:r>
        <w:rPr>
          <w:sz w:val="22"/>
          <w:szCs w:val="22"/>
        </w:rPr>
        <w:t>FERC Order 2023, "Improvements to Generator Interconnection Procedures."</w:t>
      </w:r>
    </w:p>
    <w:p w14:paraId="089443A3" w14:textId="77777777" w:rsidR="005E30F4" w:rsidRDefault="004976D6">
      <w:pPr>
        <w:spacing w:after="120"/>
        <w:jc w:val="both"/>
      </w:pPr>
      <w:r>
        <w:rPr>
          <w:sz w:val="18"/>
          <w:szCs w:val="18"/>
          <w:vertAlign w:val="superscript"/>
        </w:rPr>
        <w:t xml:space="preserve">[] </w:t>
      </w:r>
      <w:r>
        <w:rPr>
          <w:sz w:val="22"/>
          <w:szCs w:val="22"/>
        </w:rPr>
        <w:t>S. Wang et al., "Towards energy-efficient data centers," Energy and AI, vol. 18, 2024.</w:t>
      </w:r>
    </w:p>
    <w:p w14:paraId="3AF370F3" w14:textId="77777777" w:rsidR="005E30F4" w:rsidRDefault="004976D6">
      <w:pPr>
        <w:spacing w:after="120"/>
        <w:jc w:val="both"/>
      </w:pPr>
      <w:r>
        <w:rPr>
          <w:sz w:val="18"/>
          <w:szCs w:val="18"/>
          <w:vertAlign w:val="superscript"/>
        </w:rPr>
        <w:t xml:space="preserve">[] </w:t>
      </w:r>
      <w:r>
        <w:rPr>
          <w:sz w:val="22"/>
          <w:szCs w:val="22"/>
        </w:rPr>
        <w:t>Harvard Belfer Center, "AI, Data Centers, and the U.S. Electric Grid," Feb. 2026.</w:t>
      </w:r>
    </w:p>
    <w:p w14:paraId="2840DE9D" w14:textId="77777777" w:rsidR="005E30F4" w:rsidRDefault="004976D6">
      <w:pPr>
        <w:spacing w:after="120"/>
        <w:jc w:val="both"/>
      </w:pPr>
      <w:r>
        <w:rPr>
          <w:sz w:val="18"/>
          <w:szCs w:val="18"/>
          <w:vertAlign w:val="superscript"/>
        </w:rPr>
        <w:t xml:space="preserve">[] </w:t>
      </w:r>
      <w:r>
        <w:rPr>
          <w:sz w:val="22"/>
          <w:szCs w:val="22"/>
        </w:rPr>
        <w:t>NVIDIA, "A100 Tensor Core GPU Architecture," White Paper, 2020.</w:t>
      </w:r>
    </w:p>
    <w:p w14:paraId="5BA8F9AF" w14:textId="77777777" w:rsidR="005E30F4" w:rsidRDefault="004976D6">
      <w:pPr>
        <w:spacing w:after="120"/>
        <w:jc w:val="both"/>
      </w:pPr>
      <w:r>
        <w:rPr>
          <w:sz w:val="18"/>
          <w:szCs w:val="18"/>
          <w:vertAlign w:val="superscript"/>
        </w:rPr>
        <w:t xml:space="preserve">[] </w:t>
      </w:r>
      <w:r>
        <w:rPr>
          <w:sz w:val="22"/>
          <w:szCs w:val="22"/>
        </w:rPr>
        <w:t>Schneider Electric, "How 6 AI Attributes Change Data Center Design," WP110, 2024.</w:t>
      </w:r>
    </w:p>
    <w:p w14:paraId="7C7FA7CE" w14:textId="77777777" w:rsidR="005E30F4" w:rsidRDefault="004976D6">
      <w:pPr>
        <w:spacing w:after="120"/>
        <w:jc w:val="both"/>
      </w:pPr>
      <w:r>
        <w:rPr>
          <w:sz w:val="18"/>
          <w:szCs w:val="18"/>
          <w:vertAlign w:val="superscript"/>
        </w:rPr>
        <w:t xml:space="preserve">[] </w:t>
      </w:r>
      <w:r>
        <w:rPr>
          <w:sz w:val="22"/>
          <w:szCs w:val="22"/>
        </w:rPr>
        <w:t xml:space="preserve">T. B. Brown et al., "Language models are few-shot learners," in Proc. </w:t>
      </w:r>
      <w:proofErr w:type="spellStart"/>
      <w:r>
        <w:rPr>
          <w:sz w:val="22"/>
          <w:szCs w:val="22"/>
        </w:rPr>
        <w:t>NeurIPS</w:t>
      </w:r>
      <w:proofErr w:type="spellEnd"/>
      <w:r>
        <w:rPr>
          <w:sz w:val="22"/>
          <w:szCs w:val="22"/>
        </w:rPr>
        <w:t>, vol. 33, 2020.</w:t>
      </w:r>
    </w:p>
    <w:p w14:paraId="485585FE" w14:textId="77777777" w:rsidR="005E30F4" w:rsidRDefault="004976D6">
      <w:pPr>
        <w:spacing w:after="120"/>
        <w:jc w:val="both"/>
      </w:pPr>
      <w:r>
        <w:rPr>
          <w:sz w:val="18"/>
          <w:szCs w:val="18"/>
          <w:vertAlign w:val="superscript"/>
        </w:rPr>
        <w:t xml:space="preserve">[] </w:t>
      </w:r>
      <w:r>
        <w:rPr>
          <w:sz w:val="22"/>
          <w:szCs w:val="22"/>
        </w:rPr>
        <w:t>M. Raza et al., "Carbon literacy for generative AI," in Proc. AAAI/ACM AIES, 2024.</w:t>
      </w:r>
    </w:p>
    <w:p w14:paraId="14023A5E" w14:textId="77777777" w:rsidR="005E30F4" w:rsidRDefault="004976D6">
      <w:pPr>
        <w:spacing w:after="120"/>
        <w:jc w:val="both"/>
      </w:pPr>
      <w:r>
        <w:rPr>
          <w:sz w:val="18"/>
          <w:szCs w:val="18"/>
          <w:vertAlign w:val="superscript"/>
        </w:rPr>
        <w:t xml:space="preserve">[] </w:t>
      </w:r>
      <w:r>
        <w:rPr>
          <w:sz w:val="22"/>
          <w:szCs w:val="22"/>
        </w:rPr>
        <w:t>Google, "Environmental Report 2024."</w:t>
      </w:r>
    </w:p>
    <w:p w14:paraId="3485DA80" w14:textId="77777777" w:rsidR="005E30F4" w:rsidRDefault="004976D6">
      <w:pPr>
        <w:spacing w:after="120"/>
        <w:jc w:val="both"/>
      </w:pPr>
      <w:r>
        <w:rPr>
          <w:sz w:val="18"/>
          <w:szCs w:val="18"/>
          <w:vertAlign w:val="superscript"/>
        </w:rPr>
        <w:t xml:space="preserve">[] </w:t>
      </w:r>
      <w:r>
        <w:rPr>
          <w:sz w:val="22"/>
          <w:szCs w:val="22"/>
        </w:rPr>
        <w:t>"Immersion cooling technology," STET, vol. 79, Art. 5, 2024.</w:t>
      </w:r>
    </w:p>
    <w:p w14:paraId="0E1C3CBD" w14:textId="77777777" w:rsidR="005E30F4" w:rsidRDefault="004976D6">
      <w:pPr>
        <w:spacing w:after="120"/>
        <w:jc w:val="both"/>
      </w:pPr>
      <w:r>
        <w:rPr>
          <w:sz w:val="18"/>
          <w:szCs w:val="18"/>
          <w:vertAlign w:val="superscript"/>
        </w:rPr>
        <w:t xml:space="preserve">[] </w:t>
      </w:r>
      <w:r>
        <w:rPr>
          <w:sz w:val="22"/>
          <w:szCs w:val="22"/>
        </w:rPr>
        <w:t>ABI Research, "Data Center Energy Consumption Forecast 2024-2030," Mar. 2025.</w:t>
      </w:r>
    </w:p>
    <w:p w14:paraId="6C52E923" w14:textId="77777777" w:rsidR="005E30F4" w:rsidRDefault="004976D6">
      <w:pPr>
        <w:spacing w:after="120"/>
        <w:jc w:val="both"/>
      </w:pPr>
      <w:r>
        <w:rPr>
          <w:sz w:val="18"/>
          <w:szCs w:val="18"/>
          <w:vertAlign w:val="superscript"/>
        </w:rPr>
        <w:t xml:space="preserve">[] </w:t>
      </w:r>
      <w:r>
        <w:rPr>
          <w:sz w:val="22"/>
          <w:szCs w:val="22"/>
        </w:rPr>
        <w:t>"Liquid cooling of data centers: A necessity," Int. J. Heat Mass Transfer, 2024.</w:t>
      </w:r>
    </w:p>
    <w:p w14:paraId="43C6D2AF" w14:textId="77777777" w:rsidR="005E30F4" w:rsidRDefault="004976D6">
      <w:pPr>
        <w:spacing w:after="120"/>
        <w:jc w:val="both"/>
      </w:pPr>
      <w:r>
        <w:rPr>
          <w:sz w:val="18"/>
          <w:szCs w:val="18"/>
          <w:vertAlign w:val="superscript"/>
        </w:rPr>
        <w:t xml:space="preserve">[] </w:t>
      </w:r>
      <w:r>
        <w:rPr>
          <w:sz w:val="22"/>
          <w:szCs w:val="22"/>
        </w:rPr>
        <w:t>Microsoft, "Next-gen datacenters consume zero water for cooling," Dec. 2024.</w:t>
      </w:r>
    </w:p>
    <w:p w14:paraId="3D8D5DDD" w14:textId="77777777" w:rsidR="005E30F4" w:rsidRDefault="004976D6">
      <w:pPr>
        <w:spacing w:after="120"/>
        <w:jc w:val="both"/>
      </w:pPr>
      <w:r>
        <w:rPr>
          <w:sz w:val="18"/>
          <w:szCs w:val="18"/>
          <w:vertAlign w:val="superscript"/>
        </w:rPr>
        <w:t xml:space="preserve">[] </w:t>
      </w:r>
      <w:r>
        <w:rPr>
          <w:sz w:val="22"/>
          <w:szCs w:val="22"/>
        </w:rPr>
        <w:t>C. Kost et al., "Levelized Cost of Electricity - Renewable Energy Technologies," Fraunhofer ISE, 2024.</w:t>
      </w:r>
    </w:p>
    <w:p w14:paraId="7356BC67" w14:textId="77777777" w:rsidR="005E30F4" w:rsidRDefault="004976D6">
      <w:pPr>
        <w:spacing w:after="120"/>
        <w:jc w:val="both"/>
      </w:pPr>
      <w:r>
        <w:rPr>
          <w:sz w:val="18"/>
          <w:szCs w:val="18"/>
          <w:vertAlign w:val="superscript"/>
        </w:rPr>
        <w:t xml:space="preserve">[] </w:t>
      </w:r>
      <w:r>
        <w:rPr>
          <w:sz w:val="22"/>
          <w:szCs w:val="22"/>
        </w:rPr>
        <w:t>IEA PVPS, "Trends in Photovoltaic Applications 2024," Report T1-42:2024.</w:t>
      </w:r>
    </w:p>
    <w:p w14:paraId="6186A271" w14:textId="77777777" w:rsidR="005E30F4" w:rsidRDefault="004976D6">
      <w:pPr>
        <w:spacing w:after="120"/>
        <w:jc w:val="both"/>
      </w:pPr>
      <w:r>
        <w:rPr>
          <w:sz w:val="18"/>
          <w:szCs w:val="18"/>
          <w:vertAlign w:val="superscript"/>
        </w:rPr>
        <w:t xml:space="preserve">[] </w:t>
      </w:r>
      <w:r>
        <w:rPr>
          <w:sz w:val="22"/>
          <w:szCs w:val="22"/>
        </w:rPr>
        <w:t>Lazard, "Levelized Cost of Energy+ (LCOE), Version 18.0," Jun. 2025.</w:t>
      </w:r>
    </w:p>
    <w:p w14:paraId="0512BFF7" w14:textId="77777777" w:rsidR="005E30F4" w:rsidRDefault="004976D6">
      <w:pPr>
        <w:spacing w:after="120"/>
        <w:jc w:val="both"/>
      </w:pPr>
      <w:r>
        <w:rPr>
          <w:sz w:val="18"/>
          <w:szCs w:val="18"/>
          <w:vertAlign w:val="superscript"/>
        </w:rPr>
        <w:t xml:space="preserve">[] </w:t>
      </w:r>
      <w:r>
        <w:rPr>
          <w:sz w:val="22"/>
          <w:szCs w:val="22"/>
        </w:rPr>
        <w:t>IEA, "Renewables 2024," Paris, 2024.</w:t>
      </w:r>
    </w:p>
    <w:p w14:paraId="3B5B2452" w14:textId="77777777" w:rsidR="005E30F4" w:rsidRDefault="004976D6">
      <w:pPr>
        <w:spacing w:after="120"/>
        <w:jc w:val="both"/>
      </w:pPr>
      <w:r>
        <w:rPr>
          <w:sz w:val="18"/>
          <w:szCs w:val="18"/>
          <w:vertAlign w:val="superscript"/>
        </w:rPr>
        <w:t xml:space="preserve">[] </w:t>
      </w:r>
      <w:r>
        <w:rPr>
          <w:sz w:val="22"/>
          <w:szCs w:val="22"/>
        </w:rPr>
        <w:t>NREL, "Offshore Wind Market Report: 2024 Edition," NREL/TP-5000-90525, 2024.</w:t>
      </w:r>
    </w:p>
    <w:p w14:paraId="328D4378" w14:textId="77777777" w:rsidR="005E30F4" w:rsidRDefault="004976D6">
      <w:pPr>
        <w:spacing w:after="120"/>
        <w:jc w:val="both"/>
      </w:pPr>
      <w:r>
        <w:rPr>
          <w:sz w:val="18"/>
          <w:szCs w:val="18"/>
          <w:vertAlign w:val="superscript"/>
        </w:rPr>
        <w:t xml:space="preserve">[] </w:t>
      </w:r>
      <w:r>
        <w:rPr>
          <w:sz w:val="22"/>
          <w:szCs w:val="22"/>
        </w:rPr>
        <w:t>IRENA, "Wind Resource Measurement: Guidelines for Islands," 2015.</w:t>
      </w:r>
    </w:p>
    <w:p w14:paraId="706218B9" w14:textId="77777777" w:rsidR="005E30F4" w:rsidRDefault="004976D6">
      <w:pPr>
        <w:spacing w:after="120"/>
        <w:jc w:val="both"/>
      </w:pPr>
      <w:r>
        <w:rPr>
          <w:sz w:val="18"/>
          <w:szCs w:val="18"/>
          <w:vertAlign w:val="superscript"/>
        </w:rPr>
        <w:t xml:space="preserve">[] </w:t>
      </w:r>
      <w:r>
        <w:rPr>
          <w:sz w:val="22"/>
          <w:szCs w:val="22"/>
        </w:rPr>
        <w:t>M. Jerez et al., "Renewable energy quality trilemma and coincident wind and solar resource variability," Commun. Earth Environ., vol. 5, 2024.</w:t>
      </w:r>
    </w:p>
    <w:p w14:paraId="7E5B7201" w14:textId="77777777" w:rsidR="005E30F4" w:rsidRDefault="004976D6">
      <w:pPr>
        <w:spacing w:after="120"/>
        <w:jc w:val="both"/>
      </w:pPr>
      <w:r>
        <w:rPr>
          <w:sz w:val="18"/>
          <w:szCs w:val="18"/>
          <w:vertAlign w:val="superscript"/>
        </w:rPr>
        <w:t xml:space="preserve">[] </w:t>
      </w:r>
      <w:r>
        <w:rPr>
          <w:sz w:val="22"/>
          <w:szCs w:val="22"/>
        </w:rPr>
        <w:t>IRENA, "The Changing Role of Hydropower," Feb. 2023.</w:t>
      </w:r>
    </w:p>
    <w:p w14:paraId="153199DC" w14:textId="77777777" w:rsidR="005E30F4" w:rsidRDefault="004976D6">
      <w:pPr>
        <w:spacing w:after="120"/>
        <w:jc w:val="both"/>
      </w:pPr>
      <w:r>
        <w:rPr>
          <w:sz w:val="18"/>
          <w:szCs w:val="18"/>
          <w:vertAlign w:val="superscript"/>
        </w:rPr>
        <w:t xml:space="preserve">[] </w:t>
      </w:r>
      <w:r>
        <w:rPr>
          <w:sz w:val="22"/>
          <w:szCs w:val="22"/>
        </w:rPr>
        <w:t>NREL, "Pumped Storage Hydropower," 2024 ATB, 2024.</w:t>
      </w:r>
    </w:p>
    <w:p w14:paraId="2AE84C63" w14:textId="77777777" w:rsidR="005E30F4" w:rsidRDefault="004976D6">
      <w:pPr>
        <w:spacing w:after="120"/>
        <w:jc w:val="both"/>
      </w:pPr>
      <w:r>
        <w:rPr>
          <w:sz w:val="18"/>
          <w:szCs w:val="18"/>
          <w:vertAlign w:val="superscript"/>
        </w:rPr>
        <w:lastRenderedPageBreak/>
        <w:t xml:space="preserve">[] </w:t>
      </w:r>
      <w:r>
        <w:rPr>
          <w:sz w:val="22"/>
          <w:szCs w:val="22"/>
        </w:rPr>
        <w:t>A. O. M. et al., "Navigating battery choices: A comparative study of LFP and NMC," Materials Today Advances, vol. 24, 2024.</w:t>
      </w:r>
    </w:p>
    <w:p w14:paraId="2CC74609" w14:textId="77777777" w:rsidR="005E30F4" w:rsidRDefault="004976D6">
      <w:pPr>
        <w:spacing w:after="120"/>
        <w:jc w:val="both"/>
      </w:pPr>
      <w:r>
        <w:rPr>
          <w:sz w:val="18"/>
          <w:szCs w:val="18"/>
          <w:vertAlign w:val="superscript"/>
        </w:rPr>
        <w:t xml:space="preserve">[] </w:t>
      </w:r>
      <w:r>
        <w:rPr>
          <w:sz w:val="22"/>
          <w:szCs w:val="22"/>
        </w:rPr>
        <w:t>H. Min et al., "From lithium-ion to sodium-ion: A comprehensive analysis," J. Power Sources, vol. 609, 2025.</w:t>
      </w:r>
    </w:p>
    <w:p w14:paraId="73D69977" w14:textId="77777777" w:rsidR="005E30F4" w:rsidRDefault="004976D6">
      <w:pPr>
        <w:spacing w:after="120"/>
        <w:jc w:val="both"/>
      </w:pPr>
      <w:r>
        <w:rPr>
          <w:sz w:val="18"/>
          <w:szCs w:val="18"/>
          <w:vertAlign w:val="superscript"/>
        </w:rPr>
        <w:t xml:space="preserve">[] </w:t>
      </w:r>
      <w:r>
        <w:rPr>
          <w:sz w:val="22"/>
          <w:szCs w:val="22"/>
        </w:rPr>
        <w:t>S. Park et al., "A comprehensive review of vanadium redox flow batteries," J. Energy Storage, 2025.</w:t>
      </w:r>
    </w:p>
    <w:p w14:paraId="0ACA4E0A" w14:textId="77777777" w:rsidR="005E30F4" w:rsidRDefault="004976D6">
      <w:pPr>
        <w:spacing w:after="120"/>
        <w:jc w:val="both"/>
      </w:pPr>
      <w:r>
        <w:rPr>
          <w:sz w:val="18"/>
          <w:szCs w:val="18"/>
          <w:vertAlign w:val="superscript"/>
        </w:rPr>
        <w:t xml:space="preserve">[] </w:t>
      </w:r>
      <w:r>
        <w:rPr>
          <w:sz w:val="22"/>
          <w:szCs w:val="22"/>
        </w:rPr>
        <w:t>Form Energy, "Breakthrough Iron-Air Battery Technology," Dec. 2024.</w:t>
      </w:r>
    </w:p>
    <w:p w14:paraId="0E208704" w14:textId="77777777" w:rsidR="005E30F4" w:rsidRDefault="004976D6">
      <w:pPr>
        <w:spacing w:after="120"/>
        <w:jc w:val="both"/>
      </w:pPr>
      <w:r>
        <w:rPr>
          <w:sz w:val="18"/>
          <w:szCs w:val="18"/>
          <w:vertAlign w:val="superscript"/>
        </w:rPr>
        <w:t xml:space="preserve">[] </w:t>
      </w:r>
      <w:r>
        <w:rPr>
          <w:sz w:val="22"/>
          <w:szCs w:val="22"/>
        </w:rPr>
        <w:t>IEA, "Global Hydrogen Review 2024," Paris, Oct. 2024.</w:t>
      </w:r>
    </w:p>
    <w:p w14:paraId="10E84C78" w14:textId="77777777" w:rsidR="005E30F4" w:rsidRDefault="004976D6">
      <w:pPr>
        <w:spacing w:after="120"/>
        <w:jc w:val="both"/>
      </w:pPr>
      <w:r>
        <w:rPr>
          <w:sz w:val="18"/>
          <w:szCs w:val="18"/>
          <w:vertAlign w:val="superscript"/>
        </w:rPr>
        <w:t xml:space="preserve">[] </w:t>
      </w:r>
      <w:r>
        <w:rPr>
          <w:sz w:val="22"/>
          <w:szCs w:val="22"/>
        </w:rPr>
        <w:t>E. Barbour et al., "A review of optimal sizing methods for BESS," J. Energy Storage, vol. 62, 2023.</w:t>
      </w:r>
    </w:p>
    <w:p w14:paraId="3ACA4AEC" w14:textId="77777777" w:rsidR="005E30F4" w:rsidRDefault="004976D6">
      <w:pPr>
        <w:spacing w:after="120"/>
        <w:jc w:val="both"/>
      </w:pPr>
      <w:r>
        <w:rPr>
          <w:sz w:val="18"/>
          <w:szCs w:val="18"/>
          <w:vertAlign w:val="superscript"/>
        </w:rPr>
        <w:t xml:space="preserve">[] </w:t>
      </w:r>
      <w:r>
        <w:rPr>
          <w:sz w:val="22"/>
          <w:szCs w:val="22"/>
        </w:rPr>
        <w:t>L. Cupelli et al., "Optimal sizing of data center BESS for economic benefits," IEEE Trans. Smart Grid, 2020.</w:t>
      </w:r>
    </w:p>
    <w:p w14:paraId="7DA90377" w14:textId="77777777" w:rsidR="005E30F4" w:rsidRDefault="004976D6">
      <w:pPr>
        <w:spacing w:after="120"/>
        <w:jc w:val="both"/>
      </w:pPr>
      <w:r>
        <w:rPr>
          <w:sz w:val="18"/>
          <w:szCs w:val="18"/>
          <w:vertAlign w:val="superscript"/>
        </w:rPr>
        <w:t xml:space="preserve">[] </w:t>
      </w:r>
      <w:r>
        <w:rPr>
          <w:sz w:val="22"/>
          <w:szCs w:val="22"/>
        </w:rPr>
        <w:t>IEEE Std 2800-2022, "Standard for Interconnection and Interoperability of Inverter-Based Resources."</w:t>
      </w:r>
    </w:p>
    <w:p w14:paraId="57F6F439" w14:textId="77777777" w:rsidR="005E30F4" w:rsidRDefault="004976D6">
      <w:pPr>
        <w:spacing w:after="120"/>
        <w:jc w:val="both"/>
      </w:pPr>
      <w:r>
        <w:rPr>
          <w:sz w:val="18"/>
          <w:szCs w:val="18"/>
          <w:vertAlign w:val="superscript"/>
        </w:rPr>
        <w:t xml:space="preserve">[] </w:t>
      </w:r>
      <w:r>
        <w:rPr>
          <w:sz w:val="22"/>
          <w:szCs w:val="22"/>
        </w:rPr>
        <w:t>IEEE Std 1547-2018, "Standard for Interconnection and Interoperability of DER."</w:t>
      </w:r>
    </w:p>
    <w:p w14:paraId="3804229F" w14:textId="77777777" w:rsidR="005E30F4" w:rsidRDefault="004976D6">
      <w:pPr>
        <w:spacing w:after="120"/>
        <w:jc w:val="both"/>
      </w:pPr>
      <w:r>
        <w:rPr>
          <w:sz w:val="18"/>
          <w:szCs w:val="18"/>
          <w:vertAlign w:val="superscript"/>
        </w:rPr>
        <w:t xml:space="preserve">[] </w:t>
      </w:r>
      <w:r>
        <w:rPr>
          <w:sz w:val="22"/>
          <w:szCs w:val="22"/>
        </w:rPr>
        <w:t>Gokaraju et al., "Power quality analysis and IEEE 519 compliance," IEEE Access, 2024.</w:t>
      </w:r>
    </w:p>
    <w:p w14:paraId="11B10787" w14:textId="77777777" w:rsidR="005E30F4" w:rsidRDefault="004976D6">
      <w:pPr>
        <w:spacing w:after="120"/>
        <w:jc w:val="both"/>
      </w:pPr>
      <w:r>
        <w:rPr>
          <w:sz w:val="18"/>
          <w:szCs w:val="18"/>
          <w:vertAlign w:val="superscript"/>
        </w:rPr>
        <w:t xml:space="preserve">[] </w:t>
      </w:r>
      <w:r>
        <w:rPr>
          <w:sz w:val="22"/>
          <w:szCs w:val="22"/>
        </w:rPr>
        <w:t>Google, "Environmental Report 2024: Data Center Energy."</w:t>
      </w:r>
    </w:p>
    <w:p w14:paraId="4F7A90BF" w14:textId="77777777" w:rsidR="005E30F4" w:rsidRDefault="004976D6">
      <w:pPr>
        <w:spacing w:after="120"/>
        <w:jc w:val="both"/>
      </w:pPr>
      <w:r>
        <w:rPr>
          <w:sz w:val="18"/>
          <w:szCs w:val="18"/>
          <w:vertAlign w:val="superscript"/>
        </w:rPr>
        <w:t xml:space="preserve">[] </w:t>
      </w:r>
      <w:r>
        <w:rPr>
          <w:sz w:val="22"/>
          <w:szCs w:val="22"/>
        </w:rPr>
        <w:t>Google, "2022 Carbon-Free Energy Progress."</w:t>
      </w:r>
    </w:p>
    <w:p w14:paraId="2C0FCCE6" w14:textId="77777777" w:rsidR="005E30F4" w:rsidRDefault="004976D6">
      <w:pPr>
        <w:spacing w:after="120"/>
        <w:jc w:val="both"/>
      </w:pPr>
      <w:r>
        <w:rPr>
          <w:sz w:val="18"/>
          <w:szCs w:val="18"/>
          <w:vertAlign w:val="superscript"/>
        </w:rPr>
        <w:t xml:space="preserve">[] </w:t>
      </w:r>
      <w:r>
        <w:rPr>
          <w:sz w:val="22"/>
          <w:szCs w:val="22"/>
        </w:rPr>
        <w:t>Google Chile, "Renewable Energy Portfolio - Atacama Region."</w:t>
      </w:r>
    </w:p>
    <w:p w14:paraId="75346167" w14:textId="77777777" w:rsidR="005E30F4" w:rsidRDefault="004976D6">
      <w:pPr>
        <w:spacing w:after="120"/>
        <w:jc w:val="both"/>
      </w:pPr>
      <w:r>
        <w:rPr>
          <w:sz w:val="18"/>
          <w:szCs w:val="18"/>
          <w:vertAlign w:val="superscript"/>
        </w:rPr>
        <w:t xml:space="preserve">[] </w:t>
      </w:r>
      <w:r>
        <w:rPr>
          <w:sz w:val="22"/>
          <w:szCs w:val="22"/>
        </w:rPr>
        <w:t>Meta, "Prineville Data Center: Energy and Sustainability Report."</w:t>
      </w:r>
    </w:p>
    <w:p w14:paraId="7589A20D" w14:textId="77777777" w:rsidR="005E30F4" w:rsidRDefault="004976D6">
      <w:pPr>
        <w:spacing w:after="120"/>
        <w:jc w:val="both"/>
      </w:pPr>
      <w:r>
        <w:rPr>
          <w:sz w:val="18"/>
          <w:szCs w:val="18"/>
          <w:vertAlign w:val="superscript"/>
        </w:rPr>
        <w:t xml:space="preserve">[] </w:t>
      </w:r>
      <w:r>
        <w:rPr>
          <w:sz w:val="22"/>
          <w:szCs w:val="22"/>
        </w:rPr>
        <w:t>Meta, "Sustainability Report 2024."</w:t>
      </w:r>
    </w:p>
    <w:p w14:paraId="3C1AD3D2" w14:textId="77777777" w:rsidR="005E30F4" w:rsidRDefault="004976D6">
      <w:pPr>
        <w:spacing w:after="120"/>
        <w:jc w:val="both"/>
      </w:pPr>
      <w:r>
        <w:rPr>
          <w:sz w:val="18"/>
          <w:szCs w:val="18"/>
          <w:vertAlign w:val="superscript"/>
        </w:rPr>
        <w:t xml:space="preserve">[] </w:t>
      </w:r>
      <w:r>
        <w:rPr>
          <w:sz w:val="22"/>
          <w:szCs w:val="22"/>
        </w:rPr>
        <w:t>Microsoft, "Project Natick: Underwater Data Center - Phase 2 Results."</w:t>
      </w:r>
    </w:p>
    <w:p w14:paraId="6C3CE5F2" w14:textId="77777777" w:rsidR="005E30F4" w:rsidRDefault="004976D6">
      <w:pPr>
        <w:spacing w:after="120"/>
        <w:jc w:val="both"/>
      </w:pPr>
      <w:r>
        <w:rPr>
          <w:sz w:val="18"/>
          <w:szCs w:val="18"/>
          <w:vertAlign w:val="superscript"/>
        </w:rPr>
        <w:t xml:space="preserve">[] </w:t>
      </w:r>
      <w:r>
        <w:rPr>
          <w:sz w:val="22"/>
          <w:szCs w:val="22"/>
        </w:rPr>
        <w:t>Microsoft, "Nuclear Energy Partnership for AI Operations," 2024.</w:t>
      </w:r>
    </w:p>
    <w:p w14:paraId="774E59C4" w14:textId="77777777" w:rsidR="005E30F4" w:rsidRDefault="004976D6">
      <w:pPr>
        <w:spacing w:after="120"/>
        <w:jc w:val="both"/>
      </w:pPr>
      <w:r>
        <w:rPr>
          <w:sz w:val="18"/>
          <w:szCs w:val="18"/>
          <w:vertAlign w:val="superscript"/>
        </w:rPr>
        <w:t xml:space="preserve">[] </w:t>
      </w:r>
      <w:r>
        <w:rPr>
          <w:sz w:val="22"/>
          <w:szCs w:val="22"/>
        </w:rPr>
        <w:t>Equinix, "2024 Sustainability Report."</w:t>
      </w:r>
    </w:p>
    <w:p w14:paraId="13D6A0ED" w14:textId="77777777" w:rsidR="005E30F4" w:rsidRDefault="004976D6">
      <w:pPr>
        <w:spacing w:after="120"/>
        <w:jc w:val="both"/>
      </w:pPr>
      <w:r>
        <w:rPr>
          <w:sz w:val="18"/>
          <w:szCs w:val="18"/>
          <w:vertAlign w:val="superscript"/>
        </w:rPr>
        <w:t xml:space="preserve">[] </w:t>
      </w:r>
      <w:r>
        <w:rPr>
          <w:sz w:val="22"/>
          <w:szCs w:val="22"/>
        </w:rPr>
        <w:t>Apple, "Environmental Progress Report 2024."</w:t>
      </w:r>
    </w:p>
    <w:p w14:paraId="2BE86D27" w14:textId="77777777" w:rsidR="005E30F4" w:rsidRDefault="004976D6">
      <w:pPr>
        <w:spacing w:after="120"/>
        <w:jc w:val="both"/>
      </w:pPr>
      <w:r>
        <w:rPr>
          <w:sz w:val="18"/>
          <w:szCs w:val="18"/>
          <w:vertAlign w:val="superscript"/>
        </w:rPr>
        <w:t xml:space="preserve">[] </w:t>
      </w:r>
      <w:r>
        <w:rPr>
          <w:sz w:val="22"/>
          <w:szCs w:val="22"/>
        </w:rPr>
        <w:t>ABB, "Data Center Electrical Distribution Architecture," Technical Guide, 2023.</w:t>
      </w:r>
    </w:p>
    <w:p w14:paraId="0EB04ED5" w14:textId="77777777" w:rsidR="005E30F4" w:rsidRDefault="004976D6">
      <w:pPr>
        <w:spacing w:after="120"/>
        <w:jc w:val="both"/>
      </w:pPr>
      <w:r>
        <w:rPr>
          <w:sz w:val="18"/>
          <w:szCs w:val="18"/>
          <w:vertAlign w:val="superscript"/>
        </w:rPr>
        <w:t xml:space="preserve">[] </w:t>
      </w:r>
      <w:r>
        <w:rPr>
          <w:sz w:val="22"/>
          <w:szCs w:val="22"/>
        </w:rPr>
        <w:t>Uptime Institute, "Tier Standard: Topology," 2023.</w:t>
      </w:r>
    </w:p>
    <w:p w14:paraId="1CCCF6CE" w14:textId="77777777" w:rsidR="005E30F4" w:rsidRDefault="004976D6">
      <w:pPr>
        <w:spacing w:after="120"/>
        <w:jc w:val="both"/>
      </w:pPr>
      <w:r>
        <w:rPr>
          <w:sz w:val="18"/>
          <w:szCs w:val="18"/>
          <w:vertAlign w:val="superscript"/>
        </w:rPr>
        <w:t xml:space="preserve">[] </w:t>
      </w:r>
      <w:r>
        <w:rPr>
          <w:sz w:val="22"/>
          <w:szCs w:val="22"/>
        </w:rPr>
        <w:t>D. E. Bakken et al., "Data center power redundancy models," IEEE Trans. Ind. Appl., 2022.</w:t>
      </w:r>
    </w:p>
    <w:p w14:paraId="7E2503DD" w14:textId="77777777" w:rsidR="005E30F4" w:rsidRDefault="004976D6">
      <w:pPr>
        <w:spacing w:after="120"/>
        <w:jc w:val="both"/>
      </w:pPr>
      <w:r>
        <w:rPr>
          <w:sz w:val="18"/>
          <w:szCs w:val="18"/>
          <w:vertAlign w:val="superscript"/>
        </w:rPr>
        <w:t xml:space="preserve">[] </w:t>
      </w:r>
      <w:r>
        <w:rPr>
          <w:sz w:val="22"/>
          <w:szCs w:val="22"/>
        </w:rPr>
        <w:t>Eaton, "Automatic Transfer Switches for Data Center Applications," White Paper, 2023.</w:t>
      </w:r>
    </w:p>
    <w:p w14:paraId="6D123CFA" w14:textId="77777777" w:rsidR="005E30F4" w:rsidRDefault="004976D6">
      <w:pPr>
        <w:spacing w:after="120"/>
        <w:jc w:val="both"/>
      </w:pPr>
      <w:r>
        <w:rPr>
          <w:sz w:val="18"/>
          <w:szCs w:val="18"/>
          <w:vertAlign w:val="superscript"/>
        </w:rPr>
        <w:t xml:space="preserve">[] </w:t>
      </w:r>
      <w:r>
        <w:rPr>
          <w:sz w:val="22"/>
          <w:szCs w:val="22"/>
        </w:rPr>
        <w:t>NVIDIA, "NVML Power Management API Documentation," 2024.</w:t>
      </w:r>
    </w:p>
    <w:p w14:paraId="6FBA4139" w14:textId="77777777" w:rsidR="005E30F4" w:rsidRDefault="004976D6">
      <w:pPr>
        <w:spacing w:after="120"/>
        <w:jc w:val="both"/>
      </w:pPr>
      <w:r>
        <w:rPr>
          <w:sz w:val="18"/>
          <w:szCs w:val="18"/>
          <w:vertAlign w:val="superscript"/>
        </w:rPr>
        <w:t xml:space="preserve">[] </w:t>
      </w:r>
      <w:r>
        <w:rPr>
          <w:sz w:val="22"/>
          <w:szCs w:val="22"/>
        </w:rPr>
        <w:t>J. Chen et al., "GPU power management for AI workloads," in Proc. IEEE IPDPS, 2023.</w:t>
      </w:r>
    </w:p>
    <w:p w14:paraId="57651207" w14:textId="77777777" w:rsidR="005E30F4" w:rsidRDefault="004976D6">
      <w:pPr>
        <w:spacing w:after="120"/>
        <w:jc w:val="both"/>
      </w:pPr>
      <w:r>
        <w:rPr>
          <w:sz w:val="18"/>
          <w:szCs w:val="18"/>
          <w:vertAlign w:val="superscript"/>
        </w:rPr>
        <w:t xml:space="preserve">[] </w:t>
      </w:r>
      <w:r>
        <w:rPr>
          <w:sz w:val="22"/>
          <w:szCs w:val="22"/>
        </w:rPr>
        <w:t xml:space="preserve">S. Wang et al., "Thermal management of high-density AI accelerators," IEEE Trans. </w:t>
      </w:r>
      <w:proofErr w:type="spellStart"/>
      <w:r>
        <w:rPr>
          <w:sz w:val="22"/>
          <w:szCs w:val="22"/>
        </w:rPr>
        <w:t>Compon</w:t>
      </w:r>
      <w:proofErr w:type="spellEnd"/>
      <w:r>
        <w:rPr>
          <w:sz w:val="22"/>
          <w:szCs w:val="22"/>
        </w:rPr>
        <w:t xml:space="preserve">. </w:t>
      </w:r>
      <w:proofErr w:type="spellStart"/>
      <w:r>
        <w:rPr>
          <w:sz w:val="22"/>
          <w:szCs w:val="22"/>
        </w:rPr>
        <w:t>Packag</w:t>
      </w:r>
      <w:proofErr w:type="spellEnd"/>
      <w:r>
        <w:rPr>
          <w:sz w:val="22"/>
          <w:szCs w:val="22"/>
        </w:rPr>
        <w:t>. Technol., 2024.</w:t>
      </w:r>
    </w:p>
    <w:p w14:paraId="5B718D27" w14:textId="77777777" w:rsidR="005E30F4" w:rsidRDefault="004976D6">
      <w:pPr>
        <w:spacing w:after="120"/>
        <w:jc w:val="both"/>
      </w:pPr>
      <w:r>
        <w:rPr>
          <w:sz w:val="18"/>
          <w:szCs w:val="18"/>
          <w:vertAlign w:val="superscript"/>
        </w:rPr>
        <w:t xml:space="preserve">[] </w:t>
      </w:r>
      <w:r>
        <w:rPr>
          <w:sz w:val="22"/>
          <w:szCs w:val="22"/>
        </w:rPr>
        <w:t>Vertiv, "UPS Systems for AI Data Centers," Technical White Paper, 2024.</w:t>
      </w:r>
    </w:p>
    <w:p w14:paraId="2E40FF9D" w14:textId="77777777" w:rsidR="005E30F4" w:rsidRDefault="004976D6">
      <w:pPr>
        <w:spacing w:after="120"/>
        <w:jc w:val="both"/>
      </w:pPr>
      <w:r>
        <w:rPr>
          <w:sz w:val="18"/>
          <w:szCs w:val="18"/>
          <w:vertAlign w:val="superscript"/>
        </w:rPr>
        <w:lastRenderedPageBreak/>
        <w:t xml:space="preserve">[] </w:t>
      </w:r>
      <w:r>
        <w:rPr>
          <w:sz w:val="22"/>
          <w:szCs w:val="22"/>
        </w:rPr>
        <w:t>R. Evans and J. Gao, "DeepMind AI reduces Google cooling by 40%," 2016.</w:t>
      </w:r>
    </w:p>
    <w:p w14:paraId="0E9AF9D6" w14:textId="77777777" w:rsidR="005E30F4" w:rsidRDefault="004976D6">
      <w:pPr>
        <w:spacing w:after="120"/>
        <w:jc w:val="both"/>
      </w:pPr>
      <w:r>
        <w:rPr>
          <w:sz w:val="18"/>
          <w:szCs w:val="18"/>
          <w:vertAlign w:val="superscript"/>
        </w:rPr>
        <w:t xml:space="preserve">[] </w:t>
      </w:r>
      <w:r>
        <w:rPr>
          <w:sz w:val="22"/>
          <w:szCs w:val="22"/>
        </w:rPr>
        <w:t>IEEE Std 3004.5-2014, "Recommended Practice for UPS in Data Centers."</w:t>
      </w:r>
    </w:p>
    <w:p w14:paraId="6A6F4B60" w14:textId="77777777" w:rsidR="005E30F4" w:rsidRDefault="004976D6">
      <w:pPr>
        <w:spacing w:after="120"/>
        <w:jc w:val="both"/>
      </w:pPr>
      <w:r>
        <w:rPr>
          <w:sz w:val="18"/>
          <w:szCs w:val="18"/>
          <w:vertAlign w:val="superscript"/>
        </w:rPr>
        <w:t xml:space="preserve">[] </w:t>
      </w:r>
      <w:r>
        <w:rPr>
          <w:sz w:val="22"/>
          <w:szCs w:val="22"/>
        </w:rPr>
        <w:t>IEC 62040-3, "Uninterruptible Power Systems (UPS)."</w:t>
      </w:r>
    </w:p>
    <w:p w14:paraId="4AAB8A66" w14:textId="77777777" w:rsidR="005E30F4" w:rsidRDefault="004976D6">
      <w:pPr>
        <w:spacing w:after="120"/>
        <w:jc w:val="both"/>
      </w:pPr>
      <w:r>
        <w:rPr>
          <w:sz w:val="18"/>
          <w:szCs w:val="18"/>
          <w:vertAlign w:val="superscript"/>
        </w:rPr>
        <w:t xml:space="preserve">[] </w:t>
      </w:r>
      <w:r>
        <w:rPr>
          <w:sz w:val="22"/>
          <w:szCs w:val="22"/>
        </w:rPr>
        <w:t>Caterpillar, "Data Center Generator Sizing Guide," 2024.</w:t>
      </w:r>
    </w:p>
    <w:p w14:paraId="31E953CE" w14:textId="77777777" w:rsidR="005E30F4" w:rsidRDefault="004976D6">
      <w:pPr>
        <w:spacing w:after="120"/>
        <w:jc w:val="both"/>
      </w:pPr>
      <w:r>
        <w:rPr>
          <w:sz w:val="18"/>
          <w:szCs w:val="18"/>
          <w:vertAlign w:val="superscript"/>
        </w:rPr>
        <w:t xml:space="preserve">[] </w:t>
      </w:r>
      <w:r>
        <w:rPr>
          <w:sz w:val="22"/>
          <w:szCs w:val="22"/>
        </w:rPr>
        <w:t>Microsoft, "Hydrogen fuel cells for emission-free backup power," Jul. 2022.</w:t>
      </w:r>
    </w:p>
    <w:p w14:paraId="5F40DD20" w14:textId="77777777" w:rsidR="005E30F4" w:rsidRDefault="004976D6">
      <w:pPr>
        <w:spacing w:after="120"/>
        <w:jc w:val="both"/>
      </w:pPr>
      <w:r>
        <w:rPr>
          <w:sz w:val="18"/>
          <w:szCs w:val="18"/>
          <w:vertAlign w:val="superscript"/>
        </w:rPr>
        <w:t xml:space="preserve">[] </w:t>
      </w:r>
      <w:r>
        <w:rPr>
          <w:sz w:val="22"/>
          <w:szCs w:val="22"/>
        </w:rPr>
        <w:t>ASHRAE, "Thermal Guidelines for Data Processing Environments," 5th ed., 2021.</w:t>
      </w:r>
    </w:p>
    <w:p w14:paraId="567005EA" w14:textId="77777777" w:rsidR="005E30F4" w:rsidRDefault="004976D6">
      <w:pPr>
        <w:spacing w:after="120"/>
        <w:jc w:val="both"/>
      </w:pPr>
      <w:r>
        <w:rPr>
          <w:sz w:val="18"/>
          <w:szCs w:val="18"/>
          <w:vertAlign w:val="superscript"/>
        </w:rPr>
        <w:t xml:space="preserve">[] </w:t>
      </w:r>
      <w:r>
        <w:rPr>
          <w:sz w:val="22"/>
          <w:szCs w:val="22"/>
        </w:rPr>
        <w:t>ASHRAE TC 9.9, "Free Cooling Design Guide for Data Centers," 2023.</w:t>
      </w:r>
    </w:p>
    <w:p w14:paraId="229FD46D" w14:textId="77777777" w:rsidR="005E30F4" w:rsidRDefault="004976D6">
      <w:pPr>
        <w:spacing w:after="120"/>
        <w:jc w:val="both"/>
      </w:pPr>
      <w:r>
        <w:rPr>
          <w:sz w:val="18"/>
          <w:szCs w:val="18"/>
          <w:vertAlign w:val="superscript"/>
        </w:rPr>
        <w:t xml:space="preserve">[] </w:t>
      </w:r>
      <w:r>
        <w:rPr>
          <w:sz w:val="22"/>
          <w:szCs w:val="22"/>
        </w:rPr>
        <w:t>X. Wang et al., "Coupling of flexible PCMs and servers for data center cooling," Int. J. Heat Mass Transfer, 2024.</w:t>
      </w:r>
    </w:p>
    <w:p w14:paraId="68A51B15" w14:textId="77777777" w:rsidR="005E30F4" w:rsidRDefault="004976D6">
      <w:pPr>
        <w:spacing w:after="120"/>
        <w:jc w:val="both"/>
      </w:pPr>
      <w:r>
        <w:rPr>
          <w:sz w:val="18"/>
          <w:szCs w:val="18"/>
          <w:vertAlign w:val="superscript"/>
        </w:rPr>
        <w:t xml:space="preserve">[] </w:t>
      </w:r>
      <w:r>
        <w:rPr>
          <w:sz w:val="22"/>
          <w:szCs w:val="22"/>
        </w:rPr>
        <w:t>IEEE Std 1100-2005, "Recommended Practice for Powering and Grounding Electronic Equipment."</w:t>
      </w:r>
    </w:p>
    <w:p w14:paraId="210CEB64" w14:textId="77777777" w:rsidR="005E30F4" w:rsidRDefault="004976D6">
      <w:pPr>
        <w:spacing w:after="120"/>
        <w:jc w:val="both"/>
      </w:pPr>
      <w:r>
        <w:rPr>
          <w:sz w:val="18"/>
          <w:szCs w:val="18"/>
          <w:vertAlign w:val="superscript"/>
        </w:rPr>
        <w:t xml:space="preserve">[] </w:t>
      </w:r>
      <w:r>
        <w:rPr>
          <w:sz w:val="22"/>
          <w:szCs w:val="22"/>
        </w:rPr>
        <w:t>B. Singh et al., "Active power filters for harmonic mitigation," IEEE Trans. Ind. Electron., 2023.</w:t>
      </w:r>
    </w:p>
    <w:p w14:paraId="07AF3159" w14:textId="77777777" w:rsidR="005E30F4" w:rsidRDefault="004976D6">
      <w:pPr>
        <w:spacing w:after="120"/>
        <w:jc w:val="both"/>
      </w:pPr>
      <w:r>
        <w:rPr>
          <w:sz w:val="18"/>
          <w:szCs w:val="18"/>
          <w:vertAlign w:val="superscript"/>
        </w:rPr>
        <w:t xml:space="preserve">[] </w:t>
      </w:r>
      <w:r>
        <w:rPr>
          <w:sz w:val="22"/>
          <w:szCs w:val="22"/>
        </w:rPr>
        <w:t>80 PLUS, "Power Supply Efficiency Certification Program."</w:t>
      </w:r>
    </w:p>
    <w:p w14:paraId="6704EAE3" w14:textId="77777777" w:rsidR="005E30F4" w:rsidRDefault="004976D6">
      <w:pPr>
        <w:spacing w:after="120"/>
        <w:jc w:val="both"/>
      </w:pPr>
      <w:r>
        <w:rPr>
          <w:sz w:val="18"/>
          <w:szCs w:val="18"/>
          <w:vertAlign w:val="superscript"/>
        </w:rPr>
        <w:t xml:space="preserve">[] </w:t>
      </w:r>
      <w:r>
        <w:rPr>
          <w:sz w:val="22"/>
          <w:szCs w:val="22"/>
        </w:rPr>
        <w:t>ANSI C12.20, "Electricity Meters - 0.2 Accuracy Class."</w:t>
      </w:r>
    </w:p>
    <w:p w14:paraId="42B3F236" w14:textId="77777777" w:rsidR="005E30F4" w:rsidRDefault="004976D6">
      <w:pPr>
        <w:spacing w:after="120"/>
        <w:jc w:val="both"/>
      </w:pPr>
      <w:r>
        <w:rPr>
          <w:sz w:val="18"/>
          <w:szCs w:val="18"/>
          <w:vertAlign w:val="superscript"/>
        </w:rPr>
        <w:t xml:space="preserve">[] </w:t>
      </w:r>
      <w:r>
        <w:rPr>
          <w:sz w:val="22"/>
          <w:szCs w:val="22"/>
        </w:rPr>
        <w:t>Schneider Electric, "</w:t>
      </w:r>
      <w:proofErr w:type="spellStart"/>
      <w:r>
        <w:rPr>
          <w:sz w:val="22"/>
          <w:szCs w:val="22"/>
        </w:rPr>
        <w:t>EcoStruxure</w:t>
      </w:r>
      <w:proofErr w:type="spellEnd"/>
      <w:r>
        <w:rPr>
          <w:sz w:val="22"/>
          <w:szCs w:val="22"/>
        </w:rPr>
        <w:t xml:space="preserve"> Resource Advisor - Data Center EMS," 2024.</w:t>
      </w:r>
    </w:p>
    <w:p w14:paraId="0C5FE31A" w14:textId="77777777" w:rsidR="005E30F4" w:rsidRDefault="004976D6">
      <w:pPr>
        <w:spacing w:after="120"/>
        <w:jc w:val="both"/>
      </w:pPr>
      <w:r>
        <w:rPr>
          <w:sz w:val="18"/>
          <w:szCs w:val="18"/>
          <w:vertAlign w:val="superscript"/>
        </w:rPr>
        <w:t xml:space="preserve">[] </w:t>
      </w:r>
      <w:r>
        <w:rPr>
          <w:sz w:val="22"/>
          <w:szCs w:val="22"/>
        </w:rPr>
        <w:t>R. Evans et al., "Machine learning for data center cooling optimization," Nature Energy, 2024.</w:t>
      </w:r>
    </w:p>
    <w:p w14:paraId="55981BFC" w14:textId="77777777" w:rsidR="005E30F4" w:rsidRDefault="004976D6">
      <w:pPr>
        <w:spacing w:after="120"/>
        <w:jc w:val="both"/>
      </w:pPr>
      <w:r>
        <w:rPr>
          <w:sz w:val="18"/>
          <w:szCs w:val="18"/>
          <w:vertAlign w:val="superscript"/>
        </w:rPr>
        <w:t xml:space="preserve">[] </w:t>
      </w:r>
      <w:r>
        <w:rPr>
          <w:sz w:val="22"/>
          <w:szCs w:val="22"/>
        </w:rPr>
        <w:t>NREL, "Utility-Scale PV," in 2024 Annual Technology Baseline, 2024.</w:t>
      </w:r>
    </w:p>
    <w:p w14:paraId="47766D96" w14:textId="77777777" w:rsidR="005E30F4" w:rsidRDefault="004976D6">
      <w:pPr>
        <w:spacing w:after="120"/>
        <w:jc w:val="both"/>
      </w:pPr>
      <w:r>
        <w:rPr>
          <w:sz w:val="18"/>
          <w:szCs w:val="18"/>
          <w:vertAlign w:val="superscript"/>
        </w:rPr>
        <w:t xml:space="preserve">[] </w:t>
      </w:r>
      <w:r>
        <w:rPr>
          <w:sz w:val="22"/>
          <w:szCs w:val="22"/>
        </w:rPr>
        <w:t>NREL, "Annual Technology Baseline: The 2024 Electricity Update," 2024.</w:t>
      </w:r>
    </w:p>
    <w:p w14:paraId="2556E192" w14:textId="77777777" w:rsidR="005E30F4" w:rsidRDefault="004976D6">
      <w:pPr>
        <w:spacing w:after="120"/>
        <w:jc w:val="both"/>
      </w:pPr>
      <w:r>
        <w:rPr>
          <w:sz w:val="18"/>
          <w:szCs w:val="18"/>
          <w:vertAlign w:val="superscript"/>
        </w:rPr>
        <w:t xml:space="preserve">[] </w:t>
      </w:r>
      <w:r>
        <w:rPr>
          <w:sz w:val="22"/>
          <w:szCs w:val="22"/>
        </w:rPr>
        <w:t>SMA, "Advanced Inverter Functions for Grid Support," Technical Guide, 2024.</w:t>
      </w:r>
    </w:p>
    <w:p w14:paraId="11185BDC" w14:textId="77777777" w:rsidR="005E30F4" w:rsidRDefault="004976D6">
      <w:pPr>
        <w:spacing w:after="120"/>
        <w:jc w:val="both"/>
      </w:pPr>
      <w:r>
        <w:rPr>
          <w:sz w:val="18"/>
          <w:szCs w:val="18"/>
          <w:vertAlign w:val="superscript"/>
        </w:rPr>
        <w:t xml:space="preserve">[] </w:t>
      </w:r>
      <w:r>
        <w:rPr>
          <w:sz w:val="22"/>
          <w:szCs w:val="22"/>
        </w:rPr>
        <w:t>N. J. Cutler et al., "LiDAR-based wind resource assessment," Wind Energy, 2023.</w:t>
      </w:r>
    </w:p>
    <w:p w14:paraId="6E88B4C7" w14:textId="77777777" w:rsidR="005E30F4" w:rsidRDefault="004976D6">
      <w:pPr>
        <w:spacing w:after="120"/>
        <w:jc w:val="both"/>
      </w:pPr>
      <w:r>
        <w:rPr>
          <w:sz w:val="18"/>
          <w:szCs w:val="18"/>
          <w:vertAlign w:val="superscript"/>
        </w:rPr>
        <w:t xml:space="preserve">[] </w:t>
      </w:r>
      <w:r>
        <w:rPr>
          <w:sz w:val="22"/>
          <w:szCs w:val="22"/>
        </w:rPr>
        <w:t>NREL, "Offshore Wind Market Report: 2024 Edition," 2024.</w:t>
      </w:r>
    </w:p>
    <w:p w14:paraId="0D8C166E" w14:textId="77777777" w:rsidR="005E30F4" w:rsidRDefault="004976D6">
      <w:pPr>
        <w:spacing w:after="120"/>
        <w:jc w:val="both"/>
      </w:pPr>
      <w:r>
        <w:rPr>
          <w:sz w:val="18"/>
          <w:szCs w:val="18"/>
          <w:vertAlign w:val="superscript"/>
        </w:rPr>
        <w:t xml:space="preserve">[] </w:t>
      </w:r>
      <w:r>
        <w:rPr>
          <w:sz w:val="22"/>
          <w:szCs w:val="22"/>
        </w:rPr>
        <w:t>IRENA, "Innovative Operation of Pumped Hydropower Storage," Jul. 2020.</w:t>
      </w:r>
    </w:p>
    <w:p w14:paraId="52452F3C" w14:textId="77777777" w:rsidR="005E30F4" w:rsidRDefault="004976D6">
      <w:pPr>
        <w:spacing w:after="120"/>
        <w:jc w:val="both"/>
      </w:pPr>
      <w:r>
        <w:rPr>
          <w:sz w:val="18"/>
          <w:szCs w:val="18"/>
          <w:vertAlign w:val="superscript"/>
        </w:rPr>
        <w:t xml:space="preserve">[] </w:t>
      </w:r>
      <w:r>
        <w:rPr>
          <w:sz w:val="22"/>
          <w:szCs w:val="22"/>
        </w:rPr>
        <w:t>EC JRC, "PVGIS Typical Meteorological Year (TMY) Generator," 2024.</w:t>
      </w:r>
    </w:p>
    <w:p w14:paraId="4331F041" w14:textId="77777777" w:rsidR="005E30F4" w:rsidRDefault="004976D6">
      <w:pPr>
        <w:spacing w:after="120"/>
        <w:jc w:val="both"/>
      </w:pPr>
      <w:r>
        <w:rPr>
          <w:sz w:val="18"/>
          <w:szCs w:val="18"/>
          <w:vertAlign w:val="superscript"/>
        </w:rPr>
        <w:t xml:space="preserve">[] </w:t>
      </w:r>
      <w:r>
        <w:rPr>
          <w:sz w:val="22"/>
          <w:szCs w:val="22"/>
        </w:rPr>
        <w:t>S. C. S. de Lima et al., "Methodology for generating high time resolution TMY data," Solar Energy, 2019.</w:t>
      </w:r>
    </w:p>
    <w:p w14:paraId="6DDAD72F" w14:textId="77777777" w:rsidR="005E30F4" w:rsidRDefault="004976D6">
      <w:pPr>
        <w:spacing w:after="120"/>
        <w:jc w:val="both"/>
      </w:pPr>
      <w:r>
        <w:rPr>
          <w:sz w:val="18"/>
          <w:szCs w:val="18"/>
          <w:vertAlign w:val="superscript"/>
        </w:rPr>
        <w:t xml:space="preserve">[] </w:t>
      </w:r>
      <w:r>
        <w:rPr>
          <w:sz w:val="22"/>
          <w:szCs w:val="22"/>
        </w:rPr>
        <w:t>A. Al-Shammari et al., "Multi-criteria GIS-based approach for optimal site selection," Energy Reports, vol. 12, 2025.</w:t>
      </w:r>
    </w:p>
    <w:p w14:paraId="7F7E23A7" w14:textId="77777777" w:rsidR="005E30F4" w:rsidRDefault="004976D6">
      <w:pPr>
        <w:spacing w:after="120"/>
        <w:jc w:val="both"/>
      </w:pPr>
      <w:r>
        <w:rPr>
          <w:sz w:val="18"/>
          <w:szCs w:val="18"/>
          <w:vertAlign w:val="superscript"/>
        </w:rPr>
        <w:t xml:space="preserve">[] </w:t>
      </w:r>
      <w:r>
        <w:rPr>
          <w:sz w:val="22"/>
          <w:szCs w:val="22"/>
        </w:rPr>
        <w:t>T. Huld et al., "An improved typical meteorological year for solar energy system design," Sci. Rep., 2022.</w:t>
      </w:r>
    </w:p>
    <w:p w14:paraId="252AA7FE" w14:textId="77777777" w:rsidR="005E30F4" w:rsidRDefault="004976D6">
      <w:pPr>
        <w:spacing w:after="120"/>
        <w:jc w:val="both"/>
      </w:pPr>
      <w:r>
        <w:rPr>
          <w:sz w:val="18"/>
          <w:szCs w:val="18"/>
          <w:vertAlign w:val="superscript"/>
        </w:rPr>
        <w:t xml:space="preserve">[] </w:t>
      </w:r>
      <w:r>
        <w:rPr>
          <w:sz w:val="22"/>
          <w:szCs w:val="22"/>
        </w:rPr>
        <w:t>M. J. O'Malley et al., "Wind-solar complementarity in Europe," Energy, vol. 289, 2024.</w:t>
      </w:r>
    </w:p>
    <w:p w14:paraId="707B8B85" w14:textId="77777777" w:rsidR="005E30F4" w:rsidRDefault="004976D6">
      <w:pPr>
        <w:spacing w:after="120"/>
        <w:jc w:val="both"/>
      </w:pPr>
      <w:r>
        <w:rPr>
          <w:sz w:val="18"/>
          <w:szCs w:val="18"/>
          <w:vertAlign w:val="superscript"/>
        </w:rPr>
        <w:t xml:space="preserve">[] </w:t>
      </w:r>
      <w:r>
        <w:rPr>
          <w:sz w:val="22"/>
          <w:szCs w:val="22"/>
        </w:rPr>
        <w:t>M. Jerez et al., "Renewable energy quality trilemma," Commun. Earth Environ., 2024.</w:t>
      </w:r>
    </w:p>
    <w:p w14:paraId="4EA45BC3" w14:textId="77777777" w:rsidR="005E30F4" w:rsidRDefault="004976D6">
      <w:pPr>
        <w:spacing w:after="120"/>
        <w:jc w:val="both"/>
      </w:pPr>
      <w:r>
        <w:rPr>
          <w:sz w:val="18"/>
          <w:szCs w:val="18"/>
          <w:vertAlign w:val="superscript"/>
        </w:rPr>
        <w:t xml:space="preserve">[] </w:t>
      </w:r>
      <w:r>
        <w:rPr>
          <w:sz w:val="22"/>
          <w:szCs w:val="22"/>
        </w:rPr>
        <w:t>NREL/DOE, "Temporal Complementarity and Value of Wind-PV Hybrid Systems," 2022.</w:t>
      </w:r>
    </w:p>
    <w:p w14:paraId="126117CB" w14:textId="77777777" w:rsidR="005E30F4" w:rsidRDefault="004976D6">
      <w:pPr>
        <w:spacing w:after="120"/>
        <w:jc w:val="both"/>
      </w:pPr>
      <w:r>
        <w:rPr>
          <w:sz w:val="18"/>
          <w:szCs w:val="18"/>
          <w:vertAlign w:val="superscript"/>
        </w:rPr>
        <w:lastRenderedPageBreak/>
        <w:t xml:space="preserve">[] </w:t>
      </w:r>
      <w:r>
        <w:rPr>
          <w:sz w:val="22"/>
          <w:szCs w:val="22"/>
        </w:rPr>
        <w:t>Y. Yang et al., "Impact of climate change on wind and solar PV power potential," Geoscience Frontiers, 2025.</w:t>
      </w:r>
    </w:p>
    <w:p w14:paraId="31DA72F4" w14:textId="77777777" w:rsidR="005E30F4" w:rsidRDefault="004976D6">
      <w:pPr>
        <w:spacing w:after="120"/>
        <w:jc w:val="both"/>
      </w:pPr>
      <w:r>
        <w:rPr>
          <w:sz w:val="18"/>
          <w:szCs w:val="18"/>
          <w:vertAlign w:val="superscript"/>
        </w:rPr>
        <w:t xml:space="preserve">[] </w:t>
      </w:r>
      <w:r>
        <w:rPr>
          <w:sz w:val="22"/>
          <w:szCs w:val="22"/>
        </w:rPr>
        <w:t>R. Fu et al., "Cost Projections for Utility-Scale Battery Storage: 2025 Update," NREL, 2025.</w:t>
      </w:r>
    </w:p>
    <w:p w14:paraId="2478DAED" w14:textId="77777777" w:rsidR="005E30F4" w:rsidRDefault="004976D6">
      <w:pPr>
        <w:spacing w:after="120"/>
        <w:jc w:val="both"/>
      </w:pPr>
      <w:r>
        <w:rPr>
          <w:sz w:val="18"/>
          <w:szCs w:val="18"/>
          <w:vertAlign w:val="superscript"/>
        </w:rPr>
        <w:t xml:space="preserve">[] </w:t>
      </w:r>
      <w:r>
        <w:rPr>
          <w:sz w:val="22"/>
          <w:szCs w:val="22"/>
        </w:rPr>
        <w:t>O. Schmidt et al., "The future cost of electrical energy storage," Nature Energy, 2017.</w:t>
      </w:r>
    </w:p>
    <w:p w14:paraId="4B73793C" w14:textId="77777777" w:rsidR="005E30F4" w:rsidRDefault="004976D6">
      <w:pPr>
        <w:spacing w:after="120"/>
        <w:jc w:val="both"/>
      </w:pPr>
      <w:r>
        <w:rPr>
          <w:sz w:val="18"/>
          <w:szCs w:val="18"/>
          <w:vertAlign w:val="superscript"/>
        </w:rPr>
        <w:t xml:space="preserve">[] </w:t>
      </w:r>
      <w:r>
        <w:rPr>
          <w:sz w:val="22"/>
          <w:szCs w:val="22"/>
        </w:rPr>
        <w:t>T. R. et al., "Li-ion battery calendar aging mechanism analysis," J. Energy Storage, 2024.</w:t>
      </w:r>
    </w:p>
    <w:p w14:paraId="27FEC30C" w14:textId="77777777" w:rsidR="005E30F4" w:rsidRDefault="004976D6">
      <w:pPr>
        <w:spacing w:after="120"/>
        <w:jc w:val="both"/>
      </w:pPr>
      <w:r>
        <w:rPr>
          <w:sz w:val="18"/>
          <w:szCs w:val="18"/>
          <w:vertAlign w:val="superscript"/>
        </w:rPr>
        <w:t xml:space="preserve">[] </w:t>
      </w:r>
      <w:r>
        <w:rPr>
          <w:sz w:val="22"/>
          <w:szCs w:val="22"/>
        </w:rPr>
        <w:t>Y. Li et al., "A comprehensive review of LIB SOH estimation," J. Energy Storage, 2023.</w:t>
      </w:r>
    </w:p>
    <w:p w14:paraId="738D6B70" w14:textId="77777777" w:rsidR="005E30F4" w:rsidRDefault="004976D6">
      <w:pPr>
        <w:spacing w:after="120"/>
        <w:jc w:val="both"/>
      </w:pPr>
      <w:r>
        <w:rPr>
          <w:sz w:val="18"/>
          <w:szCs w:val="18"/>
          <w:vertAlign w:val="superscript"/>
        </w:rPr>
        <w:t xml:space="preserve">[] </w:t>
      </w:r>
      <w:r>
        <w:rPr>
          <w:sz w:val="22"/>
          <w:szCs w:val="22"/>
        </w:rPr>
        <w:t>Energy Storage News, "Form Energy signs 12GWh agreement for US AI data centres," 2025.</w:t>
      </w:r>
    </w:p>
    <w:p w14:paraId="135F9DDA" w14:textId="77777777" w:rsidR="005E30F4" w:rsidRDefault="004976D6">
      <w:pPr>
        <w:spacing w:after="120"/>
        <w:jc w:val="both"/>
      </w:pPr>
      <w:r>
        <w:rPr>
          <w:sz w:val="18"/>
          <w:szCs w:val="18"/>
          <w:vertAlign w:val="superscript"/>
        </w:rPr>
        <w:t xml:space="preserve">[] </w:t>
      </w:r>
      <w:r>
        <w:rPr>
          <w:sz w:val="22"/>
          <w:szCs w:val="22"/>
        </w:rPr>
        <w:t>Microsoft, "Hydrogen fuel cells for emission-free backup power," 2022.</w:t>
      </w:r>
    </w:p>
    <w:p w14:paraId="563778E7" w14:textId="77777777" w:rsidR="005E30F4" w:rsidRDefault="004976D6">
      <w:pPr>
        <w:spacing w:after="120"/>
        <w:jc w:val="both"/>
      </w:pPr>
      <w:r>
        <w:rPr>
          <w:sz w:val="18"/>
          <w:szCs w:val="18"/>
          <w:vertAlign w:val="superscript"/>
        </w:rPr>
        <w:t xml:space="preserve">[] </w:t>
      </w:r>
      <w:r>
        <w:rPr>
          <w:sz w:val="22"/>
          <w:szCs w:val="22"/>
        </w:rPr>
        <w:t>IRENA, "Green Hydrogen Cost Reduction: Scaling up Electrolysers," 2020.</w:t>
      </w:r>
    </w:p>
    <w:p w14:paraId="2926256A" w14:textId="77777777" w:rsidR="005E30F4" w:rsidRDefault="004976D6">
      <w:pPr>
        <w:spacing w:after="120"/>
        <w:jc w:val="both"/>
      </w:pPr>
      <w:r>
        <w:rPr>
          <w:sz w:val="18"/>
          <w:szCs w:val="18"/>
          <w:vertAlign w:val="superscript"/>
        </w:rPr>
        <w:t xml:space="preserve">[] </w:t>
      </w:r>
      <w:r>
        <w:rPr>
          <w:sz w:val="22"/>
          <w:szCs w:val="22"/>
        </w:rPr>
        <w:t>NERC, "Generating Reliability Criteria," BAL-001 through BAL-003.</w:t>
      </w:r>
    </w:p>
    <w:p w14:paraId="377611C6" w14:textId="77777777" w:rsidR="005E30F4" w:rsidRDefault="004976D6">
      <w:pPr>
        <w:spacing w:after="120"/>
        <w:jc w:val="both"/>
      </w:pPr>
      <w:r>
        <w:rPr>
          <w:sz w:val="18"/>
          <w:szCs w:val="18"/>
          <w:vertAlign w:val="superscript"/>
        </w:rPr>
        <w:t xml:space="preserve">[] </w:t>
      </w:r>
      <w:r>
        <w:rPr>
          <w:sz w:val="22"/>
          <w:szCs w:val="22"/>
        </w:rPr>
        <w:t>EPA, "Emissions from Diesel Generators," Technical Fact Sheet, 2023.</w:t>
      </w:r>
    </w:p>
    <w:p w14:paraId="4794B098" w14:textId="77777777" w:rsidR="005E30F4" w:rsidRDefault="004976D6">
      <w:pPr>
        <w:spacing w:after="120"/>
        <w:jc w:val="both"/>
      </w:pPr>
      <w:r>
        <w:rPr>
          <w:sz w:val="18"/>
          <w:szCs w:val="18"/>
          <w:vertAlign w:val="superscript"/>
        </w:rPr>
        <w:t xml:space="preserve">[] </w:t>
      </w:r>
      <w:r>
        <w:rPr>
          <w:sz w:val="22"/>
          <w:szCs w:val="22"/>
        </w:rPr>
        <w:t>J. Liu et al., "Natural gas generators for data center backup," Appl. Energy, 2023.</w:t>
      </w:r>
    </w:p>
    <w:p w14:paraId="2E47A4FD" w14:textId="77777777" w:rsidR="005E30F4" w:rsidRDefault="004976D6">
      <w:pPr>
        <w:spacing w:after="120"/>
        <w:jc w:val="both"/>
      </w:pPr>
      <w:r>
        <w:rPr>
          <w:sz w:val="18"/>
          <w:szCs w:val="18"/>
          <w:vertAlign w:val="superscript"/>
        </w:rPr>
        <w:t xml:space="preserve">[] </w:t>
      </w:r>
      <w:r>
        <w:rPr>
          <w:sz w:val="22"/>
          <w:szCs w:val="22"/>
        </w:rPr>
        <w:t>Capstone, "Microturbine Applications for Data Centers," White Paper, 2024.</w:t>
      </w:r>
    </w:p>
    <w:p w14:paraId="0D915BB9" w14:textId="77777777" w:rsidR="005E30F4" w:rsidRDefault="004976D6">
      <w:pPr>
        <w:spacing w:after="120"/>
        <w:jc w:val="both"/>
      </w:pPr>
      <w:r>
        <w:rPr>
          <w:sz w:val="18"/>
          <w:szCs w:val="18"/>
          <w:vertAlign w:val="superscript"/>
        </w:rPr>
        <w:t xml:space="preserve">[] </w:t>
      </w:r>
      <w:r>
        <w:rPr>
          <w:sz w:val="22"/>
          <w:szCs w:val="22"/>
        </w:rPr>
        <w:t>EPRI, "Utility Experiences Regarding Data Centers," Sept. 2024.</w:t>
      </w:r>
    </w:p>
    <w:p w14:paraId="1C788B92" w14:textId="77777777" w:rsidR="005E30F4" w:rsidRDefault="004976D6">
      <w:pPr>
        <w:spacing w:after="120"/>
        <w:jc w:val="both"/>
      </w:pPr>
      <w:r>
        <w:rPr>
          <w:sz w:val="18"/>
          <w:szCs w:val="18"/>
          <w:vertAlign w:val="superscript"/>
        </w:rPr>
        <w:t xml:space="preserve">[] </w:t>
      </w:r>
      <w:r>
        <w:rPr>
          <w:sz w:val="22"/>
          <w:szCs w:val="22"/>
        </w:rPr>
        <w:t>EIA, "Electric Power Annual 2024."</w:t>
      </w:r>
    </w:p>
    <w:p w14:paraId="578F1ED4" w14:textId="77777777" w:rsidR="005E30F4" w:rsidRDefault="004976D6">
      <w:pPr>
        <w:spacing w:after="120"/>
        <w:jc w:val="both"/>
      </w:pPr>
      <w:r>
        <w:rPr>
          <w:sz w:val="18"/>
          <w:szCs w:val="18"/>
          <w:vertAlign w:val="superscript"/>
        </w:rPr>
        <w:t xml:space="preserve">[] </w:t>
      </w:r>
      <w:r>
        <w:rPr>
          <w:sz w:val="22"/>
          <w:szCs w:val="22"/>
        </w:rPr>
        <w:t>A. A. et al., "Energy Storage Systems for AI Data Centers: A Review," Energies, 2025.</w:t>
      </w:r>
    </w:p>
    <w:p w14:paraId="289E8D19" w14:textId="77777777" w:rsidR="005E30F4" w:rsidRDefault="004976D6">
      <w:pPr>
        <w:spacing w:after="120"/>
        <w:jc w:val="both"/>
      </w:pPr>
      <w:r>
        <w:rPr>
          <w:sz w:val="18"/>
          <w:szCs w:val="18"/>
          <w:vertAlign w:val="superscript"/>
        </w:rPr>
        <w:t xml:space="preserve">[] </w:t>
      </w:r>
      <w:r>
        <w:rPr>
          <w:sz w:val="22"/>
          <w:szCs w:val="22"/>
        </w:rPr>
        <w:t>Z. Chen et al., "MPC-based control strategy for BESS," J. Energy Storage, 2022.</w:t>
      </w:r>
    </w:p>
    <w:p w14:paraId="6597C901" w14:textId="77777777" w:rsidR="005E30F4" w:rsidRDefault="004976D6">
      <w:pPr>
        <w:spacing w:after="120"/>
        <w:jc w:val="both"/>
      </w:pPr>
      <w:r>
        <w:rPr>
          <w:sz w:val="18"/>
          <w:szCs w:val="18"/>
          <w:vertAlign w:val="superscript"/>
        </w:rPr>
        <w:t xml:space="preserve">[] </w:t>
      </w:r>
      <w:r>
        <w:rPr>
          <w:sz w:val="22"/>
          <w:szCs w:val="22"/>
        </w:rPr>
        <w:t>M. H. et al., "Economic MPC for Microgrid Energy Management," Processes, 2025.</w:t>
      </w:r>
    </w:p>
    <w:p w14:paraId="0B070BCD" w14:textId="77777777" w:rsidR="005E30F4" w:rsidRDefault="004976D6">
      <w:pPr>
        <w:spacing w:after="120"/>
        <w:jc w:val="both"/>
      </w:pPr>
      <w:r>
        <w:rPr>
          <w:sz w:val="18"/>
          <w:szCs w:val="18"/>
          <w:vertAlign w:val="superscript"/>
        </w:rPr>
        <w:t xml:space="preserve">[] </w:t>
      </w:r>
      <w:r>
        <w:rPr>
          <w:sz w:val="22"/>
          <w:szCs w:val="22"/>
        </w:rPr>
        <w:t>NERC CIP, "Critical Infrastructure Protection Standards," Version 7.</w:t>
      </w:r>
    </w:p>
    <w:p w14:paraId="285C622F" w14:textId="77777777" w:rsidR="005E30F4" w:rsidRDefault="004976D6">
      <w:pPr>
        <w:spacing w:after="120"/>
        <w:jc w:val="both"/>
      </w:pPr>
      <w:r>
        <w:rPr>
          <w:sz w:val="18"/>
          <w:szCs w:val="18"/>
          <w:vertAlign w:val="superscript"/>
        </w:rPr>
        <w:t xml:space="preserve">[] </w:t>
      </w:r>
      <w:r>
        <w:rPr>
          <w:sz w:val="22"/>
          <w:szCs w:val="22"/>
        </w:rPr>
        <w:t>R. D. Zimmerman et al., "MATPOWER: Steady-State Operations," IEEE TPWRS, 2011.</w:t>
      </w:r>
    </w:p>
    <w:p w14:paraId="7B2F6D14" w14:textId="77777777" w:rsidR="005E30F4" w:rsidRDefault="004976D6">
      <w:pPr>
        <w:spacing w:after="120"/>
        <w:jc w:val="both"/>
      </w:pPr>
      <w:r>
        <w:rPr>
          <w:sz w:val="18"/>
          <w:szCs w:val="18"/>
          <w:vertAlign w:val="superscript"/>
        </w:rPr>
        <w:t xml:space="preserve">[] </w:t>
      </w:r>
      <w:r>
        <w:rPr>
          <w:sz w:val="22"/>
          <w:szCs w:val="22"/>
        </w:rPr>
        <w:t xml:space="preserve">B. Stott and O. </w:t>
      </w:r>
      <w:proofErr w:type="spellStart"/>
      <w:r>
        <w:rPr>
          <w:sz w:val="22"/>
          <w:szCs w:val="22"/>
        </w:rPr>
        <w:t>Alsac</w:t>
      </w:r>
      <w:proofErr w:type="spellEnd"/>
      <w:r>
        <w:rPr>
          <w:sz w:val="22"/>
          <w:szCs w:val="22"/>
        </w:rPr>
        <w:t>, "Fast Decoupled Load Flow," IEEE Trans. Power App. Syst., 1974.</w:t>
      </w:r>
    </w:p>
    <w:p w14:paraId="65788775" w14:textId="77777777" w:rsidR="005E30F4" w:rsidRDefault="004976D6">
      <w:pPr>
        <w:spacing w:after="120"/>
        <w:jc w:val="both"/>
      </w:pPr>
      <w:r>
        <w:rPr>
          <w:sz w:val="18"/>
          <w:szCs w:val="18"/>
          <w:vertAlign w:val="superscript"/>
        </w:rPr>
        <w:t xml:space="preserve">[] </w:t>
      </w:r>
      <w:r>
        <w:rPr>
          <w:sz w:val="22"/>
          <w:szCs w:val="22"/>
        </w:rPr>
        <w:t xml:space="preserve">M. </w:t>
      </w:r>
      <w:proofErr w:type="spellStart"/>
      <w:r>
        <w:rPr>
          <w:sz w:val="22"/>
          <w:szCs w:val="22"/>
        </w:rPr>
        <w:t>Huneault</w:t>
      </w:r>
      <w:proofErr w:type="spellEnd"/>
      <w:r>
        <w:rPr>
          <w:sz w:val="22"/>
          <w:szCs w:val="22"/>
        </w:rPr>
        <w:t xml:space="preserve"> and F. D. Galiana, "A survey of the optimal power flow literature," IEEE Trans. Power Syst., 1991.</w:t>
      </w:r>
    </w:p>
    <w:p w14:paraId="5BF1829F" w14:textId="77777777" w:rsidR="005E30F4" w:rsidRDefault="004976D6">
      <w:pPr>
        <w:spacing w:after="120"/>
        <w:jc w:val="both"/>
      </w:pPr>
      <w:r>
        <w:rPr>
          <w:sz w:val="18"/>
          <w:szCs w:val="18"/>
          <w:vertAlign w:val="superscript"/>
        </w:rPr>
        <w:t xml:space="preserve">[] </w:t>
      </w:r>
      <w:r>
        <w:rPr>
          <w:sz w:val="22"/>
          <w:szCs w:val="22"/>
        </w:rPr>
        <w:t>NERC, "TPL-001: Transmission System Planning Performance Requirements."</w:t>
      </w:r>
    </w:p>
    <w:p w14:paraId="5B2CF5E9" w14:textId="77777777" w:rsidR="005E30F4" w:rsidRDefault="004976D6">
      <w:pPr>
        <w:spacing w:after="120"/>
        <w:jc w:val="both"/>
      </w:pPr>
      <w:r>
        <w:rPr>
          <w:sz w:val="18"/>
          <w:szCs w:val="18"/>
          <w:vertAlign w:val="superscript"/>
        </w:rPr>
        <w:t xml:space="preserve">[] </w:t>
      </w:r>
      <w:proofErr w:type="spellStart"/>
      <w:r>
        <w:rPr>
          <w:sz w:val="22"/>
          <w:szCs w:val="22"/>
        </w:rPr>
        <w:t>DIgSILENT</w:t>
      </w:r>
      <w:proofErr w:type="spellEnd"/>
      <w:r>
        <w:rPr>
          <w:sz w:val="22"/>
          <w:szCs w:val="22"/>
        </w:rPr>
        <w:t>, "</w:t>
      </w:r>
      <w:proofErr w:type="spellStart"/>
      <w:r>
        <w:rPr>
          <w:sz w:val="22"/>
          <w:szCs w:val="22"/>
        </w:rPr>
        <w:t>PowerFactory</w:t>
      </w:r>
      <w:proofErr w:type="spellEnd"/>
      <w:r>
        <w:rPr>
          <w:sz w:val="22"/>
          <w:szCs w:val="22"/>
        </w:rPr>
        <w:t xml:space="preserve"> Technical Reference," 2024.</w:t>
      </w:r>
    </w:p>
    <w:p w14:paraId="66E2D7EA" w14:textId="77777777" w:rsidR="005E30F4" w:rsidRDefault="004976D6">
      <w:pPr>
        <w:spacing w:after="120"/>
        <w:jc w:val="both"/>
      </w:pPr>
      <w:r>
        <w:rPr>
          <w:sz w:val="18"/>
          <w:szCs w:val="18"/>
          <w:vertAlign w:val="superscript"/>
        </w:rPr>
        <w:t xml:space="preserve">[] </w:t>
      </w:r>
      <w:r>
        <w:rPr>
          <w:sz w:val="22"/>
          <w:szCs w:val="22"/>
        </w:rPr>
        <w:t>J. Matevosyan et al., "Grid-forming inverters for power system stability," IEEE Power Energy Mag., 2023.</w:t>
      </w:r>
    </w:p>
    <w:p w14:paraId="278217E8" w14:textId="77777777" w:rsidR="005E30F4" w:rsidRDefault="004976D6">
      <w:pPr>
        <w:spacing w:after="120"/>
        <w:jc w:val="both"/>
      </w:pPr>
      <w:r>
        <w:rPr>
          <w:sz w:val="18"/>
          <w:szCs w:val="18"/>
          <w:vertAlign w:val="superscript"/>
        </w:rPr>
        <w:t xml:space="preserve">[] </w:t>
      </w:r>
      <w:r>
        <w:rPr>
          <w:sz w:val="22"/>
          <w:szCs w:val="22"/>
        </w:rPr>
        <w:t>IEEE Std 2030.7, "Standard for Interconnection of Microgrids."</w:t>
      </w:r>
    </w:p>
    <w:p w14:paraId="44DBE856" w14:textId="77777777" w:rsidR="005E30F4" w:rsidRDefault="004976D6">
      <w:pPr>
        <w:spacing w:after="120"/>
        <w:jc w:val="both"/>
      </w:pPr>
      <w:r>
        <w:rPr>
          <w:sz w:val="18"/>
          <w:szCs w:val="18"/>
          <w:vertAlign w:val="superscript"/>
        </w:rPr>
        <w:t xml:space="preserve">[] </w:t>
      </w:r>
      <w:r>
        <w:rPr>
          <w:sz w:val="22"/>
          <w:szCs w:val="22"/>
        </w:rPr>
        <w:t>Bi et al., "Renewable grid stability with high penetration," IEEE Access, 2025.</w:t>
      </w:r>
    </w:p>
    <w:p w14:paraId="436D08E7" w14:textId="77777777" w:rsidR="005E30F4" w:rsidRDefault="004976D6">
      <w:pPr>
        <w:spacing w:after="120"/>
        <w:jc w:val="both"/>
      </w:pPr>
      <w:r>
        <w:rPr>
          <w:sz w:val="18"/>
          <w:szCs w:val="18"/>
          <w:vertAlign w:val="superscript"/>
        </w:rPr>
        <w:t xml:space="preserve">[] </w:t>
      </w:r>
      <w:r>
        <w:rPr>
          <w:sz w:val="22"/>
          <w:szCs w:val="22"/>
        </w:rPr>
        <w:t>NERC, "Inverter-Based Resource Performance Issues," 2023.</w:t>
      </w:r>
    </w:p>
    <w:p w14:paraId="48FB61B4" w14:textId="77777777" w:rsidR="005E30F4" w:rsidRDefault="004976D6">
      <w:pPr>
        <w:spacing w:after="120"/>
        <w:jc w:val="both"/>
      </w:pPr>
      <w:r>
        <w:rPr>
          <w:sz w:val="18"/>
          <w:szCs w:val="18"/>
          <w:vertAlign w:val="superscript"/>
        </w:rPr>
        <w:t xml:space="preserve">[] </w:t>
      </w:r>
      <w:r>
        <w:rPr>
          <w:sz w:val="22"/>
          <w:szCs w:val="22"/>
        </w:rPr>
        <w:t>J. Arrillaga and N. R. Watson, Power System Harmonics, 2nd ed. Wiley, 2003.</w:t>
      </w:r>
    </w:p>
    <w:p w14:paraId="6EE023C9" w14:textId="77777777" w:rsidR="005E30F4" w:rsidRDefault="004976D6">
      <w:pPr>
        <w:spacing w:after="120"/>
        <w:jc w:val="both"/>
      </w:pPr>
      <w:r>
        <w:rPr>
          <w:sz w:val="18"/>
          <w:szCs w:val="18"/>
          <w:vertAlign w:val="superscript"/>
        </w:rPr>
        <w:lastRenderedPageBreak/>
        <w:t xml:space="preserve">[] </w:t>
      </w:r>
      <w:r>
        <w:rPr>
          <w:sz w:val="22"/>
          <w:szCs w:val="22"/>
        </w:rPr>
        <w:t>A. Bhattacharya et al., "Active power filters for data center applications," IEEE Ind. Appl. Mag., 2024.</w:t>
      </w:r>
    </w:p>
    <w:p w14:paraId="27C9B75A" w14:textId="77777777" w:rsidR="005E30F4" w:rsidRDefault="004976D6">
      <w:pPr>
        <w:spacing w:after="120"/>
        <w:jc w:val="both"/>
      </w:pPr>
      <w:r>
        <w:rPr>
          <w:sz w:val="18"/>
          <w:szCs w:val="18"/>
          <w:vertAlign w:val="superscript"/>
        </w:rPr>
        <w:t xml:space="preserve">[] </w:t>
      </w:r>
      <w:r>
        <w:rPr>
          <w:sz w:val="22"/>
          <w:szCs w:val="22"/>
        </w:rPr>
        <w:t>HOMER Energy, "HOMER Pro User Manual," 2024.</w:t>
      </w:r>
    </w:p>
    <w:p w14:paraId="008BCFBE" w14:textId="77777777" w:rsidR="005E30F4" w:rsidRDefault="004976D6">
      <w:pPr>
        <w:spacing w:after="120"/>
        <w:jc w:val="both"/>
      </w:pPr>
      <w:r>
        <w:rPr>
          <w:sz w:val="18"/>
          <w:szCs w:val="18"/>
          <w:vertAlign w:val="superscript"/>
        </w:rPr>
        <w:t xml:space="preserve">[] </w:t>
      </w:r>
      <w:r>
        <w:rPr>
          <w:sz w:val="22"/>
          <w:szCs w:val="22"/>
        </w:rPr>
        <w:t>MathWorks, "</w:t>
      </w:r>
      <w:proofErr w:type="spellStart"/>
      <w:r>
        <w:rPr>
          <w:sz w:val="22"/>
          <w:szCs w:val="22"/>
        </w:rPr>
        <w:t>Simscape</w:t>
      </w:r>
      <w:proofErr w:type="spellEnd"/>
      <w:r>
        <w:rPr>
          <w:sz w:val="22"/>
          <w:szCs w:val="22"/>
        </w:rPr>
        <w:t xml:space="preserve"> Electrical User's Guide," 2024.</w:t>
      </w:r>
    </w:p>
    <w:p w14:paraId="0EAD498C" w14:textId="77777777" w:rsidR="005E30F4" w:rsidRDefault="004976D6">
      <w:pPr>
        <w:spacing w:after="120"/>
        <w:jc w:val="both"/>
      </w:pPr>
      <w:r>
        <w:rPr>
          <w:sz w:val="18"/>
          <w:szCs w:val="18"/>
          <w:vertAlign w:val="superscript"/>
        </w:rPr>
        <w:t xml:space="preserve">[] </w:t>
      </w:r>
      <w:r>
        <w:rPr>
          <w:sz w:val="22"/>
          <w:szCs w:val="22"/>
        </w:rPr>
        <w:t>L. Thurner et al., "</w:t>
      </w:r>
      <w:proofErr w:type="spellStart"/>
      <w:r>
        <w:rPr>
          <w:sz w:val="22"/>
          <w:szCs w:val="22"/>
        </w:rPr>
        <w:t>Pandapower</w:t>
      </w:r>
      <w:proofErr w:type="spellEnd"/>
      <w:r>
        <w:rPr>
          <w:sz w:val="22"/>
          <w:szCs w:val="22"/>
        </w:rPr>
        <w:t xml:space="preserve"> - An </w:t>
      </w:r>
      <w:proofErr w:type="gramStart"/>
      <w:r>
        <w:rPr>
          <w:sz w:val="22"/>
          <w:szCs w:val="22"/>
        </w:rPr>
        <w:t>Open Source</w:t>
      </w:r>
      <w:proofErr w:type="gramEnd"/>
      <w:r>
        <w:rPr>
          <w:sz w:val="22"/>
          <w:szCs w:val="22"/>
        </w:rPr>
        <w:t xml:space="preserve"> Power System Analysis Toolbox," IEEE Trans. Power Syst., 2018.</w:t>
      </w:r>
    </w:p>
    <w:p w14:paraId="28EB4911" w14:textId="77777777" w:rsidR="005E30F4" w:rsidRDefault="004976D6">
      <w:pPr>
        <w:spacing w:after="120"/>
        <w:jc w:val="both"/>
      </w:pPr>
      <w:r>
        <w:rPr>
          <w:sz w:val="18"/>
          <w:szCs w:val="18"/>
          <w:vertAlign w:val="superscript"/>
        </w:rPr>
        <w:t xml:space="preserve">[] </w:t>
      </w:r>
      <w:r>
        <w:rPr>
          <w:sz w:val="22"/>
          <w:szCs w:val="22"/>
        </w:rPr>
        <w:t>M. Khalid and A. V. Savkin, "Model predictive control for renewable energy systems," IEEE Trans. Sustain. Energy, 2022.</w:t>
      </w:r>
    </w:p>
    <w:p w14:paraId="655EE1E9" w14:textId="77777777" w:rsidR="005E30F4" w:rsidRDefault="004976D6">
      <w:pPr>
        <w:spacing w:after="120"/>
        <w:jc w:val="both"/>
      </w:pPr>
      <w:r>
        <w:rPr>
          <w:sz w:val="18"/>
          <w:szCs w:val="18"/>
          <w:vertAlign w:val="superscript"/>
        </w:rPr>
        <w:t xml:space="preserve">[] </w:t>
      </w:r>
      <w:r>
        <w:rPr>
          <w:sz w:val="22"/>
          <w:szCs w:val="22"/>
        </w:rPr>
        <w:t>J. M. Morales et al., Integrating Renewables in Electricity Markets, Springer, 2014.</w:t>
      </w:r>
    </w:p>
    <w:p w14:paraId="040D89D8" w14:textId="77777777" w:rsidR="005E30F4" w:rsidRDefault="004976D6">
      <w:pPr>
        <w:spacing w:after="120"/>
        <w:jc w:val="both"/>
      </w:pPr>
      <w:r>
        <w:rPr>
          <w:sz w:val="18"/>
          <w:szCs w:val="18"/>
          <w:vertAlign w:val="superscript"/>
        </w:rPr>
        <w:t xml:space="preserve">[] </w:t>
      </w:r>
      <w:r>
        <w:rPr>
          <w:sz w:val="22"/>
          <w:szCs w:val="22"/>
        </w:rPr>
        <w:t>S. Pelland et al., "Solar forecasting," in Solar Energy Forecasting, Elsevier, 2023.</w:t>
      </w:r>
    </w:p>
    <w:p w14:paraId="166DC557" w14:textId="77777777" w:rsidR="005E30F4" w:rsidRDefault="004976D6">
      <w:pPr>
        <w:spacing w:after="120"/>
        <w:jc w:val="both"/>
      </w:pPr>
      <w:r>
        <w:rPr>
          <w:sz w:val="18"/>
          <w:szCs w:val="18"/>
          <w:vertAlign w:val="superscript"/>
        </w:rPr>
        <w:t xml:space="preserve">[] </w:t>
      </w:r>
      <w:r>
        <w:rPr>
          <w:sz w:val="22"/>
          <w:szCs w:val="22"/>
        </w:rPr>
        <w:t>Y. Zhang et al., "Deep learning for solar and wind forecasting: A review," Renew. Sustain. Energy Rev., 2024.</w:t>
      </w:r>
    </w:p>
    <w:p w14:paraId="0C3851FB" w14:textId="77777777" w:rsidR="005E30F4" w:rsidRDefault="004976D6">
      <w:pPr>
        <w:spacing w:after="120"/>
        <w:jc w:val="both"/>
      </w:pPr>
      <w:r>
        <w:rPr>
          <w:sz w:val="18"/>
          <w:szCs w:val="18"/>
          <w:vertAlign w:val="superscript"/>
        </w:rPr>
        <w:t xml:space="preserve">[] </w:t>
      </w:r>
      <w:r>
        <w:rPr>
          <w:sz w:val="22"/>
          <w:szCs w:val="22"/>
        </w:rPr>
        <w:t>Wang et al., "Reinforcement learning for microgrid EMS," Nature Sci. Rep., 2024.</w:t>
      </w:r>
    </w:p>
    <w:p w14:paraId="67ADC693" w14:textId="77777777" w:rsidR="005E30F4" w:rsidRDefault="004976D6">
      <w:pPr>
        <w:spacing w:after="120"/>
        <w:jc w:val="both"/>
      </w:pPr>
      <w:r>
        <w:rPr>
          <w:sz w:val="18"/>
          <w:szCs w:val="18"/>
          <w:vertAlign w:val="superscript"/>
        </w:rPr>
        <w:t xml:space="preserve">[] </w:t>
      </w:r>
      <w:r>
        <w:rPr>
          <w:sz w:val="22"/>
          <w:szCs w:val="22"/>
        </w:rPr>
        <w:t>B. Chen et al., "Digital twin for power system predictive control," Appl. Energy, 2024.</w:t>
      </w:r>
    </w:p>
    <w:p w14:paraId="10A7DEAE" w14:textId="77777777" w:rsidR="005E30F4" w:rsidRDefault="004976D6">
      <w:pPr>
        <w:spacing w:after="120"/>
        <w:jc w:val="both"/>
      </w:pPr>
      <w:r>
        <w:rPr>
          <w:sz w:val="18"/>
          <w:szCs w:val="18"/>
          <w:vertAlign w:val="superscript"/>
        </w:rPr>
        <w:t xml:space="preserve">[] </w:t>
      </w:r>
      <w:r>
        <w:rPr>
          <w:sz w:val="22"/>
          <w:szCs w:val="22"/>
        </w:rPr>
        <w:t>S. Mishra et al., "ML generalization challenges in grid control," IEEE Access, 2025.</w:t>
      </w:r>
    </w:p>
    <w:p w14:paraId="1316748F" w14:textId="77777777" w:rsidR="005E30F4" w:rsidRDefault="004976D6">
      <w:pPr>
        <w:spacing w:after="120"/>
        <w:jc w:val="both"/>
      </w:pPr>
      <w:r>
        <w:rPr>
          <w:sz w:val="18"/>
          <w:szCs w:val="18"/>
          <w:vertAlign w:val="superscript"/>
        </w:rPr>
        <w:t xml:space="preserve">[] </w:t>
      </w:r>
      <w:r>
        <w:rPr>
          <w:sz w:val="22"/>
          <w:szCs w:val="22"/>
        </w:rPr>
        <w:t>DOE, "Climate Resilience Toolkit for Energy Infrastructure," 2024.</w:t>
      </w:r>
    </w:p>
    <w:p w14:paraId="5F824007" w14:textId="77777777" w:rsidR="005E30F4" w:rsidRDefault="004976D6">
      <w:pPr>
        <w:spacing w:after="120"/>
        <w:jc w:val="both"/>
      </w:pPr>
      <w:r>
        <w:rPr>
          <w:sz w:val="18"/>
          <w:szCs w:val="18"/>
          <w:vertAlign w:val="superscript"/>
        </w:rPr>
        <w:t xml:space="preserve">[] </w:t>
      </w:r>
      <w:r>
        <w:rPr>
          <w:sz w:val="22"/>
          <w:szCs w:val="22"/>
        </w:rPr>
        <w:t xml:space="preserve">J. Schmidt et al., "Are renewable energy technologies cost </w:t>
      </w:r>
      <w:proofErr w:type="gramStart"/>
      <w:r>
        <w:rPr>
          <w:sz w:val="22"/>
          <w:szCs w:val="22"/>
        </w:rPr>
        <w:t>competitive?,</w:t>
      </w:r>
      <w:proofErr w:type="gramEnd"/>
      <w:r>
        <w:rPr>
          <w:sz w:val="22"/>
          <w:szCs w:val="22"/>
        </w:rPr>
        <w:t>" Renew. Energy, 2022.</w:t>
      </w:r>
    </w:p>
    <w:p w14:paraId="22DF4195" w14:textId="77777777" w:rsidR="005E30F4" w:rsidRDefault="004976D6">
      <w:pPr>
        <w:spacing w:after="120"/>
        <w:jc w:val="both"/>
      </w:pPr>
      <w:r>
        <w:rPr>
          <w:sz w:val="18"/>
          <w:szCs w:val="18"/>
          <w:vertAlign w:val="superscript"/>
        </w:rPr>
        <w:t xml:space="preserve">[] </w:t>
      </w:r>
      <w:r>
        <w:rPr>
          <w:sz w:val="22"/>
          <w:szCs w:val="22"/>
        </w:rPr>
        <w:t>A. Pratt et al., "DC vs AC data center power distribution," IEEE Trans. Smart Grid, 2023.</w:t>
      </w:r>
    </w:p>
    <w:p w14:paraId="69E3C053" w14:textId="77777777" w:rsidR="005E30F4" w:rsidRDefault="004976D6">
      <w:pPr>
        <w:spacing w:after="120"/>
        <w:jc w:val="both"/>
      </w:pPr>
      <w:r>
        <w:rPr>
          <w:sz w:val="18"/>
          <w:szCs w:val="18"/>
          <w:vertAlign w:val="superscript"/>
        </w:rPr>
        <w:t xml:space="preserve">[] </w:t>
      </w:r>
      <w:r>
        <w:rPr>
          <w:sz w:val="22"/>
          <w:szCs w:val="22"/>
        </w:rPr>
        <w:t>A. A. et al., "Multi-facility energy optimization for data centers," IEEE Trans. Smart Grid, 2024.</w:t>
      </w:r>
    </w:p>
    <w:p w14:paraId="61563021" w14:textId="77777777" w:rsidR="005E30F4" w:rsidRDefault="004976D6">
      <w:pPr>
        <w:spacing w:after="120"/>
        <w:jc w:val="both"/>
      </w:pPr>
      <w:r>
        <w:rPr>
          <w:sz w:val="18"/>
          <w:szCs w:val="18"/>
          <w:vertAlign w:val="superscript"/>
        </w:rPr>
        <w:t xml:space="preserve">[] </w:t>
      </w:r>
      <w:r>
        <w:rPr>
          <w:sz w:val="22"/>
          <w:szCs w:val="22"/>
        </w:rPr>
        <w:t xml:space="preserve">I. </w:t>
      </w:r>
      <w:proofErr w:type="spellStart"/>
      <w:r>
        <w:rPr>
          <w:sz w:val="22"/>
          <w:szCs w:val="22"/>
        </w:rPr>
        <w:t>Goiri</w:t>
      </w:r>
      <w:proofErr w:type="spellEnd"/>
      <w:r>
        <w:rPr>
          <w:sz w:val="22"/>
          <w:szCs w:val="22"/>
        </w:rPr>
        <w:t xml:space="preserve"> et al., "</w:t>
      </w:r>
      <w:proofErr w:type="spellStart"/>
      <w:r>
        <w:rPr>
          <w:sz w:val="22"/>
          <w:szCs w:val="22"/>
        </w:rPr>
        <w:t>GreenSlot</w:t>
      </w:r>
      <w:proofErr w:type="spellEnd"/>
      <w:r>
        <w:rPr>
          <w:sz w:val="22"/>
          <w:szCs w:val="22"/>
        </w:rPr>
        <w:t>: Scheduling energy consumption in data centers," in Proc. ACM SIGMETRICS, 2011.</w:t>
      </w:r>
    </w:p>
    <w:p w14:paraId="4281451E" w14:textId="77777777" w:rsidR="005E30F4" w:rsidRDefault="004976D6">
      <w:pPr>
        <w:spacing w:after="120"/>
        <w:jc w:val="both"/>
      </w:pPr>
      <w:r>
        <w:rPr>
          <w:sz w:val="18"/>
          <w:szCs w:val="18"/>
          <w:vertAlign w:val="superscript"/>
        </w:rPr>
        <w:t xml:space="preserve">[] </w:t>
      </w:r>
      <w:r>
        <w:rPr>
          <w:sz w:val="22"/>
          <w:szCs w:val="22"/>
        </w:rPr>
        <w:t>Y. Zhang et al., "Control strategies for optimized microgrid operations," IET RPG, 2024.</w:t>
      </w:r>
    </w:p>
    <w:p w14:paraId="744575A6" w14:textId="77777777" w:rsidR="005E30F4" w:rsidRDefault="004976D6">
      <w:pPr>
        <w:spacing w:after="120"/>
        <w:jc w:val="both"/>
      </w:pPr>
      <w:r>
        <w:rPr>
          <w:sz w:val="18"/>
          <w:szCs w:val="18"/>
          <w:vertAlign w:val="superscript"/>
        </w:rPr>
        <w:t xml:space="preserve">[] </w:t>
      </w:r>
      <w:r>
        <w:rPr>
          <w:sz w:val="22"/>
          <w:szCs w:val="22"/>
        </w:rPr>
        <w:t>Kubernetes, "Kubernetes Scheduler Framework Documentation," 2024.</w:t>
      </w:r>
    </w:p>
    <w:p w14:paraId="27BF54C5" w14:textId="77777777" w:rsidR="005E30F4" w:rsidRDefault="004976D6">
      <w:pPr>
        <w:spacing w:after="120"/>
        <w:jc w:val="both"/>
      </w:pPr>
      <w:r>
        <w:rPr>
          <w:sz w:val="18"/>
          <w:szCs w:val="18"/>
          <w:vertAlign w:val="superscript"/>
        </w:rPr>
        <w:t xml:space="preserve">[] </w:t>
      </w:r>
      <w:r>
        <w:rPr>
          <w:sz w:val="22"/>
          <w:szCs w:val="22"/>
        </w:rPr>
        <w:t>ASHRAE, "Dynamic Setpoint Management for Data Centers," 2023.</w:t>
      </w:r>
    </w:p>
    <w:p w14:paraId="7223DFF5" w14:textId="77777777" w:rsidR="005E30F4" w:rsidRDefault="004976D6">
      <w:pPr>
        <w:spacing w:after="120"/>
        <w:jc w:val="both"/>
      </w:pPr>
      <w:r>
        <w:rPr>
          <w:sz w:val="18"/>
          <w:szCs w:val="18"/>
          <w:vertAlign w:val="superscript"/>
        </w:rPr>
        <w:t xml:space="preserve">[] </w:t>
      </w:r>
      <w:proofErr w:type="spellStart"/>
      <w:r>
        <w:rPr>
          <w:sz w:val="22"/>
          <w:szCs w:val="22"/>
        </w:rPr>
        <w:t>EcoDataCenter</w:t>
      </w:r>
      <w:proofErr w:type="spellEnd"/>
      <w:r>
        <w:rPr>
          <w:sz w:val="22"/>
          <w:szCs w:val="22"/>
        </w:rPr>
        <w:t>, "2024 Sustainability Report," 2025.</w:t>
      </w:r>
    </w:p>
    <w:p w14:paraId="6553A466" w14:textId="77777777" w:rsidR="005E30F4" w:rsidRDefault="004976D6">
      <w:pPr>
        <w:spacing w:after="120"/>
        <w:jc w:val="both"/>
      </w:pPr>
      <w:r>
        <w:rPr>
          <w:sz w:val="18"/>
          <w:szCs w:val="18"/>
          <w:vertAlign w:val="superscript"/>
        </w:rPr>
        <w:t xml:space="preserve">[] </w:t>
      </w:r>
      <w:r>
        <w:rPr>
          <w:sz w:val="22"/>
          <w:szCs w:val="22"/>
        </w:rPr>
        <w:t>NREL, "Simple Levelized Cost of Energy Calculator," 2024.</w:t>
      </w:r>
    </w:p>
    <w:p w14:paraId="54D6DA8F" w14:textId="77777777" w:rsidR="005E30F4" w:rsidRDefault="004976D6">
      <w:pPr>
        <w:spacing w:after="120"/>
        <w:jc w:val="both"/>
      </w:pPr>
      <w:r>
        <w:rPr>
          <w:sz w:val="18"/>
          <w:szCs w:val="18"/>
          <w:vertAlign w:val="superscript"/>
        </w:rPr>
        <w:t xml:space="preserve">[] </w:t>
      </w:r>
      <w:r>
        <w:rPr>
          <w:sz w:val="22"/>
          <w:szCs w:val="22"/>
        </w:rPr>
        <w:t>U.S. Congress, "Inflation Reduction Act of 2022," Public Law 117-169.</w:t>
      </w:r>
    </w:p>
    <w:p w14:paraId="518B834E" w14:textId="77777777" w:rsidR="005E30F4" w:rsidRDefault="004976D6">
      <w:pPr>
        <w:spacing w:after="120"/>
        <w:jc w:val="both"/>
      </w:pPr>
      <w:r>
        <w:rPr>
          <w:sz w:val="18"/>
          <w:szCs w:val="18"/>
          <w:vertAlign w:val="superscript"/>
        </w:rPr>
        <w:t xml:space="preserve">[] </w:t>
      </w:r>
      <w:r>
        <w:rPr>
          <w:sz w:val="22"/>
          <w:szCs w:val="22"/>
        </w:rPr>
        <w:t>BNEF, "Clean Energy Investment Outlook," 2025.</w:t>
      </w:r>
    </w:p>
    <w:p w14:paraId="70391BA1" w14:textId="77777777" w:rsidR="005E30F4" w:rsidRDefault="004976D6">
      <w:pPr>
        <w:spacing w:after="120"/>
        <w:jc w:val="both"/>
      </w:pPr>
      <w:r>
        <w:rPr>
          <w:sz w:val="18"/>
          <w:szCs w:val="18"/>
          <w:vertAlign w:val="superscript"/>
        </w:rPr>
        <w:t xml:space="preserve">[] </w:t>
      </w:r>
      <w:r>
        <w:rPr>
          <w:sz w:val="22"/>
          <w:szCs w:val="22"/>
        </w:rPr>
        <w:t>Uptime Institute, "Tier Standard: Operational Sustainability," 2022.</w:t>
      </w:r>
    </w:p>
    <w:p w14:paraId="59E5D697" w14:textId="77777777" w:rsidR="005E30F4" w:rsidRDefault="004976D6">
      <w:pPr>
        <w:spacing w:after="120"/>
        <w:jc w:val="both"/>
      </w:pPr>
      <w:r>
        <w:rPr>
          <w:sz w:val="18"/>
          <w:szCs w:val="18"/>
          <w:vertAlign w:val="superscript"/>
        </w:rPr>
        <w:t xml:space="preserve">[] </w:t>
      </w:r>
      <w:r>
        <w:rPr>
          <w:sz w:val="22"/>
          <w:szCs w:val="22"/>
        </w:rPr>
        <w:t>NFPA 110, "Standard for Emergency and Standby Power Systems."</w:t>
      </w:r>
    </w:p>
    <w:p w14:paraId="6166364C" w14:textId="77777777" w:rsidR="005E30F4" w:rsidRDefault="004976D6">
      <w:pPr>
        <w:spacing w:after="120"/>
        <w:jc w:val="both"/>
      </w:pPr>
      <w:r>
        <w:rPr>
          <w:sz w:val="18"/>
          <w:szCs w:val="18"/>
          <w:vertAlign w:val="superscript"/>
        </w:rPr>
        <w:t xml:space="preserve">[] </w:t>
      </w:r>
      <w:r>
        <w:rPr>
          <w:sz w:val="22"/>
          <w:szCs w:val="22"/>
        </w:rPr>
        <w:t>GHG Protocol, "Corporate Standard," Rev. ed., 2015.</w:t>
      </w:r>
    </w:p>
    <w:p w14:paraId="293DDA7A" w14:textId="77777777" w:rsidR="005E30F4" w:rsidRDefault="004976D6">
      <w:pPr>
        <w:spacing w:after="120"/>
        <w:jc w:val="both"/>
      </w:pPr>
      <w:r>
        <w:rPr>
          <w:sz w:val="18"/>
          <w:szCs w:val="18"/>
          <w:vertAlign w:val="superscript"/>
        </w:rPr>
        <w:t xml:space="preserve">[] </w:t>
      </w:r>
      <w:r>
        <w:rPr>
          <w:sz w:val="22"/>
          <w:szCs w:val="22"/>
        </w:rPr>
        <w:t xml:space="preserve">"The carbon and water footprints of data centers," </w:t>
      </w:r>
      <w:proofErr w:type="spellStart"/>
      <w:r>
        <w:rPr>
          <w:sz w:val="22"/>
          <w:szCs w:val="22"/>
        </w:rPr>
        <w:t>iScience</w:t>
      </w:r>
      <w:proofErr w:type="spellEnd"/>
      <w:r>
        <w:rPr>
          <w:sz w:val="22"/>
          <w:szCs w:val="22"/>
        </w:rPr>
        <w:t>, 2025.</w:t>
      </w:r>
    </w:p>
    <w:p w14:paraId="44F33E21" w14:textId="77777777" w:rsidR="005E30F4" w:rsidRDefault="004976D6">
      <w:pPr>
        <w:spacing w:after="120"/>
        <w:jc w:val="both"/>
      </w:pPr>
      <w:r>
        <w:rPr>
          <w:sz w:val="18"/>
          <w:szCs w:val="18"/>
          <w:vertAlign w:val="superscript"/>
        </w:rPr>
        <w:lastRenderedPageBreak/>
        <w:t xml:space="preserve">[] </w:t>
      </w:r>
      <w:r>
        <w:rPr>
          <w:sz w:val="22"/>
          <w:szCs w:val="22"/>
        </w:rPr>
        <w:t>Bloom Energy, "Server Reliability and Stack Replacement Data," 2024.</w:t>
      </w:r>
    </w:p>
    <w:p w14:paraId="42A36097" w14:textId="77777777" w:rsidR="005E30F4" w:rsidRDefault="004976D6">
      <w:pPr>
        <w:spacing w:after="120"/>
        <w:jc w:val="both"/>
      </w:pPr>
      <w:r>
        <w:rPr>
          <w:sz w:val="18"/>
          <w:szCs w:val="18"/>
          <w:vertAlign w:val="superscript"/>
        </w:rPr>
        <w:t xml:space="preserve">[] </w:t>
      </w:r>
      <w:r>
        <w:rPr>
          <w:sz w:val="22"/>
          <w:szCs w:val="22"/>
        </w:rPr>
        <w:t>Microsoft, "Agreement to Purchase Fusion Energy from Helion," 2023.</w:t>
      </w:r>
    </w:p>
    <w:p w14:paraId="10BD4A37" w14:textId="77777777" w:rsidR="005E30F4" w:rsidRDefault="004976D6">
      <w:pPr>
        <w:spacing w:after="120"/>
        <w:jc w:val="both"/>
      </w:pPr>
      <w:r>
        <w:rPr>
          <w:sz w:val="18"/>
          <w:szCs w:val="18"/>
          <w:vertAlign w:val="superscript"/>
        </w:rPr>
        <w:t xml:space="preserve">[] </w:t>
      </w:r>
      <w:r>
        <w:rPr>
          <w:sz w:val="22"/>
          <w:szCs w:val="22"/>
        </w:rPr>
        <w:t>Equinix, "2024 Sustainability Report: 96% Renewable Coverage."</w:t>
      </w:r>
    </w:p>
    <w:p w14:paraId="48D4CCCA" w14:textId="77777777" w:rsidR="005E30F4" w:rsidRDefault="004976D6">
      <w:pPr>
        <w:spacing w:after="120"/>
        <w:jc w:val="both"/>
      </w:pPr>
      <w:r>
        <w:rPr>
          <w:sz w:val="18"/>
          <w:szCs w:val="18"/>
          <w:vertAlign w:val="superscript"/>
        </w:rPr>
        <w:t xml:space="preserve">[] </w:t>
      </w:r>
      <w:r>
        <w:rPr>
          <w:sz w:val="22"/>
          <w:szCs w:val="22"/>
        </w:rPr>
        <w:t>Apple, "Environmental Progress Report 2024: Supply Chain."</w:t>
      </w:r>
    </w:p>
    <w:p w14:paraId="26C12CB0" w14:textId="77777777" w:rsidR="005E30F4" w:rsidRDefault="004976D6">
      <w:pPr>
        <w:spacing w:after="120"/>
        <w:jc w:val="both"/>
      </w:pPr>
      <w:r>
        <w:rPr>
          <w:sz w:val="18"/>
          <w:szCs w:val="18"/>
          <w:vertAlign w:val="superscript"/>
        </w:rPr>
        <w:t xml:space="preserve">[] </w:t>
      </w:r>
      <w:r>
        <w:rPr>
          <w:sz w:val="22"/>
          <w:szCs w:val="22"/>
        </w:rPr>
        <w:t>EPRI, "Analyzing AI and Data Center Energy Demand," May 2024.</w:t>
      </w:r>
    </w:p>
    <w:p w14:paraId="5BDC2477" w14:textId="77777777" w:rsidR="005E30F4" w:rsidRDefault="004976D6">
      <w:pPr>
        <w:spacing w:after="120"/>
        <w:jc w:val="both"/>
      </w:pPr>
      <w:r>
        <w:rPr>
          <w:sz w:val="18"/>
          <w:szCs w:val="18"/>
          <w:vertAlign w:val="superscript"/>
        </w:rPr>
        <w:t xml:space="preserve">[] </w:t>
      </w:r>
      <w:r>
        <w:rPr>
          <w:sz w:val="22"/>
          <w:szCs w:val="22"/>
        </w:rPr>
        <w:t>NERC, "IBR Frequency Response Requirements," 2024.</w:t>
      </w:r>
    </w:p>
    <w:p w14:paraId="276FE2D7" w14:textId="77777777" w:rsidR="005E30F4" w:rsidRDefault="004976D6">
      <w:pPr>
        <w:spacing w:after="120"/>
        <w:jc w:val="both"/>
      </w:pPr>
      <w:r>
        <w:rPr>
          <w:sz w:val="18"/>
          <w:szCs w:val="18"/>
          <w:vertAlign w:val="superscript"/>
        </w:rPr>
        <w:t xml:space="preserve">[] </w:t>
      </w:r>
      <w:r>
        <w:rPr>
          <w:sz w:val="22"/>
          <w:szCs w:val="22"/>
        </w:rPr>
        <w:t>FERC, "Order No. 2023: Improvements to Generator Interconnection," 2023.</w:t>
      </w:r>
    </w:p>
    <w:p w14:paraId="0A5E2461" w14:textId="77777777" w:rsidR="005E30F4" w:rsidRDefault="004976D6">
      <w:pPr>
        <w:spacing w:after="120"/>
        <w:jc w:val="both"/>
      </w:pPr>
      <w:r>
        <w:rPr>
          <w:sz w:val="18"/>
          <w:szCs w:val="18"/>
          <w:vertAlign w:val="superscript"/>
        </w:rPr>
        <w:t xml:space="preserve">[] </w:t>
      </w:r>
      <w:r>
        <w:rPr>
          <w:sz w:val="22"/>
          <w:szCs w:val="22"/>
        </w:rPr>
        <w:t>PJM, "Frequency Regulation Market Results," 2024.</w:t>
      </w:r>
    </w:p>
    <w:p w14:paraId="58A661A6" w14:textId="77777777" w:rsidR="005E30F4" w:rsidRDefault="004976D6">
      <w:pPr>
        <w:spacing w:after="120"/>
        <w:jc w:val="both"/>
      </w:pPr>
      <w:r>
        <w:rPr>
          <w:sz w:val="18"/>
          <w:szCs w:val="18"/>
          <w:vertAlign w:val="superscript"/>
        </w:rPr>
        <w:t xml:space="preserve">[] </w:t>
      </w:r>
      <w:r>
        <w:rPr>
          <w:sz w:val="22"/>
          <w:szCs w:val="22"/>
        </w:rPr>
        <w:t>J. Zhu et al., "Deep learning to estimate LIB SOH," Nature Commun., 2023.</w:t>
      </w:r>
    </w:p>
    <w:p w14:paraId="01FCF0EE" w14:textId="77777777" w:rsidR="005E30F4" w:rsidRDefault="004976D6">
      <w:pPr>
        <w:spacing w:after="120"/>
        <w:jc w:val="both"/>
      </w:pPr>
      <w:r>
        <w:rPr>
          <w:sz w:val="18"/>
          <w:szCs w:val="18"/>
          <w:vertAlign w:val="superscript"/>
        </w:rPr>
        <w:t xml:space="preserve">[] </w:t>
      </w:r>
      <w:r>
        <w:rPr>
          <w:sz w:val="22"/>
          <w:szCs w:val="22"/>
        </w:rPr>
        <w:t>NERC CIP-013, "Supply Chain Risk Management."</w:t>
      </w:r>
    </w:p>
    <w:p w14:paraId="5FB382D8" w14:textId="77777777" w:rsidR="005E30F4" w:rsidRDefault="004976D6">
      <w:pPr>
        <w:spacing w:after="120"/>
        <w:jc w:val="both"/>
      </w:pPr>
      <w:r>
        <w:rPr>
          <w:sz w:val="18"/>
          <w:szCs w:val="18"/>
          <w:vertAlign w:val="superscript"/>
        </w:rPr>
        <w:t xml:space="preserve">[] </w:t>
      </w:r>
      <w:r>
        <w:rPr>
          <w:sz w:val="22"/>
          <w:szCs w:val="22"/>
        </w:rPr>
        <w:t>IEC 62351, "Power Systems Management and Associated Information Exchange."</w:t>
      </w:r>
    </w:p>
    <w:p w14:paraId="04AF9501" w14:textId="77777777" w:rsidR="005E30F4" w:rsidRDefault="004976D6">
      <w:pPr>
        <w:spacing w:after="120"/>
        <w:jc w:val="both"/>
      </w:pPr>
      <w:r>
        <w:rPr>
          <w:sz w:val="18"/>
          <w:szCs w:val="18"/>
          <w:vertAlign w:val="superscript"/>
        </w:rPr>
        <w:t xml:space="preserve">[] </w:t>
      </w:r>
      <w:r>
        <w:rPr>
          <w:sz w:val="22"/>
          <w:szCs w:val="22"/>
        </w:rPr>
        <w:t>NIST, "Cybersecurity Framework," Version 2.0, 2024.</w:t>
      </w:r>
    </w:p>
    <w:p w14:paraId="5EF40D7F" w14:textId="77777777" w:rsidR="005E30F4" w:rsidRDefault="004976D6">
      <w:pPr>
        <w:spacing w:after="120"/>
        <w:jc w:val="both"/>
      </w:pPr>
      <w:r>
        <w:rPr>
          <w:sz w:val="18"/>
          <w:szCs w:val="18"/>
          <w:vertAlign w:val="superscript"/>
        </w:rPr>
        <w:t xml:space="preserve">[] </w:t>
      </w:r>
      <w:r>
        <w:rPr>
          <w:sz w:val="22"/>
          <w:szCs w:val="22"/>
        </w:rPr>
        <w:t>EPRI, "Powering Data Centers: U.S. Requirements," Oct. 2024.</w:t>
      </w:r>
    </w:p>
    <w:p w14:paraId="53B69B93" w14:textId="77777777" w:rsidR="005E30F4" w:rsidRDefault="004976D6">
      <w:pPr>
        <w:spacing w:after="120"/>
        <w:jc w:val="both"/>
      </w:pPr>
      <w:r>
        <w:rPr>
          <w:sz w:val="18"/>
          <w:szCs w:val="18"/>
          <w:vertAlign w:val="superscript"/>
        </w:rPr>
        <w:t xml:space="preserve">[] </w:t>
      </w:r>
      <w:r>
        <w:rPr>
          <w:sz w:val="22"/>
          <w:szCs w:val="22"/>
        </w:rPr>
        <w:t>NREL, "Solar PV O&amp;M Best Practices," 2024.</w:t>
      </w:r>
    </w:p>
    <w:p w14:paraId="1F7B3976" w14:textId="77777777" w:rsidR="005E30F4" w:rsidRDefault="004976D6">
      <w:pPr>
        <w:spacing w:after="120"/>
        <w:jc w:val="both"/>
      </w:pPr>
      <w:r>
        <w:rPr>
          <w:sz w:val="18"/>
          <w:szCs w:val="18"/>
          <w:vertAlign w:val="superscript"/>
        </w:rPr>
        <w:t xml:space="preserve">[] </w:t>
      </w:r>
      <w:r>
        <w:rPr>
          <w:sz w:val="22"/>
          <w:szCs w:val="22"/>
        </w:rPr>
        <w:t>B. Zohuri, "Redox flow batteries as energy storage systems," RSC Adv., 2025.</w:t>
      </w:r>
    </w:p>
    <w:p w14:paraId="55581C4A" w14:textId="77777777" w:rsidR="005E30F4" w:rsidRDefault="004976D6">
      <w:pPr>
        <w:spacing w:after="120"/>
        <w:jc w:val="both"/>
      </w:pPr>
      <w:r>
        <w:rPr>
          <w:sz w:val="18"/>
          <w:szCs w:val="18"/>
          <w:vertAlign w:val="superscript"/>
        </w:rPr>
        <w:t xml:space="preserve">[] </w:t>
      </w:r>
      <w:r>
        <w:rPr>
          <w:sz w:val="22"/>
          <w:szCs w:val="22"/>
        </w:rPr>
        <w:t>IRENA, "Renewable Power Generation Costs in 2024," 2025.</w:t>
      </w:r>
    </w:p>
    <w:p w14:paraId="3042141B" w14:textId="77777777" w:rsidR="005E30F4" w:rsidRDefault="004976D6">
      <w:pPr>
        <w:spacing w:after="120"/>
        <w:jc w:val="both"/>
      </w:pPr>
      <w:r>
        <w:rPr>
          <w:sz w:val="18"/>
          <w:szCs w:val="18"/>
          <w:vertAlign w:val="superscript"/>
        </w:rPr>
        <w:t xml:space="preserve">[] </w:t>
      </w:r>
      <w:r>
        <w:rPr>
          <w:sz w:val="22"/>
          <w:szCs w:val="22"/>
        </w:rPr>
        <w:t>"Energy solutions for data center: LCOE analysis," Energy, 2025.</w:t>
      </w:r>
    </w:p>
    <w:p w14:paraId="720A25C0" w14:textId="77777777" w:rsidR="005E30F4" w:rsidRDefault="004976D6">
      <w:pPr>
        <w:spacing w:after="120"/>
        <w:jc w:val="both"/>
      </w:pPr>
      <w:r>
        <w:rPr>
          <w:sz w:val="18"/>
          <w:szCs w:val="18"/>
          <w:vertAlign w:val="superscript"/>
        </w:rPr>
        <w:t xml:space="preserve">[] </w:t>
      </w:r>
      <w:proofErr w:type="spellStart"/>
      <w:r>
        <w:rPr>
          <w:sz w:val="22"/>
          <w:szCs w:val="22"/>
        </w:rPr>
        <w:t>LevelTen</w:t>
      </w:r>
      <w:proofErr w:type="spellEnd"/>
      <w:r>
        <w:rPr>
          <w:sz w:val="22"/>
          <w:szCs w:val="22"/>
        </w:rPr>
        <w:t xml:space="preserve"> Energy, "PPA Price Index Q1 2024."</w:t>
      </w:r>
    </w:p>
    <w:p w14:paraId="0A571DB5" w14:textId="77777777" w:rsidR="005E30F4" w:rsidRDefault="004976D6">
      <w:pPr>
        <w:spacing w:after="120"/>
        <w:jc w:val="both"/>
      </w:pPr>
      <w:r>
        <w:rPr>
          <w:sz w:val="18"/>
          <w:szCs w:val="18"/>
          <w:vertAlign w:val="superscript"/>
        </w:rPr>
        <w:t xml:space="preserve">[] </w:t>
      </w:r>
      <w:r>
        <w:rPr>
          <w:sz w:val="22"/>
          <w:szCs w:val="22"/>
        </w:rPr>
        <w:t>EIA, "Short-Term Energy Outlook," 2025.</w:t>
      </w:r>
    </w:p>
    <w:p w14:paraId="4B1B4C0B" w14:textId="77777777" w:rsidR="005E30F4" w:rsidRDefault="004976D6">
      <w:pPr>
        <w:spacing w:after="120"/>
        <w:jc w:val="both"/>
      </w:pPr>
      <w:r>
        <w:rPr>
          <w:sz w:val="18"/>
          <w:szCs w:val="18"/>
          <w:vertAlign w:val="superscript"/>
        </w:rPr>
        <w:t xml:space="preserve">[] </w:t>
      </w:r>
      <w:r>
        <w:rPr>
          <w:sz w:val="22"/>
          <w:szCs w:val="22"/>
        </w:rPr>
        <w:t>RE100/Climate Group, "Guidance on Corporate PPA Procurement," 2024.</w:t>
      </w:r>
    </w:p>
    <w:p w14:paraId="7141310A" w14:textId="77777777" w:rsidR="005E30F4" w:rsidRDefault="004976D6">
      <w:pPr>
        <w:spacing w:after="120"/>
        <w:jc w:val="both"/>
      </w:pPr>
      <w:r>
        <w:rPr>
          <w:sz w:val="18"/>
          <w:szCs w:val="18"/>
          <w:vertAlign w:val="superscript"/>
        </w:rPr>
        <w:t xml:space="preserve">[] </w:t>
      </w:r>
      <w:r>
        <w:rPr>
          <w:sz w:val="22"/>
          <w:szCs w:val="22"/>
        </w:rPr>
        <w:t>BNEF, "Corporate PPA Market Report 2024."</w:t>
      </w:r>
    </w:p>
    <w:p w14:paraId="6D032DD0" w14:textId="77777777" w:rsidR="005E30F4" w:rsidRDefault="004976D6">
      <w:pPr>
        <w:spacing w:after="120"/>
        <w:jc w:val="both"/>
      </w:pPr>
      <w:r>
        <w:rPr>
          <w:sz w:val="18"/>
          <w:szCs w:val="18"/>
          <w:vertAlign w:val="superscript"/>
        </w:rPr>
        <w:t xml:space="preserve">[] </w:t>
      </w:r>
      <w:r>
        <w:rPr>
          <w:sz w:val="22"/>
          <w:szCs w:val="22"/>
        </w:rPr>
        <w:t>U.S. Treasury/IRS, "MACRS Depreciation Tables for Renewable Energy."</w:t>
      </w:r>
    </w:p>
    <w:p w14:paraId="2E017508" w14:textId="77777777" w:rsidR="005E30F4" w:rsidRDefault="004976D6">
      <w:pPr>
        <w:spacing w:after="120"/>
        <w:jc w:val="both"/>
      </w:pPr>
      <w:r>
        <w:rPr>
          <w:sz w:val="18"/>
          <w:szCs w:val="18"/>
          <w:vertAlign w:val="superscript"/>
        </w:rPr>
        <w:t xml:space="preserve">[] </w:t>
      </w:r>
      <w:r>
        <w:rPr>
          <w:sz w:val="22"/>
          <w:szCs w:val="22"/>
        </w:rPr>
        <w:t>NREL, "SAM (System Advisor Model) Financial Parameters," 2024.</w:t>
      </w:r>
    </w:p>
    <w:p w14:paraId="08F3801D" w14:textId="77777777" w:rsidR="005E30F4" w:rsidRDefault="004976D6">
      <w:pPr>
        <w:spacing w:after="120"/>
        <w:jc w:val="both"/>
      </w:pPr>
      <w:r>
        <w:rPr>
          <w:sz w:val="18"/>
          <w:szCs w:val="18"/>
          <w:vertAlign w:val="superscript"/>
        </w:rPr>
        <w:t xml:space="preserve">[] </w:t>
      </w:r>
      <w:proofErr w:type="spellStart"/>
      <w:r>
        <w:rPr>
          <w:sz w:val="22"/>
          <w:szCs w:val="22"/>
        </w:rPr>
        <w:t>Ponemon</w:t>
      </w:r>
      <w:proofErr w:type="spellEnd"/>
      <w:r>
        <w:rPr>
          <w:sz w:val="22"/>
          <w:szCs w:val="22"/>
        </w:rPr>
        <w:t xml:space="preserve"> Institute, "Cost of Data Center Outages," 2024.</w:t>
      </w:r>
    </w:p>
    <w:p w14:paraId="0086819A" w14:textId="77777777" w:rsidR="005E30F4" w:rsidRDefault="004976D6">
      <w:pPr>
        <w:spacing w:after="120"/>
        <w:jc w:val="both"/>
      </w:pPr>
      <w:r>
        <w:rPr>
          <w:sz w:val="18"/>
          <w:szCs w:val="18"/>
          <w:vertAlign w:val="superscript"/>
        </w:rPr>
        <w:t xml:space="preserve">[] </w:t>
      </w:r>
      <w:r>
        <w:rPr>
          <w:sz w:val="22"/>
          <w:szCs w:val="22"/>
        </w:rPr>
        <w:t xml:space="preserve">R. Feldman and A. Levinson, "Do RPS Deliver Cost-Effective Carbon </w:t>
      </w:r>
      <w:proofErr w:type="gramStart"/>
      <w:r>
        <w:rPr>
          <w:sz w:val="22"/>
          <w:szCs w:val="22"/>
        </w:rPr>
        <w:t>Abatement?,</w:t>
      </w:r>
      <w:proofErr w:type="gramEnd"/>
      <w:r>
        <w:rPr>
          <w:sz w:val="22"/>
          <w:szCs w:val="22"/>
        </w:rPr>
        <w:t>" U. Chicago, 2024.</w:t>
      </w:r>
    </w:p>
    <w:p w14:paraId="432692BD" w14:textId="77777777" w:rsidR="005E30F4" w:rsidRDefault="004976D6">
      <w:pPr>
        <w:spacing w:after="120"/>
        <w:jc w:val="both"/>
      </w:pPr>
      <w:r>
        <w:rPr>
          <w:sz w:val="18"/>
          <w:szCs w:val="18"/>
          <w:vertAlign w:val="superscript"/>
        </w:rPr>
        <w:t xml:space="preserve">[] </w:t>
      </w:r>
      <w:r>
        <w:rPr>
          <w:sz w:val="22"/>
          <w:szCs w:val="22"/>
        </w:rPr>
        <w:t>NRDC, "A Better Path to Managing Data Center Load Growth," 2025.</w:t>
      </w:r>
    </w:p>
    <w:p w14:paraId="39D8336E" w14:textId="77777777" w:rsidR="005E30F4" w:rsidRDefault="004976D6">
      <w:pPr>
        <w:spacing w:after="120"/>
        <w:jc w:val="both"/>
      </w:pPr>
      <w:r>
        <w:rPr>
          <w:sz w:val="18"/>
          <w:szCs w:val="18"/>
          <w:vertAlign w:val="superscript"/>
        </w:rPr>
        <w:t xml:space="preserve">[] </w:t>
      </w:r>
      <w:r>
        <w:rPr>
          <w:sz w:val="22"/>
          <w:szCs w:val="22"/>
        </w:rPr>
        <w:t xml:space="preserve">A. </w:t>
      </w:r>
      <w:proofErr w:type="spellStart"/>
      <w:r>
        <w:rPr>
          <w:sz w:val="22"/>
          <w:szCs w:val="22"/>
        </w:rPr>
        <w:t>Botterud</w:t>
      </w:r>
      <w:proofErr w:type="spellEnd"/>
      <w:r>
        <w:rPr>
          <w:sz w:val="22"/>
          <w:szCs w:val="22"/>
        </w:rPr>
        <w:t xml:space="preserve"> et al., "Wind power forecasting uncertainty and system operation," IEEE Trans. Sustain. Energy, 2023.</w:t>
      </w:r>
    </w:p>
    <w:p w14:paraId="3639CEF0" w14:textId="77777777" w:rsidR="005E30F4" w:rsidRDefault="004976D6">
      <w:pPr>
        <w:spacing w:after="120"/>
        <w:jc w:val="both"/>
      </w:pPr>
      <w:r>
        <w:rPr>
          <w:sz w:val="18"/>
          <w:szCs w:val="18"/>
          <w:vertAlign w:val="superscript"/>
        </w:rPr>
        <w:t xml:space="preserve">[] </w:t>
      </w:r>
      <w:r>
        <w:rPr>
          <w:sz w:val="22"/>
          <w:szCs w:val="22"/>
        </w:rPr>
        <w:t xml:space="preserve">I. </w:t>
      </w:r>
      <w:proofErr w:type="spellStart"/>
      <w:r>
        <w:rPr>
          <w:sz w:val="22"/>
          <w:szCs w:val="22"/>
        </w:rPr>
        <w:t>Goiri</w:t>
      </w:r>
      <w:proofErr w:type="spellEnd"/>
      <w:r>
        <w:rPr>
          <w:sz w:val="22"/>
          <w:szCs w:val="22"/>
        </w:rPr>
        <w:t xml:space="preserve"> et al., "Parasol and </w:t>
      </w:r>
      <w:proofErr w:type="spellStart"/>
      <w:r>
        <w:rPr>
          <w:sz w:val="22"/>
          <w:szCs w:val="22"/>
        </w:rPr>
        <w:t>GreenSwitch</w:t>
      </w:r>
      <w:proofErr w:type="spellEnd"/>
      <w:r>
        <w:rPr>
          <w:sz w:val="22"/>
          <w:szCs w:val="22"/>
        </w:rPr>
        <w:t>," ACM SIGMETRICS, 2015.</w:t>
      </w:r>
    </w:p>
    <w:p w14:paraId="62C4AE11" w14:textId="77777777" w:rsidR="005E30F4" w:rsidRDefault="004976D6">
      <w:pPr>
        <w:spacing w:after="120"/>
        <w:jc w:val="both"/>
      </w:pPr>
      <w:r>
        <w:rPr>
          <w:sz w:val="18"/>
          <w:szCs w:val="18"/>
          <w:vertAlign w:val="superscript"/>
        </w:rPr>
        <w:t xml:space="preserve">[] </w:t>
      </w:r>
      <w:r>
        <w:rPr>
          <w:sz w:val="22"/>
          <w:szCs w:val="22"/>
        </w:rPr>
        <w:t>W. Deng et al., "Carbon-aware workload scheduling," in Proc. ACM ASPLOS, 2023.</w:t>
      </w:r>
    </w:p>
    <w:p w14:paraId="2E56BD0F" w14:textId="77777777" w:rsidR="005E30F4" w:rsidRDefault="004976D6">
      <w:pPr>
        <w:spacing w:after="120"/>
        <w:jc w:val="both"/>
      </w:pPr>
      <w:r>
        <w:rPr>
          <w:sz w:val="18"/>
          <w:szCs w:val="18"/>
          <w:vertAlign w:val="superscript"/>
        </w:rPr>
        <w:t xml:space="preserve">[] </w:t>
      </w:r>
      <w:r>
        <w:rPr>
          <w:sz w:val="22"/>
          <w:szCs w:val="22"/>
        </w:rPr>
        <w:t>M. Jerez et al., "Wind-solar complementarity across Europe," Energy, 2024.</w:t>
      </w:r>
    </w:p>
    <w:p w14:paraId="509FBE17" w14:textId="77777777" w:rsidR="005E30F4" w:rsidRDefault="004976D6">
      <w:pPr>
        <w:spacing w:after="120"/>
        <w:jc w:val="both"/>
      </w:pPr>
      <w:r>
        <w:rPr>
          <w:sz w:val="18"/>
          <w:szCs w:val="18"/>
          <w:vertAlign w:val="superscript"/>
        </w:rPr>
        <w:lastRenderedPageBreak/>
        <w:t xml:space="preserve">[] </w:t>
      </w:r>
      <w:proofErr w:type="spellStart"/>
      <w:r>
        <w:rPr>
          <w:sz w:val="22"/>
          <w:szCs w:val="22"/>
        </w:rPr>
        <w:t>Telegeography</w:t>
      </w:r>
      <w:proofErr w:type="spellEnd"/>
      <w:r>
        <w:rPr>
          <w:sz w:val="22"/>
          <w:szCs w:val="22"/>
        </w:rPr>
        <w:t>, "Data Center Interconnection Pricing," 2024.</w:t>
      </w:r>
    </w:p>
    <w:p w14:paraId="1B4C69CD" w14:textId="77777777" w:rsidR="005E30F4" w:rsidRDefault="004976D6">
      <w:pPr>
        <w:spacing w:after="120"/>
        <w:jc w:val="both"/>
      </w:pPr>
      <w:r>
        <w:rPr>
          <w:sz w:val="18"/>
          <w:szCs w:val="18"/>
          <w:vertAlign w:val="superscript"/>
        </w:rPr>
        <w:t xml:space="preserve">[] </w:t>
      </w:r>
      <w:r>
        <w:rPr>
          <w:sz w:val="22"/>
          <w:szCs w:val="22"/>
        </w:rPr>
        <w:t>ENTSO-E, "Frequency Stability Evaluation Criteria," 2023.</w:t>
      </w:r>
    </w:p>
    <w:p w14:paraId="5D839119" w14:textId="77777777" w:rsidR="005E30F4" w:rsidRDefault="004976D6">
      <w:pPr>
        <w:spacing w:after="120"/>
        <w:jc w:val="both"/>
      </w:pPr>
      <w:r>
        <w:rPr>
          <w:sz w:val="18"/>
          <w:szCs w:val="18"/>
          <w:vertAlign w:val="superscript"/>
        </w:rPr>
        <w:t xml:space="preserve">[] </w:t>
      </w:r>
      <w:r>
        <w:rPr>
          <w:sz w:val="22"/>
          <w:szCs w:val="22"/>
        </w:rPr>
        <w:t>IEEE Std 1547.1, "Conformance Test Procedures for DER."</w:t>
      </w:r>
    </w:p>
    <w:p w14:paraId="1B624BB1" w14:textId="77777777" w:rsidR="005E30F4" w:rsidRDefault="004976D6">
      <w:pPr>
        <w:spacing w:after="120"/>
        <w:jc w:val="both"/>
      </w:pPr>
      <w:r>
        <w:rPr>
          <w:sz w:val="18"/>
          <w:szCs w:val="18"/>
          <w:vertAlign w:val="superscript"/>
        </w:rPr>
        <w:t xml:space="preserve">[] </w:t>
      </w:r>
      <w:r>
        <w:rPr>
          <w:sz w:val="22"/>
          <w:szCs w:val="22"/>
        </w:rPr>
        <w:t>CAISO, "Ancillary Services Market Analysis," 2024.</w:t>
      </w:r>
    </w:p>
    <w:p w14:paraId="24FE9673" w14:textId="77777777" w:rsidR="005E30F4" w:rsidRDefault="004976D6">
      <w:pPr>
        <w:spacing w:after="120"/>
        <w:jc w:val="both"/>
      </w:pPr>
      <w:r>
        <w:rPr>
          <w:sz w:val="18"/>
          <w:szCs w:val="18"/>
          <w:vertAlign w:val="superscript"/>
        </w:rPr>
        <w:t xml:space="preserve">[] </w:t>
      </w:r>
      <w:r>
        <w:rPr>
          <w:sz w:val="22"/>
          <w:szCs w:val="22"/>
        </w:rPr>
        <w:t>A. A. et al., "Distributed stochastic MPC for energy dispatch," Appl. Math. Mech., 2025.</w:t>
      </w:r>
    </w:p>
    <w:p w14:paraId="55DE88C0" w14:textId="77777777" w:rsidR="005E30F4" w:rsidRDefault="004976D6">
      <w:pPr>
        <w:spacing w:after="120"/>
        <w:jc w:val="both"/>
      </w:pPr>
      <w:r>
        <w:rPr>
          <w:sz w:val="18"/>
          <w:szCs w:val="18"/>
          <w:vertAlign w:val="superscript"/>
        </w:rPr>
        <w:t xml:space="preserve">[] </w:t>
      </w:r>
      <w:r>
        <w:rPr>
          <w:sz w:val="22"/>
          <w:szCs w:val="22"/>
        </w:rPr>
        <w:t>Siemens, "DEMS - Data Center Energy Management System," 2024.</w:t>
      </w:r>
    </w:p>
    <w:p w14:paraId="553118D2" w14:textId="77777777" w:rsidR="005E30F4" w:rsidRDefault="004976D6">
      <w:pPr>
        <w:spacing w:after="120"/>
        <w:jc w:val="both"/>
      </w:pPr>
      <w:r>
        <w:rPr>
          <w:sz w:val="18"/>
          <w:szCs w:val="18"/>
          <w:vertAlign w:val="superscript"/>
        </w:rPr>
        <w:t xml:space="preserve">[] </w:t>
      </w:r>
      <w:r>
        <w:rPr>
          <w:sz w:val="22"/>
          <w:szCs w:val="22"/>
        </w:rPr>
        <w:t>J. Liu et al., "Recent advances in PCMs for thermal energy storage," Chem. Soc. Rev., 2024.</w:t>
      </w:r>
    </w:p>
    <w:p w14:paraId="57921FC8" w14:textId="77777777" w:rsidR="005E30F4" w:rsidRDefault="004976D6">
      <w:pPr>
        <w:spacing w:after="120"/>
        <w:jc w:val="both"/>
      </w:pPr>
      <w:r>
        <w:rPr>
          <w:sz w:val="18"/>
          <w:szCs w:val="18"/>
          <w:vertAlign w:val="superscript"/>
        </w:rPr>
        <w:t xml:space="preserve">[] </w:t>
      </w:r>
      <w:r>
        <w:rPr>
          <w:sz w:val="22"/>
          <w:szCs w:val="22"/>
        </w:rPr>
        <w:t xml:space="preserve">EU NC </w:t>
      </w:r>
      <w:proofErr w:type="spellStart"/>
      <w:r>
        <w:rPr>
          <w:sz w:val="22"/>
          <w:szCs w:val="22"/>
        </w:rPr>
        <w:t>RfG</w:t>
      </w:r>
      <w:proofErr w:type="spellEnd"/>
      <w:r>
        <w:rPr>
          <w:sz w:val="22"/>
          <w:szCs w:val="22"/>
        </w:rPr>
        <w:t>, "Network Code on Requirements for Generators," 2023.</w:t>
      </w:r>
    </w:p>
    <w:p w14:paraId="1BDA204A" w14:textId="77777777" w:rsidR="005E30F4" w:rsidRDefault="004976D6">
      <w:pPr>
        <w:spacing w:after="120"/>
        <w:jc w:val="both"/>
      </w:pPr>
      <w:r>
        <w:rPr>
          <w:sz w:val="18"/>
          <w:szCs w:val="18"/>
          <w:vertAlign w:val="superscript"/>
        </w:rPr>
        <w:t xml:space="preserve">[] </w:t>
      </w:r>
      <w:r>
        <w:rPr>
          <w:sz w:val="22"/>
          <w:szCs w:val="22"/>
        </w:rPr>
        <w:t>LBNL, "U.S. State RPS &amp; CES: 2024 Status Report," 2024.</w:t>
      </w:r>
    </w:p>
    <w:p w14:paraId="1A156830" w14:textId="77777777" w:rsidR="005E30F4" w:rsidRDefault="004976D6">
      <w:pPr>
        <w:spacing w:after="120"/>
        <w:jc w:val="both"/>
      </w:pPr>
      <w:r>
        <w:rPr>
          <w:sz w:val="18"/>
          <w:szCs w:val="18"/>
          <w:vertAlign w:val="superscript"/>
        </w:rPr>
        <w:t xml:space="preserve">[] </w:t>
      </w:r>
      <w:r>
        <w:rPr>
          <w:sz w:val="22"/>
          <w:szCs w:val="22"/>
        </w:rPr>
        <w:t>European Commission, "Renewable Energy Directive (RED III)," Oct. 2023.</w:t>
      </w:r>
    </w:p>
    <w:p w14:paraId="424AC0D8" w14:textId="77777777" w:rsidR="005E30F4" w:rsidRDefault="004976D6">
      <w:pPr>
        <w:spacing w:after="120"/>
        <w:jc w:val="both"/>
      </w:pPr>
      <w:r>
        <w:rPr>
          <w:sz w:val="18"/>
          <w:szCs w:val="18"/>
          <w:vertAlign w:val="superscript"/>
        </w:rPr>
        <w:t xml:space="preserve">[] </w:t>
      </w:r>
      <w:r>
        <w:rPr>
          <w:sz w:val="22"/>
          <w:szCs w:val="22"/>
        </w:rPr>
        <w:t>RE100/Climate Group, "2024 Annual Disclosure Report," 2024.</w:t>
      </w:r>
    </w:p>
    <w:p w14:paraId="48D4FC47" w14:textId="77777777" w:rsidR="005E30F4" w:rsidRDefault="004976D6">
      <w:pPr>
        <w:spacing w:after="120"/>
        <w:jc w:val="both"/>
      </w:pPr>
      <w:r>
        <w:rPr>
          <w:sz w:val="18"/>
          <w:szCs w:val="18"/>
          <w:vertAlign w:val="superscript"/>
        </w:rPr>
        <w:t xml:space="preserve">[] </w:t>
      </w:r>
      <w:r>
        <w:rPr>
          <w:sz w:val="22"/>
          <w:szCs w:val="22"/>
        </w:rPr>
        <w:t>GHG Protocol, "Scope 2 Guidance Revision," 2024.</w:t>
      </w:r>
    </w:p>
    <w:p w14:paraId="2DDF1985" w14:textId="77777777" w:rsidR="005E30F4" w:rsidRDefault="004976D6">
      <w:pPr>
        <w:spacing w:after="120"/>
        <w:jc w:val="both"/>
      </w:pPr>
      <w:r>
        <w:rPr>
          <w:sz w:val="18"/>
          <w:szCs w:val="18"/>
          <w:vertAlign w:val="superscript"/>
        </w:rPr>
        <w:t xml:space="preserve">[] </w:t>
      </w:r>
      <w:r>
        <w:rPr>
          <w:sz w:val="22"/>
          <w:szCs w:val="22"/>
        </w:rPr>
        <w:t>NREL, "Life Cycle Assessment Harmonization Results," 2023.</w:t>
      </w:r>
    </w:p>
    <w:p w14:paraId="62E2C21B" w14:textId="77777777" w:rsidR="005E30F4" w:rsidRDefault="004976D6">
      <w:pPr>
        <w:spacing w:after="120"/>
        <w:jc w:val="both"/>
      </w:pPr>
      <w:r>
        <w:rPr>
          <w:sz w:val="18"/>
          <w:szCs w:val="18"/>
          <w:vertAlign w:val="superscript"/>
        </w:rPr>
        <w:t xml:space="preserve">[] </w:t>
      </w:r>
      <w:r>
        <w:rPr>
          <w:sz w:val="22"/>
          <w:szCs w:val="22"/>
        </w:rPr>
        <w:t>A. F. et al., "Socio-economic and environmental impacts of RE deployment," RSER, 2025.</w:t>
      </w:r>
    </w:p>
    <w:p w14:paraId="303D67E4" w14:textId="77777777" w:rsidR="005E30F4" w:rsidRDefault="004976D6">
      <w:pPr>
        <w:spacing w:after="120"/>
        <w:jc w:val="both"/>
      </w:pPr>
      <w:r>
        <w:rPr>
          <w:sz w:val="18"/>
          <w:szCs w:val="18"/>
          <w:vertAlign w:val="superscript"/>
        </w:rPr>
        <w:t xml:space="preserve">[] </w:t>
      </w:r>
      <w:r>
        <w:rPr>
          <w:sz w:val="22"/>
          <w:szCs w:val="22"/>
        </w:rPr>
        <w:t>C. J. et al., "Hydropower impacts on riverine biodiversity," Nature Rev. Earth Environ., 2024.</w:t>
      </w:r>
    </w:p>
    <w:p w14:paraId="3EC766C0" w14:textId="77777777" w:rsidR="005E30F4" w:rsidRDefault="004976D6">
      <w:pPr>
        <w:spacing w:after="120"/>
        <w:jc w:val="both"/>
      </w:pPr>
      <w:r>
        <w:rPr>
          <w:sz w:val="18"/>
          <w:szCs w:val="18"/>
          <w:vertAlign w:val="superscript"/>
        </w:rPr>
        <w:t xml:space="preserve">[] </w:t>
      </w:r>
      <w:r>
        <w:rPr>
          <w:sz w:val="22"/>
          <w:szCs w:val="22"/>
        </w:rPr>
        <w:t>UNEP, "Sustainable Cooling Technologies for Data Centres," 2025.</w:t>
      </w:r>
    </w:p>
    <w:p w14:paraId="02BDB430" w14:textId="77777777" w:rsidR="005E30F4" w:rsidRDefault="004976D6">
      <w:pPr>
        <w:spacing w:after="120"/>
        <w:jc w:val="both"/>
      </w:pPr>
      <w:r>
        <w:rPr>
          <w:sz w:val="18"/>
          <w:szCs w:val="18"/>
          <w:vertAlign w:val="superscript"/>
        </w:rPr>
        <w:t xml:space="preserve">[] </w:t>
      </w:r>
      <w:r>
        <w:rPr>
          <w:sz w:val="22"/>
          <w:szCs w:val="22"/>
        </w:rPr>
        <w:t>IUCN, "Opportunities for enhancing biodiversity at wind and solar developments," 2024.</w:t>
      </w:r>
    </w:p>
    <w:p w14:paraId="42B64026" w14:textId="77777777" w:rsidR="005E30F4" w:rsidRDefault="004976D6">
      <w:pPr>
        <w:spacing w:after="120"/>
        <w:jc w:val="both"/>
      </w:pPr>
      <w:r>
        <w:rPr>
          <w:sz w:val="18"/>
          <w:szCs w:val="18"/>
          <w:vertAlign w:val="superscript"/>
        </w:rPr>
        <w:t xml:space="preserve">[] </w:t>
      </w:r>
      <w:r>
        <w:rPr>
          <w:sz w:val="22"/>
          <w:szCs w:val="22"/>
        </w:rPr>
        <w:t>IRENA, "Critical Materials: Batteries for EVs," Sep. 2024.</w:t>
      </w:r>
    </w:p>
    <w:p w14:paraId="64C7B9D0" w14:textId="77777777" w:rsidR="005E30F4" w:rsidRDefault="004976D6">
      <w:pPr>
        <w:spacing w:after="120"/>
        <w:jc w:val="both"/>
      </w:pPr>
      <w:r>
        <w:rPr>
          <w:sz w:val="18"/>
          <w:szCs w:val="18"/>
          <w:vertAlign w:val="superscript"/>
        </w:rPr>
        <w:t xml:space="preserve">[] </w:t>
      </w:r>
      <w:r>
        <w:rPr>
          <w:sz w:val="22"/>
          <w:szCs w:val="22"/>
        </w:rPr>
        <w:t>IEA, "Global EV Outlook 2024."</w:t>
      </w:r>
    </w:p>
    <w:p w14:paraId="5D304065" w14:textId="77777777" w:rsidR="005E30F4" w:rsidRDefault="004976D6">
      <w:pPr>
        <w:spacing w:after="120"/>
        <w:jc w:val="both"/>
      </w:pPr>
      <w:r>
        <w:rPr>
          <w:sz w:val="18"/>
          <w:szCs w:val="18"/>
          <w:vertAlign w:val="superscript"/>
        </w:rPr>
        <w:t xml:space="preserve">[] </w:t>
      </w:r>
      <w:r>
        <w:rPr>
          <w:sz w:val="22"/>
          <w:szCs w:val="22"/>
        </w:rPr>
        <w:t>LBNL, "Community Choice Aggregation: Status and Trends," 2024.</w:t>
      </w:r>
    </w:p>
    <w:p w14:paraId="1F2348BF" w14:textId="77777777" w:rsidR="005E30F4" w:rsidRDefault="004976D6">
      <w:pPr>
        <w:spacing w:after="120"/>
        <w:jc w:val="both"/>
      </w:pPr>
      <w:r>
        <w:rPr>
          <w:sz w:val="18"/>
          <w:szCs w:val="18"/>
          <w:vertAlign w:val="superscript"/>
        </w:rPr>
        <w:t xml:space="preserve">[] </w:t>
      </w:r>
      <w:r>
        <w:rPr>
          <w:sz w:val="22"/>
          <w:szCs w:val="22"/>
        </w:rPr>
        <w:t>U.S. DOE, "Opportunities for a Modern Grid and Clean Energy Economy," 2024.</w:t>
      </w:r>
    </w:p>
    <w:p w14:paraId="27AA8A00" w14:textId="77777777" w:rsidR="005E30F4" w:rsidRDefault="004976D6">
      <w:pPr>
        <w:spacing w:after="120"/>
        <w:jc w:val="both"/>
      </w:pPr>
      <w:r>
        <w:rPr>
          <w:sz w:val="18"/>
          <w:szCs w:val="18"/>
          <w:vertAlign w:val="superscript"/>
        </w:rPr>
        <w:t xml:space="preserve">[] </w:t>
      </w:r>
      <w:r>
        <w:rPr>
          <w:sz w:val="22"/>
          <w:szCs w:val="22"/>
        </w:rPr>
        <w:t>USGBC, "LEED v4.1 for Data Centers," 2023.</w:t>
      </w:r>
    </w:p>
    <w:p w14:paraId="547CE7D5" w14:textId="77777777" w:rsidR="005E30F4" w:rsidRDefault="004976D6">
      <w:pPr>
        <w:spacing w:after="120"/>
        <w:jc w:val="both"/>
      </w:pPr>
      <w:r>
        <w:rPr>
          <w:sz w:val="18"/>
          <w:szCs w:val="18"/>
          <w:vertAlign w:val="superscript"/>
        </w:rPr>
        <w:t xml:space="preserve">[] </w:t>
      </w:r>
      <w:r>
        <w:rPr>
          <w:sz w:val="22"/>
          <w:szCs w:val="22"/>
        </w:rPr>
        <w:t>GRI, "Universal Standards 2024."</w:t>
      </w:r>
    </w:p>
    <w:p w14:paraId="56D6BB4E" w14:textId="77777777" w:rsidR="005E30F4" w:rsidRDefault="004976D6">
      <w:pPr>
        <w:spacing w:after="120"/>
        <w:jc w:val="both"/>
      </w:pPr>
      <w:r>
        <w:rPr>
          <w:sz w:val="18"/>
          <w:szCs w:val="18"/>
          <w:vertAlign w:val="superscript"/>
        </w:rPr>
        <w:t xml:space="preserve">[] </w:t>
      </w:r>
      <w:r>
        <w:rPr>
          <w:sz w:val="22"/>
          <w:szCs w:val="22"/>
        </w:rPr>
        <w:t>A. Baker et al., "Uncertain quantum computing futures and energy requirements," Joule, 2026.</w:t>
      </w:r>
    </w:p>
    <w:p w14:paraId="06DC92E1" w14:textId="77777777" w:rsidR="005E30F4" w:rsidRDefault="004976D6">
      <w:pPr>
        <w:spacing w:after="120"/>
        <w:jc w:val="both"/>
      </w:pPr>
      <w:r>
        <w:rPr>
          <w:sz w:val="18"/>
          <w:szCs w:val="18"/>
          <w:vertAlign w:val="superscript"/>
        </w:rPr>
        <w:t xml:space="preserve">[] </w:t>
      </w:r>
      <w:r>
        <w:rPr>
          <w:sz w:val="22"/>
          <w:szCs w:val="22"/>
        </w:rPr>
        <w:t>IEEE Computer Society, "Challenging Trends in Energy of Computing," Computer, 2024.</w:t>
      </w:r>
    </w:p>
    <w:p w14:paraId="56FB78A9" w14:textId="77777777" w:rsidR="005E30F4" w:rsidRDefault="004976D6">
      <w:pPr>
        <w:spacing w:after="120"/>
        <w:jc w:val="both"/>
      </w:pPr>
      <w:r>
        <w:rPr>
          <w:sz w:val="18"/>
          <w:szCs w:val="18"/>
          <w:vertAlign w:val="superscript"/>
        </w:rPr>
        <w:t xml:space="preserve">[] </w:t>
      </w:r>
      <w:r>
        <w:rPr>
          <w:sz w:val="22"/>
          <w:szCs w:val="22"/>
        </w:rPr>
        <w:t>P. P. et al., "A Review of Neuromorphic Computing Chip Architecture," Hardware Science, 2026.</w:t>
      </w:r>
    </w:p>
    <w:p w14:paraId="0850CAB5" w14:textId="77777777" w:rsidR="005E30F4" w:rsidRDefault="004976D6">
      <w:pPr>
        <w:spacing w:after="120"/>
        <w:jc w:val="both"/>
      </w:pPr>
      <w:r>
        <w:rPr>
          <w:sz w:val="18"/>
          <w:szCs w:val="18"/>
          <w:vertAlign w:val="superscript"/>
        </w:rPr>
        <w:t xml:space="preserve">[] </w:t>
      </w:r>
      <w:r>
        <w:rPr>
          <w:sz w:val="22"/>
          <w:szCs w:val="22"/>
        </w:rPr>
        <w:t xml:space="preserve">D. B. P. et al., "Can neuromorphic computing help reduce AI's energy </w:t>
      </w:r>
      <w:proofErr w:type="gramStart"/>
      <w:r>
        <w:rPr>
          <w:sz w:val="22"/>
          <w:szCs w:val="22"/>
        </w:rPr>
        <w:t>consumption?,</w:t>
      </w:r>
      <w:proofErr w:type="gramEnd"/>
      <w:r>
        <w:rPr>
          <w:sz w:val="22"/>
          <w:szCs w:val="22"/>
        </w:rPr>
        <w:t>" PNAS, 2025.</w:t>
      </w:r>
    </w:p>
    <w:p w14:paraId="1E7D3708" w14:textId="77777777" w:rsidR="005E30F4" w:rsidRDefault="004976D6">
      <w:pPr>
        <w:spacing w:after="120"/>
        <w:jc w:val="both"/>
      </w:pPr>
      <w:r>
        <w:rPr>
          <w:sz w:val="18"/>
          <w:szCs w:val="18"/>
          <w:vertAlign w:val="superscript"/>
        </w:rPr>
        <w:t xml:space="preserve">[] </w:t>
      </w:r>
      <w:r>
        <w:rPr>
          <w:sz w:val="22"/>
          <w:szCs w:val="22"/>
        </w:rPr>
        <w:t>J. L. et al., "Large-scale photonic chiplet Taichi," Science, 2024.</w:t>
      </w:r>
    </w:p>
    <w:p w14:paraId="44B4E700" w14:textId="77777777" w:rsidR="005E30F4" w:rsidRDefault="004976D6">
      <w:pPr>
        <w:spacing w:after="120"/>
        <w:jc w:val="both"/>
      </w:pPr>
      <w:r>
        <w:rPr>
          <w:sz w:val="18"/>
          <w:szCs w:val="18"/>
          <w:vertAlign w:val="superscript"/>
        </w:rPr>
        <w:t xml:space="preserve">[] </w:t>
      </w:r>
      <w:r>
        <w:rPr>
          <w:sz w:val="22"/>
          <w:szCs w:val="22"/>
        </w:rPr>
        <w:t>X. Qiu et al., "A First Look into the Carbon Footprint of Federated Learning," JMLR, 2023.</w:t>
      </w:r>
    </w:p>
    <w:p w14:paraId="6B0ED492" w14:textId="77777777" w:rsidR="005E30F4" w:rsidRDefault="004976D6">
      <w:pPr>
        <w:spacing w:after="120"/>
        <w:jc w:val="both"/>
      </w:pPr>
      <w:r>
        <w:rPr>
          <w:sz w:val="18"/>
          <w:szCs w:val="18"/>
          <w:vertAlign w:val="superscript"/>
        </w:rPr>
        <w:t xml:space="preserve">[] </w:t>
      </w:r>
      <w:r>
        <w:rPr>
          <w:sz w:val="22"/>
          <w:szCs w:val="22"/>
        </w:rPr>
        <w:t>J. C. et al., "A comprehensive review of solid-state batteries," Appl. Energy, 2025.</w:t>
      </w:r>
    </w:p>
    <w:p w14:paraId="32FDE29F" w14:textId="77777777" w:rsidR="005E30F4" w:rsidRDefault="004976D6">
      <w:pPr>
        <w:spacing w:after="120"/>
        <w:jc w:val="both"/>
      </w:pPr>
      <w:r>
        <w:rPr>
          <w:sz w:val="18"/>
          <w:szCs w:val="18"/>
          <w:vertAlign w:val="superscript"/>
        </w:rPr>
        <w:t xml:space="preserve">[] </w:t>
      </w:r>
      <w:r>
        <w:rPr>
          <w:sz w:val="22"/>
          <w:szCs w:val="22"/>
        </w:rPr>
        <w:t>X. He et al., "Advanced compressed air energy storage systems," Engineering, 2024.</w:t>
      </w:r>
    </w:p>
    <w:p w14:paraId="50EBB1B9" w14:textId="77777777" w:rsidR="005E30F4" w:rsidRDefault="004976D6">
      <w:pPr>
        <w:spacing w:after="120"/>
        <w:jc w:val="both"/>
      </w:pPr>
      <w:r>
        <w:rPr>
          <w:sz w:val="18"/>
          <w:szCs w:val="18"/>
          <w:vertAlign w:val="superscript"/>
        </w:rPr>
        <w:lastRenderedPageBreak/>
        <w:t xml:space="preserve">[] </w:t>
      </w:r>
      <w:r>
        <w:rPr>
          <w:sz w:val="22"/>
          <w:szCs w:val="22"/>
        </w:rPr>
        <w:t>Y. Zhang et al., "Predictive maintenance for energy systems using ML," IEEE Access, 2024.</w:t>
      </w:r>
    </w:p>
    <w:p w14:paraId="7D0DD660" w14:textId="77777777" w:rsidR="005E30F4" w:rsidRDefault="004976D6">
      <w:pPr>
        <w:spacing w:after="120"/>
        <w:jc w:val="both"/>
      </w:pPr>
      <w:r>
        <w:rPr>
          <w:sz w:val="18"/>
          <w:szCs w:val="18"/>
          <w:vertAlign w:val="superscript"/>
        </w:rPr>
        <w:t xml:space="preserve">[] </w:t>
      </w:r>
      <w:r>
        <w:rPr>
          <w:sz w:val="22"/>
          <w:szCs w:val="22"/>
        </w:rPr>
        <w:t>NERC, "IBR Reliability Guidelines," 2024.</w:t>
      </w:r>
    </w:p>
    <w:p w14:paraId="16E62EB8" w14:textId="77777777" w:rsidR="005E30F4" w:rsidRDefault="004976D6">
      <w:pPr>
        <w:spacing w:after="120"/>
        <w:jc w:val="both"/>
      </w:pPr>
      <w:r>
        <w:rPr>
          <w:sz w:val="18"/>
          <w:szCs w:val="18"/>
          <w:vertAlign w:val="superscript"/>
        </w:rPr>
        <w:t xml:space="preserve">[] </w:t>
      </w:r>
      <w:r>
        <w:rPr>
          <w:sz w:val="22"/>
          <w:szCs w:val="22"/>
        </w:rPr>
        <w:t>IEA, "Status of Power System Transformation 2024."</w:t>
      </w:r>
    </w:p>
    <w:p w14:paraId="179AF67A" w14:textId="77777777" w:rsidR="005E30F4" w:rsidRDefault="004976D6">
      <w:pPr>
        <w:spacing w:after="120"/>
        <w:jc w:val="both"/>
      </w:pPr>
      <w:r>
        <w:rPr>
          <w:sz w:val="18"/>
          <w:szCs w:val="18"/>
          <w:vertAlign w:val="superscript"/>
        </w:rPr>
        <w:t xml:space="preserve">[] </w:t>
      </w:r>
      <w:r>
        <w:rPr>
          <w:sz w:val="22"/>
          <w:szCs w:val="22"/>
        </w:rPr>
        <w:t>Brookings, "Global energy demands within the AI regulatory landscape," 2024.</w:t>
      </w:r>
    </w:p>
    <w:p w14:paraId="2EEE718D" w14:textId="77777777" w:rsidR="005E30F4" w:rsidRDefault="004976D6">
      <w:pPr>
        <w:spacing w:after="120"/>
        <w:jc w:val="both"/>
      </w:pPr>
      <w:r>
        <w:rPr>
          <w:sz w:val="18"/>
          <w:szCs w:val="18"/>
          <w:vertAlign w:val="superscript"/>
        </w:rPr>
        <w:t xml:space="preserve">[] </w:t>
      </w:r>
      <w:r>
        <w:rPr>
          <w:sz w:val="22"/>
          <w:szCs w:val="22"/>
        </w:rPr>
        <w:t>S. A. et al., "A comprehensive review of V2G technology," Energy Storage Mater., 2025.</w:t>
      </w:r>
    </w:p>
    <w:p w14:paraId="0C86EFCA" w14:textId="77777777" w:rsidR="005E30F4" w:rsidRDefault="004976D6">
      <w:pPr>
        <w:spacing w:after="120"/>
        <w:jc w:val="both"/>
      </w:pPr>
      <w:r>
        <w:rPr>
          <w:sz w:val="18"/>
          <w:szCs w:val="18"/>
          <w:vertAlign w:val="superscript"/>
        </w:rPr>
        <w:t xml:space="preserve">[] </w:t>
      </w:r>
      <w:r>
        <w:rPr>
          <w:sz w:val="22"/>
          <w:szCs w:val="22"/>
        </w:rPr>
        <w:t>U.S. DOE, "Vehicles-to-Grid Integration Assessment," 2025.</w:t>
      </w:r>
    </w:p>
    <w:p w14:paraId="2FA9C963" w14:textId="77777777" w:rsidR="005E30F4" w:rsidRDefault="004976D6">
      <w:pPr>
        <w:spacing w:after="120"/>
        <w:jc w:val="both"/>
      </w:pPr>
      <w:r>
        <w:rPr>
          <w:sz w:val="18"/>
          <w:szCs w:val="18"/>
          <w:vertAlign w:val="superscript"/>
        </w:rPr>
        <w:t xml:space="preserve">[] </w:t>
      </w:r>
      <w:r>
        <w:rPr>
          <w:sz w:val="22"/>
          <w:szCs w:val="22"/>
        </w:rPr>
        <w:t>"Forecasting US data center CO2 emissions using AI," Frontiers Sustain., 2024.</w:t>
      </w:r>
    </w:p>
    <w:p w14:paraId="1F9FACDD" w14:textId="77777777" w:rsidR="005E30F4" w:rsidRDefault="004976D6">
      <w:pPr>
        <w:spacing w:after="120"/>
        <w:jc w:val="both"/>
      </w:pPr>
      <w:r>
        <w:rPr>
          <w:sz w:val="18"/>
          <w:szCs w:val="18"/>
          <w:vertAlign w:val="superscript"/>
        </w:rPr>
        <w:t xml:space="preserve">[] </w:t>
      </w:r>
      <w:r>
        <w:rPr>
          <w:sz w:val="22"/>
          <w:szCs w:val="22"/>
        </w:rPr>
        <w:t>IEA, "Key Questions on Energy and AI," 2026.</w:t>
      </w:r>
    </w:p>
    <w:p w14:paraId="4BB76237" w14:textId="77777777" w:rsidR="005E30F4" w:rsidRDefault="004976D6">
      <w:pPr>
        <w:spacing w:after="120"/>
        <w:jc w:val="both"/>
      </w:pPr>
      <w:r>
        <w:rPr>
          <w:sz w:val="18"/>
          <w:szCs w:val="18"/>
          <w:vertAlign w:val="superscript"/>
        </w:rPr>
        <w:t xml:space="preserve">[] </w:t>
      </w:r>
      <w:r>
        <w:rPr>
          <w:sz w:val="22"/>
          <w:szCs w:val="22"/>
        </w:rPr>
        <w:t>IEEE PES, "Grid-Forming Inverter Technical Roadmap," 2024.</w:t>
      </w:r>
    </w:p>
    <w:p w14:paraId="553FC034" w14:textId="77777777" w:rsidR="005E30F4" w:rsidRDefault="004976D6">
      <w:pPr>
        <w:spacing w:after="120"/>
        <w:jc w:val="both"/>
      </w:pPr>
      <w:r>
        <w:rPr>
          <w:sz w:val="18"/>
          <w:szCs w:val="18"/>
          <w:vertAlign w:val="superscript"/>
        </w:rPr>
        <w:t xml:space="preserve">[] </w:t>
      </w:r>
      <w:r>
        <w:rPr>
          <w:sz w:val="22"/>
          <w:szCs w:val="22"/>
        </w:rPr>
        <w:t>DOE, "Clean Energy Resources for Data Center Demand," 2026.</w:t>
      </w:r>
    </w:p>
    <w:p w14:paraId="09BD7E22" w14:textId="77777777" w:rsidR="005E30F4" w:rsidRDefault="004976D6">
      <w:pPr>
        <w:spacing w:after="120"/>
        <w:jc w:val="both"/>
      </w:pPr>
      <w:r>
        <w:rPr>
          <w:sz w:val="18"/>
          <w:szCs w:val="18"/>
          <w:vertAlign w:val="superscript"/>
        </w:rPr>
        <w:t xml:space="preserve">[] </w:t>
      </w:r>
      <w:r>
        <w:rPr>
          <w:sz w:val="22"/>
          <w:szCs w:val="22"/>
        </w:rPr>
        <w:t>S. Kadre et al., "Power for AI Data Centers: Grid Impacts," 2026.</w:t>
      </w:r>
    </w:p>
    <w:sectPr w:rsidR="005E30F4">
      <w:headerReference w:type="default" r:id="rId19"/>
      <w:footerReference w:type="default" r:id="rId20"/>
      <w:pgSz w:w="11906" w:h="16838"/>
      <w:pgMar w:top="1440" w:right="1417" w:bottom="1440"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A13DF" w14:textId="77777777" w:rsidR="006C6428" w:rsidRDefault="006C6428">
      <w:pPr>
        <w:spacing w:line="240" w:lineRule="auto"/>
      </w:pPr>
      <w:r>
        <w:separator/>
      </w:r>
    </w:p>
  </w:endnote>
  <w:endnote w:type="continuationSeparator" w:id="0">
    <w:p w14:paraId="4D4074E6" w14:textId="77777777" w:rsidR="006C6428" w:rsidRDefault="006C64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0D111" w14:textId="140B170C" w:rsidR="005E30F4" w:rsidRDefault="004976D6">
    <w:pPr>
      <w:jc w:val="center"/>
    </w:pPr>
    <w:r>
      <w:rPr>
        <w:color w:val="999999"/>
        <w:sz w:val="18"/>
        <w:szCs w:val="18"/>
      </w:rPr>
      <w:fldChar w:fldCharType="begin"/>
    </w:r>
    <w:r>
      <w:rPr>
        <w:color w:val="999999"/>
        <w:sz w:val="18"/>
        <w:szCs w:val="18"/>
      </w:rPr>
      <w:instrText>PAGE</w:instrText>
    </w:r>
    <w:r>
      <w:rPr>
        <w:color w:val="999999"/>
        <w:sz w:val="18"/>
        <w:szCs w:val="18"/>
      </w:rPr>
      <w:fldChar w:fldCharType="separate"/>
    </w:r>
    <w:r w:rsidR="00226689">
      <w:rPr>
        <w:noProof/>
        <w:color w:val="999999"/>
        <w:sz w:val="18"/>
        <w:szCs w:val="18"/>
      </w:rPr>
      <w:t>3</w:t>
    </w:r>
    <w:r>
      <w:rPr>
        <w:color w:val="99999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0C819" w14:textId="77777777" w:rsidR="004976D6" w:rsidRDefault="004976D6">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11BF6" w14:textId="087FE2A2" w:rsidR="005E30F4" w:rsidRDefault="004976D6">
    <w:pPr>
      <w:jc w:val="center"/>
    </w:pPr>
    <w:r>
      <w:rPr>
        <w:color w:val="999999"/>
        <w:sz w:val="18"/>
        <w:szCs w:val="18"/>
      </w:rPr>
      <w:fldChar w:fldCharType="begin"/>
    </w:r>
    <w:r>
      <w:rPr>
        <w:color w:val="999999"/>
        <w:sz w:val="18"/>
        <w:szCs w:val="18"/>
      </w:rPr>
      <w:instrText>PAGE</w:instrText>
    </w:r>
    <w:r>
      <w:rPr>
        <w:color w:val="999999"/>
        <w:sz w:val="18"/>
        <w:szCs w:val="18"/>
      </w:rPr>
      <w:fldChar w:fldCharType="separate"/>
    </w:r>
    <w:r w:rsidR="00226689">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000D4" w14:textId="77777777" w:rsidR="006C6428" w:rsidRDefault="006C6428">
      <w:pPr>
        <w:spacing w:line="240" w:lineRule="auto"/>
      </w:pPr>
      <w:r>
        <w:separator/>
      </w:r>
    </w:p>
  </w:footnote>
  <w:footnote w:type="continuationSeparator" w:id="0">
    <w:p w14:paraId="489DD86F" w14:textId="77777777" w:rsidR="006C6428" w:rsidRDefault="006C64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CA4DB" w14:textId="77777777" w:rsidR="005E30F4" w:rsidRDefault="004976D6">
    <w:pPr>
      <w:jc w:val="center"/>
    </w:pPr>
    <w:r>
      <w:rPr>
        <w:i/>
        <w:iCs/>
        <w:color w:val="999999"/>
        <w:sz w:val="18"/>
        <w:szCs w:val="18"/>
      </w:rPr>
      <w:t>Optimizing Energy Infrastructure for AI Data Centers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91D7A" w14:textId="77777777" w:rsidR="005E30F4" w:rsidRDefault="004976D6">
    <w:pPr>
      <w:jc w:val="center"/>
    </w:pPr>
    <w:r>
      <w:rPr>
        <w:i/>
        <w:iCs/>
        <w:color w:val="999999"/>
        <w:sz w:val="18"/>
        <w:szCs w:val="18"/>
      </w:rPr>
      <w:t>Optimizing Energy Infrastructure for AI Data Centers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C3477"/>
    <w:multiLevelType w:val="hybridMultilevel"/>
    <w:tmpl w:val="F6F0FEC0"/>
    <w:lvl w:ilvl="0" w:tplc="BB18F952">
      <w:start w:val="1"/>
      <w:numFmt w:val="bullet"/>
      <w:lvlText w:val="●"/>
      <w:lvlJc w:val="left"/>
      <w:pPr>
        <w:ind w:left="720" w:hanging="360"/>
      </w:pPr>
    </w:lvl>
    <w:lvl w:ilvl="1" w:tplc="45B222EE">
      <w:start w:val="1"/>
      <w:numFmt w:val="bullet"/>
      <w:lvlText w:val="○"/>
      <w:lvlJc w:val="left"/>
      <w:pPr>
        <w:ind w:left="1440" w:hanging="360"/>
      </w:pPr>
    </w:lvl>
    <w:lvl w:ilvl="2" w:tplc="4A82D9EE">
      <w:start w:val="1"/>
      <w:numFmt w:val="bullet"/>
      <w:lvlText w:val="■"/>
      <w:lvlJc w:val="left"/>
      <w:pPr>
        <w:ind w:left="2160" w:hanging="360"/>
      </w:pPr>
    </w:lvl>
    <w:lvl w:ilvl="3" w:tplc="2070CFCC">
      <w:start w:val="1"/>
      <w:numFmt w:val="bullet"/>
      <w:lvlText w:val="●"/>
      <w:lvlJc w:val="left"/>
      <w:pPr>
        <w:ind w:left="2880" w:hanging="360"/>
      </w:pPr>
    </w:lvl>
    <w:lvl w:ilvl="4" w:tplc="82F21EB6">
      <w:start w:val="1"/>
      <w:numFmt w:val="bullet"/>
      <w:lvlText w:val="○"/>
      <w:lvlJc w:val="left"/>
      <w:pPr>
        <w:ind w:left="3600" w:hanging="360"/>
      </w:pPr>
    </w:lvl>
    <w:lvl w:ilvl="5" w:tplc="80860552">
      <w:start w:val="1"/>
      <w:numFmt w:val="bullet"/>
      <w:lvlText w:val="■"/>
      <w:lvlJc w:val="left"/>
      <w:pPr>
        <w:ind w:left="4320" w:hanging="360"/>
      </w:pPr>
    </w:lvl>
    <w:lvl w:ilvl="6" w:tplc="79F08684">
      <w:start w:val="1"/>
      <w:numFmt w:val="bullet"/>
      <w:lvlText w:val="●"/>
      <w:lvlJc w:val="left"/>
      <w:pPr>
        <w:ind w:left="5040" w:hanging="360"/>
      </w:pPr>
    </w:lvl>
    <w:lvl w:ilvl="7" w:tplc="00BC75E0">
      <w:start w:val="1"/>
      <w:numFmt w:val="bullet"/>
      <w:lvlText w:val="●"/>
      <w:lvlJc w:val="left"/>
      <w:pPr>
        <w:ind w:left="5760" w:hanging="360"/>
      </w:pPr>
    </w:lvl>
    <w:lvl w:ilvl="8" w:tplc="77625C42">
      <w:start w:val="1"/>
      <w:numFmt w:val="bullet"/>
      <w:lvlText w:val="●"/>
      <w:lvlJc w:val="left"/>
      <w:pPr>
        <w:ind w:left="6480" w:hanging="360"/>
      </w:pPr>
    </w:lvl>
  </w:abstractNum>
  <w:num w:numId="1" w16cid:durableId="4788833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0F4"/>
    <w:rsid w:val="001109A6"/>
    <w:rsid w:val="00226689"/>
    <w:rsid w:val="004976D6"/>
    <w:rsid w:val="005E30F4"/>
    <w:rsid w:val="006C6428"/>
    <w:rsid w:val="00E529B9"/>
    <w:rsid w:val="00EB4F97"/>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FED9B"/>
  <w15:docId w15:val="{A6676387-BF31-456F-A281-98F07208D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CA" w:eastAsia="en-CA"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40"/>
      <w:outlineLvl w:val="1"/>
    </w:pPr>
    <w:rPr>
      <w:b/>
      <w:bCs/>
      <w:sz w:val="28"/>
      <w:szCs w:val="28"/>
    </w:rPr>
  </w:style>
  <w:style w:type="paragraph" w:styleId="Heading3">
    <w:name w:val="heading 3"/>
    <w:uiPriority w:val="9"/>
    <w:semiHidden/>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tabs>
        <w:tab w:val="right" w:leader="dot" w:pos="9026"/>
      </w:tabs>
      <w:spacing w:before="120" w:after="60"/>
    </w:pPr>
    <w:rPr>
      <w:b/>
      <w:bCs/>
    </w:rPr>
  </w:style>
  <w:style w:type="paragraph" w:styleId="TOC2">
    <w:name w:val="toc 2"/>
    <w:uiPriority w:val="39"/>
    <w:pPr>
      <w:tabs>
        <w:tab w:val="right" w:leader="dot" w:pos="9026"/>
      </w:tabs>
      <w:spacing w:before="60" w:after="40"/>
      <w:ind w:left="360"/>
    </w:pPr>
  </w:style>
  <w:style w:type="paragraph" w:styleId="TOC3">
    <w:name w:val="toc 3"/>
    <w:uiPriority w:val="39"/>
    <w:pPr>
      <w:tabs>
        <w:tab w:val="right" w:leader="dot" w:pos="9026"/>
      </w:tabs>
      <w:spacing w:before="40" w:after="2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71</Pages>
  <Words>26623</Words>
  <Characters>151757</Characters>
  <Application>Microsoft Office Word</Application>
  <DocSecurity>0</DocSecurity>
  <Lines>1264</Lines>
  <Paragraphs>356</Paragraphs>
  <ScaleCrop>false</ScaleCrop>
  <Company/>
  <LinksUpToDate>false</LinksUpToDate>
  <CharactersWithSpaces>178024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Mahmoud Kiasari</cp:lastModifiedBy>
  <cp:revision>2</cp:revision>
  <dcterms:created xsi:type="dcterms:W3CDTF">2026-06-06T15:37:00Z</dcterms:created>
  <dcterms:modified xsi:type="dcterms:W3CDTF">2026-06-06T15:37:00Z</dcterms:modified>
</cp:coreProperties>
</file>