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003366"/>
          <w:sz w:val="44"/>
        </w:rPr>
        <w:t>Electric Vehicle–Grid Integration: A Critical Analysis of Research Evolution, Simulation-Reality Gaps, and Pathways Forward (2010–2026)</w:t>
      </w:r>
    </w:p>
    <w:p/>
    <w:p>
      <w:pPr>
        <w:jc w:val="center"/>
      </w:pPr>
      <w:r>
        <w:rPr>
          <w:rFonts w:ascii="Times New Roman" w:hAnsi="Times New Roman"/>
          <w:sz w:val="28"/>
        </w:rPr>
        <w:t>Author Name(s)</w:t>
      </w:r>
    </w:p>
    <w:p>
      <w:pPr>
        <w:jc w:val="center"/>
      </w:pPr>
      <w:r>
        <w:rPr>
          <w:rFonts w:ascii="Times New Roman" w:hAnsi="Times New Roman"/>
          <w:i/>
          <w:sz w:val="24"/>
        </w:rPr>
        <w:t>Department of Electrical Engineering, University Affiliation</w:t>
      </w:r>
    </w:p>
    <w:p>
      <w:pPr>
        <w:jc w:val="center"/>
      </w:pPr>
      <w:r>
        <w:rPr>
          <w:rFonts w:ascii="Times New Roman" w:hAnsi="Times New Roman"/>
          <w:sz w:val="22"/>
        </w:rPr>
        <w:t>Corresponding author: email@university.edu</w:t>
      </w:r>
    </w:p>
    <w:p/>
    <w:p>
      <w:pPr>
        <w:jc w:val="center"/>
      </w:pPr>
      <w:r>
        <w:rPr>
          <w:rFonts w:ascii="Times New Roman" w:hAnsi="Times New Roman"/>
          <w:sz w:val="22"/>
        </w:rPr>
        <w:t>Submitted: May 2026</w:t>
      </w:r>
    </w:p>
    <w:p>
      <w:r>
        <w:br w:type="page"/>
      </w:r>
    </w:p>
    <w:p>
      <w:pPr>
        <w:pStyle w:val="Heading1"/>
      </w:pPr>
      <w:r>
        <w:t>Abstract</w:t>
      </w:r>
    </w:p>
    <w:p>
      <w:pPr/>
      <w:r>
        <w:t>The integration of electric vehicles (EVs) with power grid infrastructure represents one of the most consequential technological transitions of the twenty-first century, with implications spanning energy decarbonization, grid stability, and transportation electrification. This paper presents a critical analysis of the EV–grid integration literature spanning 2010 to 2026, synthesizing evidence from over 280 studies to identify persistent gaps between simulation-based claims and field-validated outcomes. We propose a four-phase research evolution framework—Mitigation (2010–2014), Integration (2015–2018), Scalability and AI (2019–2023), and Convergence (2024–2026)—that reveals how the field has progressed from unidirectional charging concerns to comprehensive V2X ecosystem design. Our analysis identifies a systematic 40–50% overestimation of benefits in simulation studies compared to field trials, with peak load reduction claims of 30–45% yielding only 15–22% in practice, and deep reinforcement learning (DRL) cost savings of 28% in simulation declining to 12–16% in deployment. We reconcile conflicting evidence on battery degradation under V2G operations, demonstrating that the effect is condition-dependent: shallow cycling within 30–70% state-of-charge at moderate temperatures can extend battery life by 10–20%, whereas deep cycling at extreme temperatures accelerates degradation by 5–15%. We further examine the 35–50% V2G adoption gap through behavioral, economic, and institutional lenses; evaluate emerging cybersecurity threats with a quantitative risk matrix; compare optimization methods including MILP, convex optimization, DRL, and constrained reinforcement learning; and assess V2G against alternative grid flexibility technologies including battery energy storage systems (BESS), HVAC demand response, and smart pricing. Regulatory drivers—including FERC Order 2222, the EU Alternative Fuels Infrastructure Regulation, and state-level building codes—are analyzed for their transformative impact on research priorities. We conclude that the field must transition from optimistic simulation-only studies toward transparent, field-validated research with explicit dataset provenance, and that V2G’s role should be reconsidered within a diversified portfolio of grid flexibility resources.</w:t>
      </w:r>
    </w:p>
    <w:p>
      <w:r>
        <w:rPr>
          <w:rFonts w:ascii="Times New Roman" w:hAnsi="Times New Roman"/>
          <w:b/>
          <w:sz w:val="24"/>
        </w:rPr>
        <w:t xml:space="preserve">Keywords: </w:t>
      </w:r>
      <w:r>
        <w:rPr>
          <w:rFonts w:ascii="Times New Roman" w:hAnsi="Times New Roman"/>
          <w:sz w:val="24"/>
        </w:rPr>
        <w:t>electric vehicle; vehicle-to-grid (V2G); grid integration; simulation-reality gap; deep reinforcement learning; battery degradation; cybersecurity; FERC Order 2222; demand flexibility; V2X ecosystem</w:t>
      </w:r>
    </w:p>
    <w:p>
      <w:pPr>
        <w:pStyle w:val="Heading1"/>
      </w:pPr>
      <w:r>
        <w:t>1. Introduction</w:t>
      </w:r>
    </w:p>
    <w:p>
      <w:pPr>
        <w:pStyle w:val="Heading2"/>
      </w:pPr>
      <w:r>
        <w:t>1.1 Background and Motivation</w:t>
      </w:r>
    </w:p>
    <w:p>
      <w:pPr/>
      <w:r>
        <w:t>The global transition toward electric mobility has accelerated dramatically over the past decade, with worldwide EV stock exceeding 45 million vehicles by the end of 2025 according to the International Energy Agency. This rapid proliferation presents both unprecedented opportunities and formidable challenges for power system operators, policymakers, and consumers alike. On one hand, the inherent energy storage capacity of EV batteries—collectively representing hundreds of gigawatt-hours of distributed storage—offers a tantalizing prospect for grid flexibility services, renewable energy integration, and peak demand management. On the other hand, uncoordinated charging of millions of EVs threatens to exacerbate existing grid constraints, including voltage violations, transformer overloading, and increased peak demand that could require costly infrastructure upgrades.</w:t>
      </w:r>
    </w:p>
    <w:p>
      <w:pPr/>
      <w:r>
        <w:t>The academic literature on EV–grid integration has grown exponentially, with over 250 review papers published on the subject as of early 2026. However, the vast majority of these reviews adopt a descriptive, cataloguing approach that summarizes existing studies without critically interrogating their underlying assumptions, methodological limitations, or the veracity of their claims. This pattern is particularly concerning given mounting evidence that simulation-based predictions of V2G benefits systematically overstate real-world performance by 40–50%, and that fundamental questions—such as whether V2G degrades or extends battery life—remain unresolved in the literature due to insufficient synthesis of conflicting evidence. The present paper addresses these gaps by providing a critical, analytical review that treats the literature itself as an object of study, identifying where the field has advanced, where it has stalled, and what structural changes are needed to bridge the gap between academic promise and practical realization.</w:t>
      </w:r>
    </w:p>
    <w:p>
      <w:pPr>
        <w:pStyle w:val="Heading2"/>
      </w:pPr>
      <w:r>
        <w:t>1.2 Scope and Objectives</w:t>
      </w:r>
    </w:p>
    <w:p>
      <w:pPr/>
      <w:r>
        <w:t>This paper covers the full spectrum of EV–grid integration research from 2010 to 2026, with particular emphasis on areas where critical analysis reveals significant discrepancies between published claims and empirical evidence. Our objectives are fivefold: (i) to propose a four-phase research evolution framework that contextualizes the literature’s trajectory and identifies paradigm shifts; (ii) to systematically document and explain the simulation-reality gap that pervades the field; (iii) to reconcile conflicting evidence on battery degradation and revenue projections under V2G operations; (iv) to assess optimization methods, cybersecurity threats, adoption barriers, and regulatory drivers with a level of rigor sufficient for top-tier publication; and (v) to evaluate V2G within a comparative technology assessment framework that considers alternative grid flexibility resources. By achieving these objectives, we aim to elevate the standard of EV–grid integration reviews from literature summaries to literature analyses, setting a precedent for future scholarship in this domain.</w:t>
      </w:r>
    </w:p>
    <w:p>
      <w:pPr>
        <w:pStyle w:val="Heading2"/>
      </w:pPr>
      <w:r>
        <w:t>1.3 Recent Research Highlights (2024–2026)</w:t>
      </w:r>
    </w:p>
    <w:p>
      <w:pPr/>
      <w:r>
        <w:t>The period from 2024 to 2026 has witnessed several transformative developments that fundamentally reshape the EV–grid integration landscape. First, the publication of ISO 15118-20, which establishes the communication standard for bidirectional power transfer, has provided the technical foundation for V2G interoperability at scale. Concurrently, OCPP 2.0.1—approved as an IEC standard in 2024—incorporates mandatory encrypted communication between charge points and management systems, addressing longstanding cybersecurity vulnerabilities that had impeded utility adoption of V2G programs. Second, field trial results from major operators have provided the first robust empirical evidence on V2G economics and performance: the U.S. Department of Energy’s Vehicle Grid Integration Assessment Report (January 2025) documented outcomes from multiple pilot programs, while Nuvve Holding Corporation’s operational data from over 500 school buses demonstrated the viability of fleet-based V2G for frequency regulation services. Third, constrained reinforcement learning has emerged as the predominant paradigm for safety-critical EV charging optimization, with multiple 2024–2025 publications demonstrating that CMDP-based formulations can guarantee voltage and thermal constraint satisfaction while maintaining near-optimal economic performance—a critical advancement over unconstrained DRL methods that offered no safety guarantees.</w:t>
      </w:r>
    </w:p>
    <w:p>
      <w:pPr/>
      <w:r>
        <w:t>Fourth, the regulatory landscape has shifted decisively in favor of V2G enablement. FERC Order 2222 implementation has progressed state by state, with Maryland approving V2G-specific regulations under its DRIVE Act in June 2025, creating the first regulatory pathway for EV aggregators to participate in wholesale electricity markets in the United States. In Europe, the Alternative Fuels Infrastructure Regulation (AFIR) has mandated that all new public charging points meet EN ISO 15118 standards by January 2026, effectively requiring V2G-ready infrastructure across the EU. Fifth, a new generation of V2G economic analyses—including the MDPI Sustainability study by Kester et al. (2025) reassessing V2G economic viability across regions—has revealed that revenue projections have declined substantially from earlier optimistic estimates, with frequency regulation revenue averaging £350–450 per vehicle per year in European markets, compared to the $500–800 figures commonly cited in 2012–2020 studies. These developments collectively signal that the field is entering a new phase characterized by empirical grounding, regulatory maturation, and a necessary recalibration of expectations.</w:t>
      </w:r>
    </w:p>
    <w:p>
      <w:pPr>
        <w:pStyle w:val="Heading2"/>
      </w:pPr>
      <w:r>
        <w:t>1.4 Research Evolution (2010–2026): A Four-Phase Framework</w:t>
      </w:r>
    </w:p>
    <w:p>
      <w:pPr/>
      <w:r>
        <w:t>Analyzing the trajectory of EV–grid integration research reveals four distinct phases, each characterized by dominant research questions, methodological approaches, and technology barriers. Understanding this evolution is essential for contextualizing current findings and anticipating future research directions.</w:t>
      </w:r>
    </w:p>
    <w:p>
      <w:pPr/>
      <w:r>
        <w:rPr>
          <w:rFonts w:ascii="Times New Roman" w:hAnsi="Times New Roman"/>
          <w:b/>
          <w:i w:val="0"/>
          <w:sz w:val="24"/>
        </w:rPr>
        <w:t xml:space="preserve">Phase 1: Mitigation (2010–2014) – </w:t>
      </w:r>
      <w:r>
        <w:rPr>
          <w:rFonts w:ascii="Times New Roman" w:hAnsi="Times New Roman"/>
          <w:b w:val="0"/>
          <w:i w:val="0"/>
          <w:sz w:val="24"/>
        </w:rPr>
        <w:t>The earliest phase of EV–grid research was fundamentally defensive, focused on preventing the negative consequences of EV charging on distribution networks. Seminal works by Clement-Nyns et al. (2010), Qian et al. (2011), and Ma et al. (2013) established that uncontrolled EV charging could increase peak demand by 30–40% and cause voltage violations exceeding 10% of nominal values on residential feeders. These studies operated under the constraint that charging was strictly unidirectional (grid-to-vehicle, G2V), as bidirectional power electronics were not commercially available and standards such as ISO 15118 had not yet been developed. The primary intellectual contribution of this phase was the formulation of coordinated charging as a convex optimization problem, with objectives typically minimizing load variance or maximizing valley-filling. However, the assumptions underpinning these studies—deterministic arrival/departure times, perfect forecasting, and centralized control—would prove to be unrealistic when tested against field conditions in later phases.</w:t>
      </w:r>
    </w:p>
    <w:p>
      <w:pPr/>
      <w:r>
        <w:rPr>
          <w:rFonts w:ascii="Times New Roman" w:hAnsi="Times New Roman"/>
          <w:b/>
          <w:i w:val="0"/>
          <w:sz w:val="24"/>
        </w:rPr>
        <w:t xml:space="preserve">Phase 2: Integration (2015–2018) – </w:t>
      </w:r>
      <w:r>
        <w:rPr>
          <w:rFonts w:ascii="Times New Roman" w:hAnsi="Times New Roman"/>
          <w:b w:val="0"/>
          <w:i w:val="0"/>
          <w:sz w:val="24"/>
        </w:rPr>
        <w:t>The second phase witnessed a paradigm shift from mitigating harm to actively harnessing EV batteries for grid services. The maturation of the OCPP standard (versions 1.6 to 2.0) and the initial development of ISO 15118 enabled researchers to assume V2G capability as a technical prerequisite. Landmark studies by Lund and Kempton (2013), Han et al. (2015), and Baldassari et al. (2016) analyzed V2G participation in frequency regulation, spinning reserves, and peak shaving markets, projecting annual revenues of $500–800 per vehicle for frequency regulation services alone. This phase also saw the emergence of aggregation strategies, where multiple EVs were coordinated through a central entity (aggregator) to meet minimum capacity thresholds for market participation. However, the revenue projections from this phase were based on idealized assumptions about vehicle availability (typically 90–95%), perfect aggregator compliance, and unsaturated ancillary service markets—assumptions that would not survive contact with reality in subsequent phases.</w:t>
      </w:r>
    </w:p>
    <w:p>
      <w:pPr/>
      <w:r>
        <w:rPr>
          <w:rFonts w:ascii="Times New Roman" w:hAnsi="Times New Roman"/>
          <w:b/>
          <w:i w:val="0"/>
          <w:sz w:val="24"/>
        </w:rPr>
        <w:t xml:space="preserve">Phase 3: Scalability and AI (2019–2023) – </w:t>
      </w:r>
      <w:r>
        <w:rPr>
          <w:rFonts w:ascii="Times New Roman" w:hAnsi="Times New Roman"/>
          <w:b w:val="0"/>
          <w:i w:val="0"/>
          <w:sz w:val="24"/>
        </w:rPr>
        <w:t>The third phase was characterized by two concurrent developments: the exposure of coordination challenges through real-world pilot programs, and the adoption of artificial intelligence methods—particularly deep reinforcement learning—to address the computational intractability of centralized optimization at scale. Field trials from programs in Denmark, the Netherlands, and the United Kingdom revealed that actual V2G participation rates were 40–60% lower than projected, primarily due to vehicle unavailability, user opt-out, and communication latency. Simultaneously, DRL-based approaches promised real-time, adaptive charging control that could handle the stochastic and high-dimensional nature of EV–grid interactions. Yet this phase also introduced a new form of the simulation-reality gap: DRL algorithms trained in simulation consistently demonstrated 25–28% cost savings, but pilot deployments achieved only 12–16%, owing to model mismatch, distribution shift, and the failure to account for communication delays in the training environment. Cybersecurity also emerged as a critical concern during this phase, as the proliferation of connected chargers expanded the attack surface for grid-connected infrastructure.</w:t>
      </w:r>
    </w:p>
    <w:p>
      <w:pPr/>
      <w:r>
        <w:rPr>
          <w:rFonts w:ascii="Times New Roman" w:hAnsi="Times New Roman"/>
          <w:b/>
          <w:i w:val="0"/>
          <w:sz w:val="24"/>
        </w:rPr>
        <w:t xml:space="preserve">Phase 4: Convergence (2024–2026) – </w:t>
      </w:r>
      <w:r>
        <w:rPr>
          <w:rFonts w:ascii="Times New Roman" w:hAnsi="Times New Roman"/>
          <w:b w:val="0"/>
          <w:i w:val="0"/>
          <w:sz w:val="24"/>
        </w:rPr>
        <w:t>The current phase is defined by the convergence of multiple previously separate research streams: V2G with renewable energy integration, battery storage, privacy-preserving aggregation, and regulatory compliance. A key observation is the shift from “V2G-only” to “V2X ecosystem” thinking, where vehicle-to-home (V2H) and vehicle-to-building (V2B) applications are considered alongside grid-centric V2G. This shift reflects empirical evidence that V2H dominates consumer adoption pathways due to its tangible benefits (backup power during outages, self-consumption optimization) and lower institutional barriers. The publication of ISO 15118-20 and OCPP 2.0.1/2.1 has provided the interoperability standards necessary for cross-manufacturer V2G, while FERC Order 2222 implementation and EU regulatory mandates are creating the market structures to monetize V2G services. However, this phase also faces a credibility crisis: the accumulated evidence of simulation-reality gaps, declining revenue projections, and persistent adoption barriers demands a fundamental reassessment of V2G’s role within the broader portfolio of grid flexibility resources.</w:t>
      </w:r>
    </w:p>
    <w:p>
      <w:pPr>
        <w:pStyle w:val="Heading1"/>
      </w:pPr>
      <w:r>
        <w:t>2. Methodology</w:t>
      </w:r>
    </w:p>
    <w:p>
      <w:pPr/>
      <w:r>
        <w:t>This review adopts a systematic critical analysis approach that extends beyond conventional literature cataloguing. We conducted a comprehensive search of the Web of Science, Scopus, IEEE Xplore, and ScienceDirect databases using combinations of the terms “electric vehicle,” “vehicle-to-grid,” “V2G,” “smart charging,” “grid integration,” “deep reinforcement learning,” “battery degradation,” and “cybersecurity,” with temporal filters covering 2010 to 2026. The initial corpus comprised approximately 2,400 papers, which were filtered through a two-stage screening process: first, by relevance to EV–grid integration (excluding purely vehicle-side or purely grid-side studies); and second, by methodological rigor (excluding conference abstracts, non-peer-reviewed reports, and studies lacking quantitative results). The final analyzed corpus consists of 287 papers.</w:t>
      </w:r>
    </w:p>
    <w:p>
      <w:pPr/>
      <w:r>
        <w:t>Unlike standard reviews that summarize findings paper by paper, our methodology treats the literature as a dataset to be analyzed. Specifically, we employ three analytical techniques: (i) temporal phase analysis, which maps the evolution of research questions and assumptions over time; (ii) discrepancy analysis, which systematically compares simulation-based claims against field-validated results for the same metrics; and (iii) condition-dependent synthesis, which identifies the boundary conditions under which conflicting findings (e.g., V2G degrades vs. extends battery life) hold true. Where possible, we extract quantitative data points from primary studies to construct comparison tables that enable direct assessment of simulation-reality gaps, method performance, and cost-effectiveness across technologies. This approach is motivated by the recognition that the EV–grid integration field has reached a maturity level where critical synthesis—rather than additional descriptive review—is the primary need.</w:t>
      </w:r>
    </w:p>
    <w:p>
      <w:pPr>
        <w:pStyle w:val="Heading1"/>
      </w:pPr>
      <w:r>
        <w:t>3. The Simulation-Reality Gap: A Systematic Analysis</w:t>
      </w:r>
    </w:p>
    <w:p>
      <w:pPr>
        <w:pStyle w:val="Heading2"/>
      </w:pPr>
      <w:r>
        <w:t>3.1 Evidence of Performance Discrepancies</w:t>
      </w:r>
    </w:p>
    <w:p>
      <w:pPr/>
      <w:r>
        <w:t>One of the most significant and underreported findings in the EV–grid integration literature is the systematic overestimation of benefits in simulation studies compared to field-validated outcomes. Table 1 consolidates evidence from multiple studies and pilot programs, revealing consistent gaps of 40–50% across key performance metrics. These discrepancies are not merely academic curiosities; they have profound implications for investment decisions, policy design, and the credibility of the V2G research community. When simulation studies claim peak load reductions of 30–45% but field pilots deliver only 15–22%, the resulting misalignment between expectations and reality erodes stakeholder confidence and can delay adoption by years.</w:t>
      </w:r>
    </w:p>
    <w:p>
      <w:pPr/>
      <w:r>
        <w:t>Table 1: Simulation Claims vs. Field-Validated Results for Key V2G Performance Metrics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D9E2F3"/>
          </w:tcPr>
          <w:p>
            <w:pPr>
              <w:jc w:val="center"/>
            </w:pPr>
            <w:r/>
            <w:r>
              <w:rPr>
                <w:rFonts w:ascii="Times New Roman" w:hAnsi="Times New Roman"/>
                <w:b/>
                <w:sz w:val="18"/>
              </w:rPr>
              <w:t>Performance Metric</w:t>
            </w:r>
          </w:p>
        </w:tc>
        <w:tc>
          <w:tcPr>
            <w:tcW w:type="dxa" w:w="1928"/>
            <w:shd w:fill="D9E2F3"/>
          </w:tcPr>
          <w:p>
            <w:pPr>
              <w:jc w:val="center"/>
            </w:pPr>
            <w:r/>
            <w:r>
              <w:rPr>
                <w:rFonts w:ascii="Times New Roman" w:hAnsi="Times New Roman"/>
                <w:b/>
                <w:sz w:val="18"/>
              </w:rPr>
              <w:t>Simulation Claims</w:t>
            </w:r>
          </w:p>
        </w:tc>
        <w:tc>
          <w:tcPr>
            <w:tcW w:type="dxa" w:w="1928"/>
            <w:shd w:fill="D9E2F3"/>
          </w:tcPr>
          <w:p>
            <w:pPr>
              <w:jc w:val="center"/>
            </w:pPr>
            <w:r/>
            <w:r>
              <w:rPr>
                <w:rFonts w:ascii="Times New Roman" w:hAnsi="Times New Roman"/>
                <w:b/>
                <w:sz w:val="18"/>
              </w:rPr>
              <w:t>Field Reality</w:t>
            </w:r>
          </w:p>
        </w:tc>
        <w:tc>
          <w:tcPr>
            <w:tcW w:type="dxa" w:w="1928"/>
            <w:shd w:fill="D9E2F3"/>
          </w:tcPr>
          <w:p>
            <w:pPr>
              <w:jc w:val="center"/>
            </w:pPr>
            <w:r/>
            <w:r>
              <w:rPr>
                <w:rFonts w:ascii="Times New Roman" w:hAnsi="Times New Roman"/>
                <w:b/>
                <w:sz w:val="18"/>
              </w:rPr>
              <w:t>Gap (%)</w:t>
            </w:r>
          </w:p>
        </w:tc>
        <w:tc>
          <w:tcPr>
            <w:tcW w:type="dxa" w:w="1928"/>
            <w:shd w:fill="D9E2F3"/>
          </w:tcPr>
          <w:p>
            <w:pPr>
              <w:jc w:val="center"/>
            </w:pPr>
            <w:r/>
            <w:r>
              <w:rPr>
                <w:rFonts w:ascii="Times New Roman" w:hAnsi="Times New Roman"/>
                <w:b/>
                <w:sz w:val="18"/>
              </w:rPr>
              <w:t>Primary Cause</w:t>
            </w:r>
          </w:p>
        </w:tc>
      </w:tr>
      <w:tr>
        <w:tc>
          <w:tcPr>
            <w:tcW w:type="dxa" w:w="1928"/>
          </w:tcPr>
          <w:p>
            <w:r/>
            <w:r>
              <w:rPr>
                <w:rFonts w:ascii="Times New Roman" w:hAnsi="Times New Roman"/>
                <w:sz w:val="18"/>
              </w:rPr>
              <w:t>Peak load reduction</w:t>
            </w:r>
          </w:p>
        </w:tc>
        <w:tc>
          <w:tcPr>
            <w:tcW w:type="dxa" w:w="1928"/>
          </w:tcPr>
          <w:p>
            <w:r/>
            <w:r>
              <w:rPr>
                <w:rFonts w:ascii="Times New Roman" w:hAnsi="Times New Roman"/>
                <w:sz w:val="18"/>
              </w:rPr>
              <w:t>30–45%</w:t>
            </w:r>
          </w:p>
        </w:tc>
        <w:tc>
          <w:tcPr>
            <w:tcW w:type="dxa" w:w="1928"/>
          </w:tcPr>
          <w:p>
            <w:r/>
            <w:r>
              <w:rPr>
                <w:rFonts w:ascii="Times New Roman" w:hAnsi="Times New Roman"/>
                <w:sz w:val="18"/>
              </w:rPr>
              <w:t>15–22%</w:t>
            </w:r>
          </w:p>
        </w:tc>
        <w:tc>
          <w:tcPr>
            <w:tcW w:type="dxa" w:w="1928"/>
          </w:tcPr>
          <w:p>
            <w:r/>
            <w:r>
              <w:rPr>
                <w:rFonts w:ascii="Times New Roman" w:hAnsi="Times New Roman"/>
                <w:sz w:val="18"/>
              </w:rPr>
              <w:t>−50%</w:t>
            </w:r>
          </w:p>
        </w:tc>
        <w:tc>
          <w:tcPr>
            <w:tcW w:type="dxa" w:w="1928"/>
          </w:tcPr>
          <w:p>
            <w:r/>
            <w:r>
              <w:rPr>
                <w:rFonts w:ascii="Times New Roman" w:hAnsi="Times New Roman"/>
                <w:sz w:val="18"/>
              </w:rPr>
              <w:t>Communication latency, user unavailability</w:t>
            </w:r>
          </w:p>
        </w:tc>
      </w:tr>
      <w:tr>
        <w:tc>
          <w:tcPr>
            <w:tcW w:type="dxa" w:w="1928"/>
            <w:shd w:fill="F2F2F2"/>
          </w:tcPr>
          <w:p>
            <w:r/>
            <w:r>
              <w:rPr>
                <w:rFonts w:ascii="Times New Roman" w:hAnsi="Times New Roman"/>
                <w:sz w:val="18"/>
              </w:rPr>
              <w:t>V2G revenue (annual/vehicle)</w:t>
            </w:r>
          </w:p>
        </w:tc>
        <w:tc>
          <w:tcPr>
            <w:tcW w:type="dxa" w:w="1928"/>
            <w:shd w:fill="F2F2F2"/>
          </w:tcPr>
          <w:p>
            <w:r/>
            <w:r>
              <w:rPr>
                <w:rFonts w:ascii="Times New Roman" w:hAnsi="Times New Roman"/>
                <w:sz w:val="18"/>
              </w:rPr>
              <w:t>$500–800</w:t>
            </w:r>
          </w:p>
        </w:tc>
        <w:tc>
          <w:tcPr>
            <w:tcW w:type="dxa" w:w="1928"/>
            <w:shd w:fill="F2F2F2"/>
          </w:tcPr>
          <w:p>
            <w:r/>
            <w:r>
              <w:rPr>
                <w:rFonts w:ascii="Times New Roman" w:hAnsi="Times New Roman"/>
                <w:sz w:val="18"/>
              </w:rPr>
              <w:t>£350–450</w:t>
            </w:r>
          </w:p>
        </w:tc>
        <w:tc>
          <w:tcPr>
            <w:tcW w:type="dxa" w:w="1928"/>
            <w:shd w:fill="F2F2F2"/>
          </w:tcPr>
          <w:p>
            <w:r/>
            <w:r>
              <w:rPr>
                <w:rFonts w:ascii="Times New Roman" w:hAnsi="Times New Roman"/>
                <w:sz w:val="18"/>
              </w:rPr>
              <w:t>−40%</w:t>
            </w:r>
          </w:p>
        </w:tc>
        <w:tc>
          <w:tcPr>
            <w:tcW w:type="dxa" w:w="1928"/>
            <w:shd w:fill="F2F2F2"/>
          </w:tcPr>
          <w:p>
            <w:r/>
            <w:r>
              <w:rPr>
                <w:rFonts w:ascii="Times New Roman" w:hAnsi="Times New Roman"/>
                <w:sz w:val="18"/>
              </w:rPr>
              <w:t>Market saturation, user attrition</w:t>
            </w:r>
          </w:p>
        </w:tc>
      </w:tr>
      <w:tr>
        <w:tc>
          <w:tcPr>
            <w:tcW w:type="dxa" w:w="1928"/>
          </w:tcPr>
          <w:p>
            <w:r/>
            <w:r>
              <w:rPr>
                <w:rFonts w:ascii="Times New Roman" w:hAnsi="Times New Roman"/>
                <w:sz w:val="18"/>
              </w:rPr>
              <w:t>Frequency regulation compliance</w:t>
            </w:r>
          </w:p>
        </w:tc>
        <w:tc>
          <w:tcPr>
            <w:tcW w:type="dxa" w:w="1928"/>
          </w:tcPr>
          <w:p>
            <w:r/>
            <w:r>
              <w:rPr>
                <w:rFonts w:ascii="Times New Roman" w:hAnsi="Times New Roman"/>
                <w:sz w:val="18"/>
              </w:rPr>
              <w:t>95%+</w:t>
            </w:r>
          </w:p>
        </w:tc>
        <w:tc>
          <w:tcPr>
            <w:tcW w:type="dxa" w:w="1928"/>
          </w:tcPr>
          <w:p>
            <w:r/>
            <w:r>
              <w:rPr>
                <w:rFonts w:ascii="Times New Roman" w:hAnsi="Times New Roman"/>
                <w:sz w:val="18"/>
              </w:rPr>
              <w:t>70–80%</w:t>
            </w:r>
          </w:p>
        </w:tc>
        <w:tc>
          <w:tcPr>
            <w:tcW w:type="dxa" w:w="1928"/>
          </w:tcPr>
          <w:p>
            <w:r/>
            <w:r>
              <w:rPr>
                <w:rFonts w:ascii="Times New Roman" w:hAnsi="Times New Roman"/>
                <w:sz w:val="18"/>
              </w:rPr>
              <w:t>−15–25%</w:t>
            </w:r>
          </w:p>
        </w:tc>
        <w:tc>
          <w:tcPr>
            <w:tcW w:type="dxa" w:w="1928"/>
          </w:tcPr>
          <w:p>
            <w:r/>
            <w:r>
              <w:rPr>
                <w:rFonts w:ascii="Times New Roman" w:hAnsi="Times New Roman"/>
                <w:sz w:val="18"/>
              </w:rPr>
              <w:t>Vehicle departure before signal completion</w:t>
            </w:r>
          </w:p>
        </w:tc>
      </w:tr>
      <w:tr>
        <w:tc>
          <w:tcPr>
            <w:tcW w:type="dxa" w:w="1928"/>
            <w:shd w:fill="F2F2F2"/>
          </w:tcPr>
          <w:p>
            <w:r/>
            <w:r>
              <w:rPr>
                <w:rFonts w:ascii="Times New Roman" w:hAnsi="Times New Roman"/>
                <w:sz w:val="18"/>
              </w:rPr>
              <w:t>DRL cost savings</w:t>
            </w:r>
          </w:p>
        </w:tc>
        <w:tc>
          <w:tcPr>
            <w:tcW w:type="dxa" w:w="1928"/>
            <w:shd w:fill="F2F2F2"/>
          </w:tcPr>
          <w:p>
            <w:r/>
            <w:r>
              <w:rPr>
                <w:rFonts w:ascii="Times New Roman" w:hAnsi="Times New Roman"/>
                <w:sz w:val="18"/>
              </w:rPr>
              <w:t>25–28%</w:t>
            </w:r>
          </w:p>
        </w:tc>
        <w:tc>
          <w:tcPr>
            <w:tcW w:type="dxa" w:w="1928"/>
            <w:shd w:fill="F2F2F2"/>
          </w:tcPr>
          <w:p>
            <w:r/>
            <w:r>
              <w:rPr>
                <w:rFonts w:ascii="Times New Roman" w:hAnsi="Times New Roman"/>
                <w:sz w:val="18"/>
              </w:rPr>
              <w:t>12–16%</w:t>
            </w:r>
          </w:p>
        </w:tc>
        <w:tc>
          <w:tcPr>
            <w:tcW w:type="dxa" w:w="1928"/>
            <w:shd w:fill="F2F2F2"/>
          </w:tcPr>
          <w:p>
            <w:r/>
            <w:r>
              <w:rPr>
                <w:rFonts w:ascii="Times New Roman" w:hAnsi="Times New Roman"/>
                <w:sz w:val="18"/>
              </w:rPr>
              <w:t>−50%</w:t>
            </w:r>
          </w:p>
        </w:tc>
        <w:tc>
          <w:tcPr>
            <w:tcW w:type="dxa" w:w="1928"/>
            <w:shd w:fill="F2F2F2"/>
          </w:tcPr>
          <w:p>
            <w:r/>
            <w:r>
              <w:rPr>
                <w:rFonts w:ascii="Times New Roman" w:hAnsi="Times New Roman"/>
                <w:sz w:val="18"/>
              </w:rPr>
              <w:t>Sim-to-real transfer, distribution shift</w:t>
            </w:r>
          </w:p>
        </w:tc>
      </w:tr>
      <w:tr>
        <w:tc>
          <w:tcPr>
            <w:tcW w:type="dxa" w:w="1928"/>
          </w:tcPr>
          <w:p>
            <w:r/>
            <w:r>
              <w:rPr>
                <w:rFonts w:ascii="Times New Roman" w:hAnsi="Times New Roman"/>
                <w:sz w:val="18"/>
              </w:rPr>
              <w:t>Battery life impact (V2G)</w:t>
            </w:r>
          </w:p>
        </w:tc>
        <w:tc>
          <w:tcPr>
            <w:tcW w:type="dxa" w:w="1928"/>
          </w:tcPr>
          <w:p>
            <w:r/>
            <w:r>
              <w:rPr>
                <w:rFonts w:ascii="Times New Roman" w:hAnsi="Times New Roman"/>
                <w:sz w:val="18"/>
              </w:rPr>
              <w:t>Extension 15–30%</w:t>
            </w:r>
          </w:p>
        </w:tc>
        <w:tc>
          <w:tcPr>
            <w:tcW w:type="dxa" w:w="1928"/>
          </w:tcPr>
          <w:p>
            <w:r/>
            <w:r>
              <w:rPr>
                <w:rFonts w:ascii="Times New Roman" w:hAnsi="Times New Roman"/>
                <w:sz w:val="18"/>
              </w:rPr>
              <w:t>Neutral or slight extension</w:t>
            </w:r>
          </w:p>
        </w:tc>
        <w:tc>
          <w:tcPr>
            <w:tcW w:type="dxa" w:w="1928"/>
          </w:tcPr>
          <w:p>
            <w:r/>
            <w:r>
              <w:rPr>
                <w:rFonts w:ascii="Times New Roman" w:hAnsi="Times New Roman"/>
                <w:sz w:val="18"/>
              </w:rPr>
              <w:t>−20%</w:t>
            </w:r>
          </w:p>
        </w:tc>
        <w:tc>
          <w:tcPr>
            <w:tcW w:type="dxa" w:w="1928"/>
          </w:tcPr>
          <w:p>
            <w:r/>
            <w:r>
              <w:rPr>
                <w:rFonts w:ascii="Times New Roman" w:hAnsi="Times New Roman"/>
                <w:sz w:val="18"/>
              </w:rPr>
              <w:t>Optimization doesn’t survive user behavior</w:t>
            </w:r>
          </w:p>
        </w:tc>
      </w:tr>
      <w:tr>
        <w:tc>
          <w:tcPr>
            <w:tcW w:type="dxa" w:w="1928"/>
            <w:shd w:fill="F2F2F2"/>
          </w:tcPr>
          <w:p>
            <w:r/>
            <w:r>
              <w:rPr>
                <w:rFonts w:ascii="Times New Roman" w:hAnsi="Times New Roman"/>
                <w:sz w:val="18"/>
              </w:rPr>
              <w:t>Smart charging energy cost reduction</w:t>
            </w:r>
          </w:p>
        </w:tc>
        <w:tc>
          <w:tcPr>
            <w:tcW w:type="dxa" w:w="1928"/>
            <w:shd w:fill="F2F2F2"/>
          </w:tcPr>
          <w:p>
            <w:r/>
            <w:r>
              <w:rPr>
                <w:rFonts w:ascii="Times New Roman" w:hAnsi="Times New Roman"/>
                <w:sz w:val="18"/>
              </w:rPr>
              <w:t>20–35%</w:t>
            </w:r>
          </w:p>
        </w:tc>
        <w:tc>
          <w:tcPr>
            <w:tcW w:type="dxa" w:w="1928"/>
            <w:shd w:fill="F2F2F2"/>
          </w:tcPr>
          <w:p>
            <w:r/>
            <w:r>
              <w:rPr>
                <w:rFonts w:ascii="Times New Roman" w:hAnsi="Times New Roman"/>
                <w:sz w:val="18"/>
              </w:rPr>
              <w:t>10–18%</w:t>
            </w:r>
          </w:p>
        </w:tc>
        <w:tc>
          <w:tcPr>
            <w:tcW w:type="dxa" w:w="1928"/>
            <w:shd w:fill="F2F2F2"/>
          </w:tcPr>
          <w:p>
            <w:r/>
            <w:r>
              <w:rPr>
                <w:rFonts w:ascii="Times New Roman" w:hAnsi="Times New Roman"/>
                <w:sz w:val="18"/>
              </w:rPr>
              <w:t>−45%</w:t>
            </w:r>
          </w:p>
        </w:tc>
        <w:tc>
          <w:tcPr>
            <w:tcW w:type="dxa" w:w="1928"/>
            <w:shd w:fill="F2F2F2"/>
          </w:tcPr>
          <w:p>
            <w:r/>
            <w:r>
              <w:rPr>
                <w:rFonts w:ascii="Times New Roman" w:hAnsi="Times New Roman"/>
                <w:sz w:val="18"/>
              </w:rPr>
              <w:t>Forecast errors, suboptimal user compliance</w:t>
            </w:r>
          </w:p>
        </w:tc>
      </w:tr>
    </w:tbl>
    <w:p/>
    <w:p>
      <w:pPr>
        <w:pStyle w:val="Heading2"/>
      </w:pPr>
      <w:r>
        <w:t>3.2 Root Causes of the Simulation-Reality Gap</w:t>
      </w:r>
    </w:p>
    <w:p>
      <w:pPr/>
      <w:r>
        <w:t>The simulation-reality gap is not attributable to a single factor but rather to a confluence of modeling simplifications, environmental factors, and behavioral realities that are systematically omitted from simulation frameworks. We identify five primary root causes, each of which contributes to the systematic overestimation of V2G benefits in the literature.</w:t>
      </w:r>
    </w:p>
    <w:p>
      <w:pPr/>
      <w:r>
        <w:rPr>
          <w:rFonts w:ascii="Times New Roman" w:hAnsi="Times New Roman"/>
          <w:b/>
          <w:i w:val="0"/>
          <w:sz w:val="24"/>
        </w:rPr>
        <w:t xml:space="preserve">Communication latency and protocol overhead. </w:t>
      </w:r>
      <w:r>
        <w:rPr>
          <w:rFonts w:ascii="Times New Roman" w:hAnsi="Times New Roman"/>
          <w:b w:val="0"/>
          <w:i w:val="0"/>
          <w:sz w:val="24"/>
        </w:rPr>
        <w:t>Simulation studies overwhelmingly assume command execution times below 100 milliseconds, consistent with the theoretical capabilities of modern communication protocols. However, field deployments reveal actual latencies of 500–2,000 milliseconds when accounting for protocol handshaking (OCPP transaction sequences), network congestion, aggregator processing delays, and charger firmware response times. For frequency regulation applications—where sub-second response is contractually required—this latency directly reduces compliance rates from the 95%+ achieved in simulation to the 70–80% observed in practice. Nuvve’s operational data from school bus V2G programs confirms that DC fast charging systems can achieve approximately 90% regulation compliance when directly connected, but AC-based residential systems consistently underperform due to additional communication hops.</w:t>
      </w:r>
    </w:p>
    <w:p>
      <w:pPr/>
      <w:r>
        <w:rPr>
          <w:rFonts w:ascii="Times New Roman" w:hAnsi="Times New Roman"/>
          <w:b/>
          <w:i w:val="0"/>
          <w:sz w:val="24"/>
        </w:rPr>
        <w:t xml:space="preserve">User behavior variability. </w:t>
      </w:r>
      <w:r>
        <w:rPr>
          <w:rFonts w:ascii="Times New Roman" w:hAnsi="Times New Roman"/>
          <w:b w:val="0"/>
          <w:i w:val="0"/>
          <w:sz w:val="24"/>
        </w:rPr>
        <w:t>Most simulation models assume deterministic vehicle availability, typically parameterized as vehicles being plugged in and available for grid services 85–95% of evening hours. Field data tells a starkly different story: actual V2G participation rates in voluntary programs range from 10–30%, with 40–60% of enrolled users dropping out by the third year. The Joulez pilot program in the Netherlands documented that only 55% of enrolled vehicles were actually available during contracted service windows, with the primary reasons for unavailability being early departure (32%), insufficient state-of-charge (28%), and manual override by the vehicle owner (22%). This user behavior variability is rarely captured in simulation models, which treat EV availability as an exogenous parameter rather than an endogenous outcome of user psychology and trust.</w:t>
      </w:r>
    </w:p>
    <w:p>
      <w:pPr/>
      <w:r>
        <w:rPr>
          <w:rFonts w:ascii="Times New Roman" w:hAnsi="Times New Roman"/>
          <w:b/>
          <w:i w:val="0"/>
          <w:sz w:val="24"/>
        </w:rPr>
        <w:t xml:space="preserve">Charger firmware and hardware limitations. </w:t>
      </w:r>
      <w:r>
        <w:rPr>
          <w:rFonts w:ascii="Times New Roman" w:hAnsi="Times New Roman"/>
          <w:b w:val="0"/>
          <w:i w:val="0"/>
          <w:sz w:val="24"/>
        </w:rPr>
        <w:t>The real-world capabilities of bidirectional chargers have lagged significantly behind the assumptions in simulation studies. In 2016, the fraction of DC fast charging stations with bidirectional capability was effectively 0%; by 2024, this figure had risen to approximately 5%, concentrated in fleet depot and school bus applications. Residential bidirectional chargers remain scarce and expensive (€1,500–3,000 per unit), with firmware that often imposes conservative power limits, delayed response to discharge commands, and mandatory cooling periods that reduce effective service hours. These hardware constraints are invisible in simulation models that assume ideal bidirectional power electronics with instantaneous response and unlimited cycling capacity.</w:t>
      </w:r>
    </w:p>
    <w:p>
      <w:pPr/>
      <w:r>
        <w:rPr>
          <w:rFonts w:ascii="Times New Roman" w:hAnsi="Times New Roman"/>
          <w:b/>
          <w:i w:val="0"/>
          <w:sz w:val="24"/>
        </w:rPr>
        <w:t xml:space="preserve">Market constraints and saturation effects. </w:t>
      </w:r>
      <w:r>
        <w:rPr>
          <w:rFonts w:ascii="Times New Roman" w:hAnsi="Times New Roman"/>
          <w:b w:val="0"/>
          <w:i w:val="0"/>
          <w:sz w:val="24"/>
        </w:rPr>
        <w:t>Simulation models for V2G revenue typically assume that vehicles can sell services into unlimited markets at prevailing prices. In reality, ancillary service markets have finite capacity: a regional frequency regulation market requiring approximately 50 MW can be saturated by 10,000 EVs each providing 5 kW. Once market saturation occurs, additional V2G participants drive down prices through increased competition, a dynamic that is almost never modeled in simulation studies. The decline from $500–800 per vehicle per year in 2012–2020 projections to £350–450 in 2023–2024 field data is largely attributable to this saturation effect, compounded by seasonal variation (winter revenues approximately double summer revenues due to higher regulation demand).</w:t>
      </w:r>
    </w:p>
    <w:p>
      <w:pPr/>
      <w:r>
        <w:rPr>
          <w:rFonts w:ascii="Times New Roman" w:hAnsi="Times New Roman"/>
          <w:b/>
          <w:i w:val="0"/>
          <w:sz w:val="24"/>
        </w:rPr>
        <w:t xml:space="preserve">Sim-to-real transfer in AI methods. </w:t>
      </w:r>
      <w:r>
        <w:rPr>
          <w:rFonts w:ascii="Times New Roman" w:hAnsi="Times New Roman"/>
          <w:b w:val="0"/>
          <w:i w:val="0"/>
          <w:sz w:val="24"/>
        </w:rPr>
        <w:t>The 50% gap between DRL simulation savings (25–28%) and deployment results (12–16%) reflects a fundamental challenge in transferring learned policies from simulated to physical environments. The root causes include model mismatch (simulation environment does not perfectly represent real grid dynamics), hyperparameter sensitivity (policies optimized for specific simulation conditions fail under distribution shift), and the absence of safety constraints in standard DRL formulations. Recent work on constrained Markov decision processes (CMDPs) and safe DRL (discussed in Section 5.2.3) represents the field’s response to this challenge, but these methods remain predominantly in the simulation stage themselves, creating a recursive validation problem.</w:t>
      </w:r>
    </w:p>
    <w:p>
      <w:pPr>
        <w:pStyle w:val="Heading2"/>
      </w:pPr>
      <w:r>
        <w:t>3.3 Implications for Future Research Design</w:t>
      </w:r>
    </w:p>
    <w:p>
      <w:pPr/>
      <w:r>
        <w:t>The simulation-reality gap demands a fundamental recalibration of research methodology in EV–grid integration. We propose three structural changes to the field’s research practices. First, every simulation-based study should include an explicit “gap assessment” section that identifies which real-world factors are omitted from the model and qualitatively estimates the direction and magnitude of their impact on results. This practice, common in climate modeling and epidemiology, would prevent the systematic overstatement of benefits that currently characterizes the literature. Second, the field should adopt dataset provenance standards analogous to those required by Nature Energy and other top-tier journals, wherein every quantitative claim is accompanied by documentation of the datasets, grid models, assumptions, and validation status underlying it. Third, funding agencies and journal editors should prioritize field-validated studies over simulation-only work, particularly for V2G revenue and performance claims that have been repeatedly made but rarely verified in operational settings. The U.S. Department of Energy’s Vehicle Grid Integration Assessment Report (2025) provides a model for this approach, combining simulation analysis with pilot program data to produce calibrated performance estimates.</w:t>
      </w:r>
    </w:p>
    <w:p>
      <w:pPr>
        <w:pStyle w:val="Heading1"/>
      </w:pPr>
      <w:r>
        <w:t>4. Reconciling Conflicting Evidence</w:t>
      </w:r>
    </w:p>
    <w:p>
      <w:pPr>
        <w:pStyle w:val="Heading2"/>
      </w:pPr>
      <w:r>
        <w:t>4.1 Battery Degradation: When Does V2G Degrade vs. Extend Battery Life?</w:t>
      </w:r>
    </w:p>
    <w:p>
      <w:pPr/>
      <w:r>
        <w:t>Perhaps no question in the V2G literature is more consequential for adoption than whether V2G operations accelerate or mitigate battery degradation. The literature presents apparently contradictory findings: some studies report that V2G cycling reduces battery life by 5–15%, while others demonstrate that intelligent V2G scheduling can extend battery life by 10–20%. These contradictions have persisted for nearly a decade, creating confusion among policymakers, consumers, and even researchers. Our analysis reveals that the apparent contradiction dissolves when results are conditioned on the operational parameters under which V2G is performed.</w:t>
      </w:r>
    </w:p>
    <w:p>
      <w:pPr/>
      <w:r>
        <w:t>The seminal work by Uddin et al. (2017), cited over 323 times, demonstrated that V2G can extend the lifetime of lithium-ion batteries when intelligent scheduling maintains the battery within a favorable operating window. Specifically, Uddin’s battery degradation model for C6/LiNiCoAlO2 cells showed that keeping the state-of-charge between 30–70% with shallow cycling (approximately 20% depth of discharge) at 25°C can reduce calendar aging sufficiently to offset the incremental cycle aging from V2G, yielding a net 10–20% extension of battery life. Subsequent experimental work by the Oxford group (2024), cited 14 times, confirmed that the dominant degradation mechanism—whether solid electrolyte interphase (SEI) growth or lithium plating—determines whether V2G cycling is beneficial or harmful, and that this mechanism is itself a function of SoC, temperature, and cycling depth.</w:t>
      </w:r>
    </w:p>
    <w:p>
      <w:pPr/>
      <w:r>
        <w:t>Conversely, studies reporting V2G-induced degradation typically operate under less favorable conditions. Lunz et al. observed accelerated degradation when V2G cycling pushed batteries to deep discharge (90% DoD) at temperatures above 30°C, conditions that promote lithium plating and cathode degradation. Ahmadian et al. found neutral to slightly negative effects when V2G cycling covered a wider SoC range (50–90%) at ambient temperatures, suggesting that the marginal benefit of avoiding high-SoC calendar aging was roughly offset by the incremental cycle aging. A 2026 experimental study published in Batteries journal, using real-world V2G data from commercial operations, confirmed that the impact on service life is condition-dependent, with cells operated in the shallow cycling regime showing measurable lifetime extension while those subjected to aggressive cycling showed accelerated capacity fade.</w:t>
      </w:r>
    </w:p>
    <w:p>
      <w:pPr/>
      <w:r>
        <w:t>Table 2: Condition-Dependent Battery Degradation Under V2G Operations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D9E2F3"/>
          </w:tcPr>
          <w:p>
            <w:pPr>
              <w:jc w:val="center"/>
            </w:pPr>
            <w:r/>
            <w:r>
              <w:rPr>
                <w:rFonts w:ascii="Times New Roman" w:hAnsi="Times New Roman"/>
                <w:b/>
                <w:sz w:val="18"/>
              </w:rPr>
              <w:t>SoC Range</w:t>
            </w:r>
          </w:p>
        </w:tc>
        <w:tc>
          <w:tcPr>
            <w:tcW w:type="dxa" w:w="1928"/>
            <w:shd w:fill="D9E2F3"/>
          </w:tcPr>
          <w:p>
            <w:pPr>
              <w:jc w:val="center"/>
            </w:pPr>
            <w:r/>
            <w:r>
              <w:rPr>
                <w:rFonts w:ascii="Times New Roman" w:hAnsi="Times New Roman"/>
                <w:b/>
                <w:sz w:val="18"/>
              </w:rPr>
              <w:t>Cycle Depth (DoD)</w:t>
            </w:r>
          </w:p>
        </w:tc>
        <w:tc>
          <w:tcPr>
            <w:tcW w:type="dxa" w:w="1928"/>
            <w:shd w:fill="D9E2F3"/>
          </w:tcPr>
          <w:p>
            <w:pPr>
              <w:jc w:val="center"/>
            </w:pPr>
            <w:r/>
            <w:r>
              <w:rPr>
                <w:rFonts w:ascii="Times New Roman" w:hAnsi="Times New Roman"/>
                <w:b/>
                <w:sz w:val="18"/>
              </w:rPr>
              <w:t>Temperature</w:t>
            </w:r>
          </w:p>
        </w:tc>
        <w:tc>
          <w:tcPr>
            <w:tcW w:type="dxa" w:w="1928"/>
            <w:shd w:fill="D9E2F3"/>
          </w:tcPr>
          <w:p>
            <w:pPr>
              <w:jc w:val="center"/>
            </w:pPr>
            <w:r/>
            <w:r>
              <w:rPr>
                <w:rFonts w:ascii="Times New Roman" w:hAnsi="Times New Roman"/>
                <w:b/>
                <w:sz w:val="18"/>
              </w:rPr>
              <w:t>Net Effect</w:t>
            </w:r>
          </w:p>
        </w:tc>
        <w:tc>
          <w:tcPr>
            <w:tcW w:type="dxa" w:w="1928"/>
            <w:shd w:fill="D9E2F3"/>
          </w:tcPr>
          <w:p>
            <w:pPr>
              <w:jc w:val="center"/>
            </w:pPr>
            <w:r/>
            <w:r>
              <w:rPr>
                <w:rFonts w:ascii="Times New Roman" w:hAnsi="Times New Roman"/>
                <w:b/>
                <w:sz w:val="18"/>
              </w:rPr>
              <w:t>Key Evidence</w:t>
            </w:r>
          </w:p>
        </w:tc>
      </w:tr>
      <w:tr>
        <w:tc>
          <w:tcPr>
            <w:tcW w:type="dxa" w:w="1928"/>
          </w:tcPr>
          <w:p>
            <w:r/>
            <w:r>
              <w:rPr>
                <w:rFonts w:ascii="Times New Roman" w:hAnsi="Times New Roman"/>
                <w:sz w:val="18"/>
              </w:rPr>
              <w:t>30–70%</w:t>
            </w:r>
          </w:p>
        </w:tc>
        <w:tc>
          <w:tcPr>
            <w:tcW w:type="dxa" w:w="1928"/>
          </w:tcPr>
          <w:p>
            <w:r/>
            <w:r>
              <w:rPr>
                <w:rFonts w:ascii="Times New Roman" w:hAnsi="Times New Roman"/>
                <w:sz w:val="18"/>
              </w:rPr>
              <w:t>∼20%</w:t>
            </w:r>
          </w:p>
        </w:tc>
        <w:tc>
          <w:tcPr>
            <w:tcW w:type="dxa" w:w="1928"/>
          </w:tcPr>
          <w:p>
            <w:r/>
            <w:r>
              <w:rPr>
                <w:rFonts w:ascii="Times New Roman" w:hAnsi="Times New Roman"/>
                <w:sz w:val="18"/>
              </w:rPr>
              <w:t>25°C (controlled)</w:t>
            </w:r>
          </w:p>
        </w:tc>
        <w:tc>
          <w:tcPr>
            <w:tcW w:type="dxa" w:w="1928"/>
          </w:tcPr>
          <w:p>
            <w:r/>
            <w:r>
              <w:rPr>
                <w:rFonts w:ascii="Times New Roman" w:hAnsi="Times New Roman"/>
                <w:sz w:val="18"/>
              </w:rPr>
              <w:t>EXTENDS (10–20%)</w:t>
            </w:r>
          </w:p>
        </w:tc>
        <w:tc>
          <w:tcPr>
            <w:tcW w:type="dxa" w:w="1928"/>
          </w:tcPr>
          <w:p>
            <w:r/>
            <w:r>
              <w:rPr>
                <w:rFonts w:ascii="Times New Roman" w:hAnsi="Times New Roman"/>
                <w:sz w:val="18"/>
              </w:rPr>
              <w:t>Uddin et al. (2017); Petit et al.</w:t>
            </w:r>
          </w:p>
        </w:tc>
      </w:tr>
      <w:tr>
        <w:tc>
          <w:tcPr>
            <w:tcW w:type="dxa" w:w="1928"/>
            <w:shd w:fill="F2F2F2"/>
          </w:tcPr>
          <w:p>
            <w:r/>
            <w:r>
              <w:rPr>
                <w:rFonts w:ascii="Times New Roman" w:hAnsi="Times New Roman"/>
                <w:sz w:val="18"/>
              </w:rPr>
              <w:t>50–90%</w:t>
            </w:r>
          </w:p>
        </w:tc>
        <w:tc>
          <w:tcPr>
            <w:tcW w:type="dxa" w:w="1928"/>
            <w:shd w:fill="F2F2F2"/>
          </w:tcPr>
          <w:p>
            <w:r/>
            <w:r>
              <w:rPr>
                <w:rFonts w:ascii="Times New Roman" w:hAnsi="Times New Roman"/>
                <w:sz w:val="18"/>
              </w:rPr>
              <w:t>∼40%</w:t>
            </w:r>
          </w:p>
        </w:tc>
        <w:tc>
          <w:tcPr>
            <w:tcW w:type="dxa" w:w="1928"/>
            <w:shd w:fill="F2F2F2"/>
          </w:tcPr>
          <w:p>
            <w:r/>
            <w:r>
              <w:rPr>
                <w:rFonts w:ascii="Times New Roman" w:hAnsi="Times New Roman"/>
                <w:sz w:val="18"/>
              </w:rPr>
              <w:t>Ambient (15–30°C)</w:t>
            </w:r>
          </w:p>
        </w:tc>
        <w:tc>
          <w:tcPr>
            <w:tcW w:type="dxa" w:w="1928"/>
            <w:shd w:fill="F2F2F2"/>
          </w:tcPr>
          <w:p>
            <w:r/>
            <w:r>
              <w:rPr>
                <w:rFonts w:ascii="Times New Roman" w:hAnsi="Times New Roman"/>
                <w:sz w:val="18"/>
              </w:rPr>
              <w:t>NEUTRAL (±5%)</w:t>
            </w:r>
          </w:p>
        </w:tc>
        <w:tc>
          <w:tcPr>
            <w:tcW w:type="dxa" w:w="1928"/>
            <w:shd w:fill="F2F2F2"/>
          </w:tcPr>
          <w:p>
            <w:r/>
            <w:r>
              <w:rPr>
                <w:rFonts w:ascii="Times New Roman" w:hAnsi="Times New Roman"/>
                <w:sz w:val="18"/>
              </w:rPr>
              <w:t>Ahmadian et al.</w:t>
            </w:r>
          </w:p>
        </w:tc>
      </w:tr>
      <w:tr>
        <w:tc>
          <w:tcPr>
            <w:tcW w:type="dxa" w:w="1928"/>
          </w:tcPr>
          <w:p>
            <w:r/>
            <w:r>
              <w:rPr>
                <w:rFonts w:ascii="Times New Roman" w:hAnsi="Times New Roman"/>
                <w:sz w:val="18"/>
              </w:rPr>
              <w:t>10―50% or 80–100%</w:t>
            </w:r>
          </w:p>
        </w:tc>
        <w:tc>
          <w:tcPr>
            <w:tcW w:type="dxa" w:w="1928"/>
          </w:tcPr>
          <w:p>
            <w:r/>
            <w:r>
              <w:rPr>
                <w:rFonts w:ascii="Times New Roman" w:hAnsi="Times New Roman"/>
                <w:sz w:val="18"/>
              </w:rPr>
              <w:t>≥60%</w:t>
            </w:r>
          </w:p>
        </w:tc>
        <w:tc>
          <w:tcPr>
            <w:tcW w:type="dxa" w:w="1928"/>
          </w:tcPr>
          <w:p>
            <w:r/>
            <w:r>
              <w:rPr>
                <w:rFonts w:ascii="Times New Roman" w:hAnsi="Times New Roman"/>
                <w:sz w:val="18"/>
              </w:rPr>
              <w:t>&gt;30°C</w:t>
            </w:r>
          </w:p>
        </w:tc>
        <w:tc>
          <w:tcPr>
            <w:tcW w:type="dxa" w:w="1928"/>
          </w:tcPr>
          <w:p>
            <w:r/>
            <w:r>
              <w:rPr>
                <w:rFonts w:ascii="Times New Roman" w:hAnsi="Times New Roman"/>
                <w:sz w:val="18"/>
              </w:rPr>
              <w:t>DEGRADES (5–15%)</w:t>
            </w:r>
          </w:p>
        </w:tc>
        <w:tc>
          <w:tcPr>
            <w:tcW w:type="dxa" w:w="1928"/>
          </w:tcPr>
          <w:p>
            <w:r/>
            <w:r>
              <w:rPr>
                <w:rFonts w:ascii="Times New Roman" w:hAnsi="Times New Roman"/>
                <w:sz w:val="18"/>
              </w:rPr>
              <w:t>Lunz et al.; Oxford group (2024)</w:t>
            </w:r>
          </w:p>
        </w:tc>
      </w:tr>
      <w:tr>
        <w:tc>
          <w:tcPr>
            <w:tcW w:type="dxa" w:w="1928"/>
            <w:shd w:fill="F2F2F2"/>
          </w:tcPr>
          <w:p>
            <w:r/>
            <w:r>
              <w:rPr>
                <w:rFonts w:ascii="Times New Roman" w:hAnsi="Times New Roman"/>
                <w:sz w:val="18"/>
              </w:rPr>
              <w:t>Variable (user-driven)</w:t>
            </w:r>
          </w:p>
        </w:tc>
        <w:tc>
          <w:tcPr>
            <w:tcW w:type="dxa" w:w="1928"/>
            <w:shd w:fill="F2F2F2"/>
          </w:tcPr>
          <w:p>
            <w:r/>
            <w:r>
              <w:rPr>
                <w:rFonts w:ascii="Times New Roman" w:hAnsi="Times New Roman"/>
                <w:sz w:val="18"/>
              </w:rPr>
              <w:t>Uncontrolled</w:t>
            </w:r>
          </w:p>
        </w:tc>
        <w:tc>
          <w:tcPr>
            <w:tcW w:type="dxa" w:w="1928"/>
            <w:shd w:fill="F2F2F2"/>
          </w:tcPr>
          <w:p>
            <w:r/>
            <w:r>
              <w:rPr>
                <w:rFonts w:ascii="Times New Roman" w:hAnsi="Times New Roman"/>
                <w:sz w:val="18"/>
              </w:rPr>
              <w:t>Seasonal variation</w:t>
            </w:r>
          </w:p>
        </w:tc>
        <w:tc>
          <w:tcPr>
            <w:tcW w:type="dxa" w:w="1928"/>
            <w:shd w:fill="F2F2F2"/>
          </w:tcPr>
          <w:p>
            <w:r/>
            <w:r>
              <w:rPr>
                <w:rFonts w:ascii="Times New Roman" w:hAnsi="Times New Roman"/>
                <w:sz w:val="18"/>
              </w:rPr>
              <w:t>DEGRADES (5–10%)</w:t>
            </w:r>
          </w:p>
        </w:tc>
        <w:tc>
          <w:tcPr>
            <w:tcW w:type="dxa" w:w="1928"/>
            <w:shd w:fill="F2F2F2"/>
          </w:tcPr>
          <w:p>
            <w:r/>
            <w:r>
              <w:rPr>
                <w:rFonts w:ascii="Times New Roman" w:hAnsi="Times New Roman"/>
                <w:sz w:val="18"/>
              </w:rPr>
              <w:t>Batteries journal (2026) field data</w:t>
            </w:r>
          </w:p>
        </w:tc>
      </w:tr>
    </w:tbl>
    <w:p/>
    <w:p>
      <w:pPr/>
      <w:r>
        <w:t>The practical implication of this condition-dependent analysis is clear: V2G systems that enforce strict SoC boundaries, shallow cycling limits, and thermal management can credibly claim battery life extension. However, V2G systems that allow user-initiated overrides, deep cycling, or operation in extreme temperatures risk accelerating degradation. The current generation of bidirectional chargers and aggregation platforms varies significantly in their ability to enforce these boundaries, with some allowing user override at any time and others implementing hard constraints. Until the industry converges on minimum operational standards for V2G cycling, consumer anxiety about battery degradation—cited by 70% of non-adopters in multiple survey studies—will remain a rational response to genuine uncertainty rather than an irrational fear to be dismissed.</w:t>
      </w:r>
    </w:p>
    <w:p>
      <w:pPr>
        <w:pStyle w:val="Heading2"/>
      </w:pPr>
      <w:r>
        <w:t>4.2 Frequency Regulation Revenue: Why Did Projections Decline?</w:t>
      </w:r>
    </w:p>
    <w:p>
      <w:pPr/>
      <w:r>
        <w:t>The trajectory of V2G frequency regulation revenue projections provides a cautionary tale about the dangers of extrapolating from early simulation studies without accounting for market dynamics. Between 2012 and 2020, numerous studies projected annual revenues of $500–800 per vehicle for frequency regulation services, based on then-current market clearing prices and optimistic assumptions about vehicle availability. By 2023–2024, field data from European and North American programs revealed actual revenues of £350–450 (approximately $440–570) per vehicle per year—a 30–50% decline from projections. Understanding the causes of this decline is essential for producing realistic revenue projections going forward.</w:t>
      </w:r>
    </w:p>
    <w:p>
      <w:pPr/>
      <w:r>
        <w:t>Three factors explain the revenue decline. First, market capacity for frequency regulation is finite and saturable. A typical regional transmission organization requires approximately 50 MW of regulation capacity; with each V2G-capable vehicle providing approximately 5 kW, market saturation occurs at roughly 10,000 vehicles per region. As V2G fleets grow beyond this threshold, additional vehicles increase competition for a fixed market volume, driving down clearing prices. This saturation dynamic was not captured in early revenue models, which assumed price-taking behavior in unlimited markets. Second, user attrition reduces the effective fleet size and service quality over time. Data from multiple pilot programs indicates that 40% of enrolled users drop out by the third year, with the primary reason being concern about battery degradation—even in programs where no measurable degradation occurred. This attrition reduces the aggregator’s ability to guarantee capacity, lowering both market clearing prices and contract compliance rates. Third, seasonal variation creates significant revenue volatility: winter revenues in temperate climates are approximately double summer revenues due to higher regulation demand, yielding an annual average that is substantially lower than the peak rates often quoted in optimistic projections.</w:t>
      </w:r>
    </w:p>
    <w:p>
      <w:pPr>
        <w:pStyle w:val="Heading1"/>
      </w:pPr>
      <w:r>
        <w:t>5. Optimization Methods for EV–Grid Integration</w:t>
      </w:r>
    </w:p>
    <w:p>
      <w:pPr>
        <w:pStyle w:val="Heading2"/>
      </w:pPr>
      <w:r>
        <w:t>5.1 Classical Optimization Approaches</w:t>
      </w:r>
    </w:p>
    <w:p>
      <w:pPr/>
      <w:r>
        <w:t>Classical optimization methods for EV charging scheduling can be broadly categorized into mixed-integer linear programming (MILP), convex optimization, and game-theoretic formulations. MILP approaches formulate the charging scheduling problem as a discrete optimization with binary variables representing on/off charging states and continuous variables for power levels. These methods are well-suited for problems with discrete decisions (e.g., whether to charge at a particular station), hard constraints (e.g., minimum energy requirements), and modest time horizons (typically less than 24 hours). However, MILP suffers from computational intractability as problem size grows: the number of binary variables scales with the product of EVs and time steps, making exact solutions impractical for fleet-level scheduling beyond a few hundred vehicles. The comparative analysis by Mehadi and Watson (2024) at Harry Reid International Airport found that MILP achieved optimal solutions for 50-vehicle instances but required over 30 minutes of computation time for 200-vehicle instances, rendering it unsuitable for real-time applications.</w:t>
      </w:r>
    </w:p>
    <w:p>
      <w:pPr/>
      <w:r>
        <w:t>Convex optimization, particularly quadratic programming and second-order cone programming, addresses the scalability limitation by relaxing discrete variables to continuous domains. This approach is effective when the problem structure permits convex relaxation without significant loss of optimality, such as in continuous power flow optimization with voltage and thermal constraints. Convex formulations enable decentralized and scalable demand-side strategies, including transformer-constrained PHEV scheduling and battery energy storage optimization. However, the continuous relaxation may produce solutions that are infeasible for systems with discrete charging levels, and the gap between relaxed and original problem solutions is not always bounded. Game-theoretic approaches model the strategic interactions among multiple EVs or aggregators, using Nash equilibrium concepts to predict charging outcomes under self-interested behavior. These methods provide valuable insights into market design and incentive mechanisms but are limited by their reliance on rationality assumptions and the computational difficulty of finding equilibria in large-scale games.</w:t>
      </w:r>
    </w:p>
    <w:p>
      <w:pPr>
        <w:pStyle w:val="Heading2"/>
      </w:pPr>
      <w:r>
        <w:t>5.2 AI and Machine Learning Methods</w:t>
      </w:r>
    </w:p>
    <w:p>
      <w:pPr>
        <w:pStyle w:val="Heading3"/>
      </w:pPr>
      <w:r>
        <w:t>5.2.1 Method Selection Framework</w:t>
      </w:r>
    </w:p>
    <w:p>
      <w:pPr/>
      <w:r>
        <w:t>The proliferation of optimization methods for EV–grid integration has created a need for practical guidance on method selection. Table 3 provides a comparative framework based on four criteria: problem characteristics, computational requirements, constraint handling, and deployment suitability. The key insight is that no single method dominates across all criteria; rather, the optimal choice depends on the specific application context.</w:t>
      </w:r>
    </w:p>
    <w:p>
      <w:pPr/>
      <w:r>
        <w:t>Table 3: Comparative Assessment of Optimization Methods for EV–Grid Integration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D9E2F3"/>
          </w:tcPr>
          <w:p>
            <w:pPr>
              <w:jc w:val="center"/>
            </w:pPr>
            <w:r/>
            <w:r>
              <w:rPr>
                <w:rFonts w:ascii="Times New Roman" w:hAnsi="Times New Roman"/>
                <w:b/>
                <w:sz w:val="18"/>
              </w:rPr>
              <w:t>Method</w:t>
            </w:r>
          </w:p>
        </w:tc>
        <w:tc>
          <w:tcPr>
            <w:tcW w:type="dxa" w:w="1606"/>
            <w:shd w:fill="D9E2F3"/>
          </w:tcPr>
          <w:p>
            <w:pPr>
              <w:jc w:val="center"/>
            </w:pPr>
            <w:r/>
            <w:r>
              <w:rPr>
                <w:rFonts w:ascii="Times New Roman" w:hAnsi="Times New Roman"/>
                <w:b/>
                <w:sz w:val="18"/>
              </w:rPr>
              <w:t>Best Suited For</w:t>
            </w:r>
          </w:p>
        </w:tc>
        <w:tc>
          <w:tcPr>
            <w:tcW w:type="dxa" w:w="1606"/>
            <w:shd w:fill="D9E2F3"/>
          </w:tcPr>
          <w:p>
            <w:pPr>
              <w:jc w:val="center"/>
            </w:pPr>
            <w:r/>
            <w:r>
              <w:rPr>
                <w:rFonts w:ascii="Times New Roman" w:hAnsi="Times New Roman"/>
                <w:b/>
                <w:sz w:val="18"/>
              </w:rPr>
              <w:t>Computation Time</w:t>
            </w:r>
          </w:p>
        </w:tc>
        <w:tc>
          <w:tcPr>
            <w:tcW w:type="dxa" w:w="1606"/>
            <w:shd w:fill="D9E2F3"/>
          </w:tcPr>
          <w:p>
            <w:pPr>
              <w:jc w:val="center"/>
            </w:pPr>
            <w:r/>
            <w:r>
              <w:rPr>
                <w:rFonts w:ascii="Times New Roman" w:hAnsi="Times New Roman"/>
                <w:b/>
                <w:sz w:val="18"/>
              </w:rPr>
              <w:t>Constraint Guarantees</w:t>
            </w:r>
          </w:p>
        </w:tc>
        <w:tc>
          <w:tcPr>
            <w:tcW w:type="dxa" w:w="1606"/>
            <w:shd w:fill="D9E2F3"/>
          </w:tcPr>
          <w:p>
            <w:pPr>
              <w:jc w:val="center"/>
            </w:pPr>
            <w:r/>
            <w:r>
              <w:rPr>
                <w:rFonts w:ascii="Times New Roman" w:hAnsi="Times New Roman"/>
                <w:b/>
                <w:sz w:val="18"/>
              </w:rPr>
              <w:t>Real-Time Deployability</w:t>
            </w:r>
          </w:p>
        </w:tc>
        <w:tc>
          <w:tcPr>
            <w:tcW w:type="dxa" w:w="1606"/>
            <w:shd w:fill="D9E2F3"/>
          </w:tcPr>
          <w:p>
            <w:pPr>
              <w:jc w:val="center"/>
            </w:pPr>
            <w:r/>
            <w:r>
              <w:rPr>
                <w:rFonts w:ascii="Times New Roman" w:hAnsi="Times New Roman"/>
                <w:b/>
                <w:sz w:val="18"/>
              </w:rPr>
              <w:t>Sim-to-Real Gap</w:t>
            </w:r>
          </w:p>
        </w:tc>
      </w:tr>
      <w:tr>
        <w:tc>
          <w:tcPr>
            <w:tcW w:type="dxa" w:w="1606"/>
          </w:tcPr>
          <w:p>
            <w:r/>
            <w:r>
              <w:rPr>
                <w:rFonts w:ascii="Times New Roman" w:hAnsi="Times New Roman"/>
                <w:sz w:val="18"/>
              </w:rPr>
              <w:t>MILP</w:t>
            </w:r>
          </w:p>
        </w:tc>
        <w:tc>
          <w:tcPr>
            <w:tcW w:type="dxa" w:w="1606"/>
          </w:tcPr>
          <w:p>
            <w:r/>
            <w:r>
              <w:rPr>
                <w:rFonts w:ascii="Times New Roman" w:hAnsi="Times New Roman"/>
                <w:sz w:val="18"/>
              </w:rPr>
              <w:t>Day-ahead scheduling, T&lt;24h, discrete decisions</w:t>
            </w:r>
          </w:p>
        </w:tc>
        <w:tc>
          <w:tcPr>
            <w:tcW w:type="dxa" w:w="1606"/>
          </w:tcPr>
          <w:p>
            <w:r/>
            <w:r>
              <w:rPr>
                <w:rFonts w:ascii="Times New Roman" w:hAnsi="Times New Roman"/>
                <w:sz w:val="18"/>
              </w:rPr>
              <w:t>Minutes to hours</w:t>
            </w:r>
          </w:p>
        </w:tc>
        <w:tc>
          <w:tcPr>
            <w:tcW w:type="dxa" w:w="1606"/>
          </w:tcPr>
          <w:p>
            <w:r/>
            <w:r>
              <w:rPr>
                <w:rFonts w:ascii="Times New Roman" w:hAnsi="Times New Roman"/>
                <w:sz w:val="18"/>
              </w:rPr>
              <w:t>Hard guarantees</w:t>
            </w:r>
          </w:p>
        </w:tc>
        <w:tc>
          <w:tcPr>
            <w:tcW w:type="dxa" w:w="1606"/>
          </w:tcPr>
          <w:p>
            <w:r/>
            <w:r>
              <w:rPr>
                <w:rFonts w:ascii="Times New Roman" w:hAnsi="Times New Roman"/>
                <w:sz w:val="18"/>
              </w:rPr>
              <w:t>Low (offline only)</w:t>
            </w:r>
          </w:p>
        </w:tc>
        <w:tc>
          <w:tcPr>
            <w:tcW w:type="dxa" w:w="1606"/>
          </w:tcPr>
          <w:p>
            <w:r/>
            <w:r>
              <w:rPr>
                <w:rFonts w:ascii="Times New Roman" w:hAnsi="Times New Roman"/>
                <w:sz w:val="18"/>
              </w:rPr>
              <w:t>Low</w:t>
            </w:r>
          </w:p>
        </w:tc>
      </w:tr>
      <w:tr>
        <w:tc>
          <w:tcPr>
            <w:tcW w:type="dxa" w:w="1606"/>
            <w:shd w:fill="F2F2F2"/>
          </w:tcPr>
          <w:p>
            <w:r/>
            <w:r>
              <w:rPr>
                <w:rFonts w:ascii="Times New Roman" w:hAnsi="Times New Roman"/>
                <w:sz w:val="18"/>
              </w:rPr>
              <w:t>Convex Optimization</w:t>
            </w:r>
          </w:p>
        </w:tc>
        <w:tc>
          <w:tcPr>
            <w:tcW w:type="dxa" w:w="1606"/>
            <w:shd w:fill="F2F2F2"/>
          </w:tcPr>
          <w:p>
            <w:r/>
            <w:r>
              <w:rPr>
                <w:rFonts w:ascii="Times New Roman" w:hAnsi="Times New Roman"/>
                <w:sz w:val="18"/>
              </w:rPr>
              <w:t>Continuous constraints, voltage/thermal limits</w:t>
            </w:r>
          </w:p>
        </w:tc>
        <w:tc>
          <w:tcPr>
            <w:tcW w:type="dxa" w:w="1606"/>
            <w:shd w:fill="F2F2F2"/>
          </w:tcPr>
          <w:p>
            <w:r/>
            <w:r>
              <w:rPr>
                <w:rFonts w:ascii="Times New Roman" w:hAnsi="Times New Roman"/>
                <w:sz w:val="18"/>
              </w:rPr>
              <w:t>Seconds to minutes</w:t>
            </w:r>
          </w:p>
        </w:tc>
        <w:tc>
          <w:tcPr>
            <w:tcW w:type="dxa" w:w="1606"/>
            <w:shd w:fill="F2F2F2"/>
          </w:tcPr>
          <w:p>
            <w:r/>
            <w:r>
              <w:rPr>
                <w:rFonts w:ascii="Times New Roman" w:hAnsi="Times New Roman"/>
                <w:sz w:val="18"/>
              </w:rPr>
              <w:t>Hard guarantees</w:t>
            </w:r>
          </w:p>
        </w:tc>
        <w:tc>
          <w:tcPr>
            <w:tcW w:type="dxa" w:w="1606"/>
            <w:shd w:fill="F2F2F2"/>
          </w:tcPr>
          <w:p>
            <w:r/>
            <w:r>
              <w:rPr>
                <w:rFonts w:ascii="Times New Roman" w:hAnsi="Times New Roman"/>
                <w:sz w:val="18"/>
              </w:rPr>
              <w:t>Moderate</w:t>
            </w:r>
          </w:p>
        </w:tc>
        <w:tc>
          <w:tcPr>
            <w:tcW w:type="dxa" w:w="1606"/>
            <w:shd w:fill="F2F2F2"/>
          </w:tcPr>
          <w:p>
            <w:r/>
            <w:r>
              <w:rPr>
                <w:rFonts w:ascii="Times New Roman" w:hAnsi="Times New Roman"/>
                <w:sz w:val="18"/>
              </w:rPr>
              <w:t>Low–Moderate</w:t>
            </w:r>
          </w:p>
        </w:tc>
      </w:tr>
      <w:tr>
        <w:tc>
          <w:tcPr>
            <w:tcW w:type="dxa" w:w="1606"/>
          </w:tcPr>
          <w:p>
            <w:r/>
            <w:r>
              <w:rPr>
                <w:rFonts w:ascii="Times New Roman" w:hAnsi="Times New Roman"/>
                <w:sz w:val="18"/>
              </w:rPr>
              <w:t>DRL (unconstrained)</w:t>
            </w:r>
          </w:p>
        </w:tc>
        <w:tc>
          <w:tcPr>
            <w:tcW w:type="dxa" w:w="1606"/>
          </w:tcPr>
          <w:p>
            <w:r/>
            <w:r>
              <w:rPr>
                <w:rFonts w:ascii="Times New Roman" w:hAnsi="Times New Roman"/>
                <w:sz w:val="18"/>
              </w:rPr>
              <w:t>Real-time adaptive control, high-dimensional</w:t>
            </w:r>
          </w:p>
        </w:tc>
        <w:tc>
          <w:tcPr>
            <w:tcW w:type="dxa" w:w="1606"/>
          </w:tcPr>
          <w:p>
            <w:r/>
            <w:r>
              <w:rPr>
                <w:rFonts w:ascii="Times New Roman" w:hAnsi="Times New Roman"/>
                <w:sz w:val="18"/>
              </w:rPr>
              <w:t>Milliseconds (inference)</w:t>
            </w:r>
          </w:p>
        </w:tc>
        <w:tc>
          <w:tcPr>
            <w:tcW w:type="dxa" w:w="1606"/>
          </w:tcPr>
          <w:p>
            <w:r/>
            <w:r>
              <w:rPr>
                <w:rFonts w:ascii="Times New Roman" w:hAnsi="Times New Roman"/>
                <w:sz w:val="18"/>
              </w:rPr>
              <w:t>None</w:t>
            </w:r>
          </w:p>
        </w:tc>
        <w:tc>
          <w:tcPr>
            <w:tcW w:type="dxa" w:w="1606"/>
          </w:tcPr>
          <w:p>
            <w:r/>
            <w:r>
              <w:rPr>
                <w:rFonts w:ascii="Times New Roman" w:hAnsi="Times New Roman"/>
                <w:sz w:val="18"/>
              </w:rPr>
              <w:t>High</w:t>
            </w:r>
          </w:p>
        </w:tc>
        <w:tc>
          <w:tcPr>
            <w:tcW w:type="dxa" w:w="1606"/>
          </w:tcPr>
          <w:p>
            <w:r/>
            <w:r>
              <w:rPr>
                <w:rFonts w:ascii="Times New Roman" w:hAnsi="Times New Roman"/>
                <w:sz w:val="18"/>
              </w:rPr>
              <w:t>High (50% gap)</w:t>
            </w:r>
          </w:p>
        </w:tc>
      </w:tr>
      <w:tr>
        <w:tc>
          <w:tcPr>
            <w:tcW w:type="dxa" w:w="1606"/>
            <w:shd w:fill="F2F2F2"/>
          </w:tcPr>
          <w:p>
            <w:r/>
            <w:r>
              <w:rPr>
                <w:rFonts w:ascii="Times New Roman" w:hAnsi="Times New Roman"/>
                <w:sz w:val="18"/>
              </w:rPr>
              <w:t>Constrained RL (CMDP)</w:t>
            </w:r>
          </w:p>
        </w:tc>
        <w:tc>
          <w:tcPr>
            <w:tcW w:type="dxa" w:w="1606"/>
            <w:shd w:fill="F2F2F2"/>
          </w:tcPr>
          <w:p>
            <w:r/>
            <w:r>
              <w:rPr>
                <w:rFonts w:ascii="Times New Roman" w:hAnsi="Times New Roman"/>
                <w:sz w:val="18"/>
              </w:rPr>
              <w:t>Safety-critical real-time control</w:t>
            </w:r>
          </w:p>
        </w:tc>
        <w:tc>
          <w:tcPr>
            <w:tcW w:type="dxa" w:w="1606"/>
            <w:shd w:fill="F2F2F2"/>
          </w:tcPr>
          <w:p>
            <w:r/>
            <w:r>
              <w:rPr>
                <w:rFonts w:ascii="Times New Roman" w:hAnsi="Times New Roman"/>
                <w:sz w:val="18"/>
              </w:rPr>
              <w:t>Milliseconds (inference)</w:t>
            </w:r>
          </w:p>
        </w:tc>
        <w:tc>
          <w:tcPr>
            <w:tcW w:type="dxa" w:w="1606"/>
            <w:shd w:fill="F2F2F2"/>
          </w:tcPr>
          <w:p>
            <w:r/>
            <w:r>
              <w:rPr>
                <w:rFonts w:ascii="Times New Roman" w:hAnsi="Times New Roman"/>
                <w:sz w:val="18"/>
              </w:rPr>
              <w:t>Probabilistic guarantees</w:t>
            </w:r>
          </w:p>
        </w:tc>
        <w:tc>
          <w:tcPr>
            <w:tcW w:type="dxa" w:w="1606"/>
            <w:shd w:fill="F2F2F2"/>
          </w:tcPr>
          <w:p>
            <w:r/>
            <w:r>
              <w:rPr>
                <w:rFonts w:ascii="Times New Roman" w:hAnsi="Times New Roman"/>
                <w:sz w:val="18"/>
              </w:rPr>
              <w:t>High</w:t>
            </w:r>
          </w:p>
        </w:tc>
        <w:tc>
          <w:tcPr>
            <w:tcW w:type="dxa" w:w="1606"/>
            <w:shd w:fill="F2F2F2"/>
          </w:tcPr>
          <w:p>
            <w:r/>
            <w:r>
              <w:rPr>
                <w:rFonts w:ascii="Times New Roman" w:hAnsi="Times New Roman"/>
                <w:sz w:val="18"/>
              </w:rPr>
              <w:t>Moderate (emerging)</w:t>
            </w:r>
          </w:p>
        </w:tc>
      </w:tr>
      <w:tr>
        <w:tc>
          <w:tcPr>
            <w:tcW w:type="dxa" w:w="1606"/>
          </w:tcPr>
          <w:p>
            <w:r/>
            <w:r>
              <w:rPr>
                <w:rFonts w:ascii="Times New Roman" w:hAnsi="Times New Roman"/>
                <w:sz w:val="18"/>
              </w:rPr>
              <w:t>Game Theory</w:t>
            </w:r>
          </w:p>
        </w:tc>
        <w:tc>
          <w:tcPr>
            <w:tcW w:type="dxa" w:w="1606"/>
          </w:tcPr>
          <w:p>
            <w:r/>
            <w:r>
              <w:rPr>
                <w:rFonts w:ascii="Times New Roman" w:hAnsi="Times New Roman"/>
                <w:sz w:val="18"/>
              </w:rPr>
              <w:t>Multi-agent strategic interaction, market design</w:t>
            </w:r>
          </w:p>
        </w:tc>
        <w:tc>
          <w:tcPr>
            <w:tcW w:type="dxa" w:w="1606"/>
          </w:tcPr>
          <w:p>
            <w:r/>
            <w:r>
              <w:rPr>
                <w:rFonts w:ascii="Times New Roman" w:hAnsi="Times New Roman"/>
                <w:sz w:val="18"/>
              </w:rPr>
              <w:t>Variable</w:t>
            </w:r>
          </w:p>
        </w:tc>
        <w:tc>
          <w:tcPr>
            <w:tcW w:type="dxa" w:w="1606"/>
          </w:tcPr>
          <w:p>
            <w:r/>
            <w:r>
              <w:rPr>
                <w:rFonts w:ascii="Times New Roman" w:hAnsi="Times New Roman"/>
                <w:sz w:val="18"/>
              </w:rPr>
              <w:t>Equilibrium-dependent</w:t>
            </w:r>
          </w:p>
        </w:tc>
        <w:tc>
          <w:tcPr>
            <w:tcW w:type="dxa" w:w="1606"/>
          </w:tcPr>
          <w:p>
            <w:r/>
            <w:r>
              <w:rPr>
                <w:rFonts w:ascii="Times New Roman" w:hAnsi="Times New Roman"/>
                <w:sz w:val="18"/>
              </w:rPr>
              <w:t>Low–Moderate</w:t>
            </w:r>
          </w:p>
        </w:tc>
        <w:tc>
          <w:tcPr>
            <w:tcW w:type="dxa" w:w="1606"/>
          </w:tcPr>
          <w:p>
            <w:r/>
            <w:r>
              <w:rPr>
                <w:rFonts w:ascii="Times New Roman" w:hAnsi="Times New Roman"/>
                <w:sz w:val="18"/>
              </w:rPr>
              <w:t>Moderate</w:t>
            </w:r>
          </w:p>
        </w:tc>
      </w:tr>
      <w:tr>
        <w:tc>
          <w:tcPr>
            <w:tcW w:type="dxa" w:w="1606"/>
            <w:shd w:fill="F2F2F2"/>
          </w:tcPr>
          <w:p>
            <w:r/>
            <w:r>
              <w:rPr>
                <w:rFonts w:ascii="Times New Roman" w:hAnsi="Times New Roman"/>
                <w:sz w:val="18"/>
              </w:rPr>
              <w:t>Hybrid (MILP+DRL)</w:t>
            </w:r>
          </w:p>
        </w:tc>
        <w:tc>
          <w:tcPr>
            <w:tcW w:type="dxa" w:w="1606"/>
            <w:shd w:fill="F2F2F2"/>
          </w:tcPr>
          <w:p>
            <w:r/>
            <w:r>
              <w:rPr>
                <w:rFonts w:ascii="Times New Roman" w:hAnsi="Times New Roman"/>
                <w:sz w:val="18"/>
              </w:rPr>
              <w:t>Day-ahead + real-time two-stage</w:t>
            </w:r>
          </w:p>
        </w:tc>
        <w:tc>
          <w:tcPr>
            <w:tcW w:type="dxa" w:w="1606"/>
            <w:shd w:fill="F2F2F2"/>
          </w:tcPr>
          <w:p>
            <w:r/>
            <w:r>
              <w:rPr>
                <w:rFonts w:ascii="Times New Roman" w:hAnsi="Times New Roman"/>
                <w:sz w:val="18"/>
              </w:rPr>
              <w:t>Hours + milliseconds</w:t>
            </w:r>
          </w:p>
        </w:tc>
        <w:tc>
          <w:tcPr>
            <w:tcW w:type="dxa" w:w="1606"/>
            <w:shd w:fill="F2F2F2"/>
          </w:tcPr>
          <w:p>
            <w:r/>
            <w:r>
              <w:rPr>
                <w:rFonts w:ascii="Times New Roman" w:hAnsi="Times New Roman"/>
                <w:sz w:val="18"/>
              </w:rPr>
              <w:t>Partial (from MILP stage)</w:t>
            </w:r>
          </w:p>
        </w:tc>
        <w:tc>
          <w:tcPr>
            <w:tcW w:type="dxa" w:w="1606"/>
            <w:shd w:fill="F2F2F2"/>
          </w:tcPr>
          <w:p>
            <w:r/>
            <w:r>
              <w:rPr>
                <w:rFonts w:ascii="Times New Roman" w:hAnsi="Times New Roman"/>
                <w:sz w:val="18"/>
              </w:rPr>
              <w:t>Moderate–High</w:t>
            </w:r>
          </w:p>
        </w:tc>
        <w:tc>
          <w:tcPr>
            <w:tcW w:type="dxa" w:w="1606"/>
            <w:shd w:fill="F2F2F2"/>
          </w:tcPr>
          <w:p>
            <w:r/>
            <w:r>
              <w:rPr>
                <w:rFonts w:ascii="Times New Roman" w:hAnsi="Times New Roman"/>
                <w:sz w:val="18"/>
              </w:rPr>
              <w:t>Moderate</w:t>
            </w:r>
          </w:p>
        </w:tc>
      </w:tr>
    </w:tbl>
    <w:p/>
    <w:p>
      <w:pPr/>
      <w:r>
        <w:t>For offline day-ahead scheduling with discrete decisions and moderate fleet sizes, MILP remains the gold standard due to its optimality guarantees and mature solver ecosystem (CPLEX, Gurobi). For real-time control of large fleets where computational speed is paramount, constrained DRL offers the best balance of speed and safety, provided that the training environment adequately captures real-world dynamics. For market design and incentive mechanism analysis, game-theoretic approaches provide the appropriate strategic framework. A promising direction is the hybrid two-stage approach, where MILP generates a day-ahead schedule that establishes constraint-satisfying boundaries, and DRL operates within those boundaries for real-time adjustments, combining the safety guarantees of classical optimization with the adaptiveness of learning.</w:t>
      </w:r>
    </w:p>
    <w:p>
      <w:pPr>
        <w:pStyle w:val="Heading3"/>
      </w:pPr>
      <w:r>
        <w:t>5.2.2 The Sim-to-Real Transfer Problem in Deep Reinforcement Learning</w:t>
      </w:r>
    </w:p>
    <w:p>
      <w:pPr/>
      <w:r>
        <w:t>The application of deep reinforcement learning to EV charging optimization has generated considerable excitement, with numerous studies reporting 25–28% cost savings in simulated environments. However, the transfer of DRL policies from simulation to deployment has proven consistently problematic, with realized savings of only 12–16% in field conditions—a 50% gap that undermines the practical value of DRL-based approaches. Understanding the sources of this gap is essential for improving DRL’s real-world applicability.</w:t>
      </w:r>
    </w:p>
    <w:p>
      <w:pPr/>
      <w:r>
        <w:t>Four primary factors contribute to the sim-to-real gap in EV charging DRL. First, model mismatch occurs when the simulation environment does not perfectly replicate the dynamics of the physical grid, including voltage response characteristics, transformer thermal models, and distribution system topology. Even small discrepancies in grid impedance or load profiles can cause learned policies to produce suboptimal or constraint-violating actions in deployment. Second, distribution shift arises because the training data distribution (typically synthetic EV arrival/departure patterns and price trajectories) differs from the test-time distribution (actual user behavior and market conditions). This shift is particularly acute for EV charging, where user behavior is influenced by factors—such as range anxiety, weather, and social norms—that are difficult to model accurately. Third, hyperparameter sensitivity means that policies optimized for specific simulation conditions may not generalize to different grid topologies, fleet compositions, or market structures without extensive re-tuning. Fourth, communication delays that are omitted from simulation (where actions are assumed to take effect instantaneously) degrade policy performance in practice, as the grid state at the time of action execution differs from the state at the time of action selection.</w:t>
      </w:r>
    </w:p>
    <w:p>
      <w:pPr>
        <w:pStyle w:val="Heading3"/>
      </w:pPr>
      <w:r>
        <w:t>5.2.3 Constrained Reinforcement Learning for Safety-Critical Applications</w:t>
      </w:r>
    </w:p>
    <w:p>
      <w:pPr/>
      <w:r>
        <w:t>The constraint satisfaction problem in standard DRL—where learned policies provide no guarantees on voltage limits, thermal constraints, or minimum state-of-charge requirements—has emerged as a critical barrier to deployment in safety-critical grid applications. Constrained reinforcement learning (CRL), formulated within the constrained Markov decision process (CMDP) framework, directly addresses this limitation by optimizing expected return subject to constraints on expected cost. In the EV–grid context, the objective might be to minimize charging cost while constraining the probability of voltage violation below a specified threshold (e.g., 0.1%).</w:t>
      </w:r>
    </w:p>
    <w:p>
      <w:pPr/>
      <w:r>
        <w:t>Several recent publications demonstrate the promise of CRL for EV charging. The DuMES framework (2025) proposes an adaptive DRL architecture with safety layers and reward shaping that ensures safe EV charging optimization while maintaining grid stability. A Nature Scientific Reports paper (2025) presents a federated reinforcement learning approach formulated as a multi-objective CMDP, addressing both the safety and scalability challenges simultaneously. The constrained EV charging scheduling method based on safe deep reinforcement learning (originally proposed in IEEE Transactions on Smart Grid, 2020, and extended in subsequent works) directly learns constrained optimal schedules with a deep neural network, providing probabilistic guarantees on constraint satisfaction. These approaches represent a significant advancement over unconstrained DRL, but they face their own challenges: the Lagrangian relaxation commonly used to solve CMDPs can converge slowly or oscillate, and the resulting policies may be overly conservative, sacrificing economic performance to ensure constraint satisfaction. Balancing safety and optimality remains an active area of research, with potential solutions including adaptive constraint thresholds, prioritized experience replay for constraint-violating episodes, and hierarchical architectures that separate safety monitoring from economic optimization.</w:t>
      </w:r>
    </w:p>
    <w:p>
      <w:pPr>
        <w:pStyle w:val="Heading1"/>
      </w:pPr>
      <w:r>
        <w:t>6. Cybersecurity and Privacy in EV Charging Infrastructure</w:t>
      </w:r>
    </w:p>
    <w:p>
      <w:pPr>
        <w:pStyle w:val="Heading2"/>
      </w:pPr>
      <w:r>
        <w:t>6.1 Threat Landscape and Real-World Incidents</w:t>
      </w:r>
    </w:p>
    <w:p>
      <w:pPr/>
      <w:r>
        <w:t>The rapid expansion of EV charging infrastructure has created a vast and growing attack surface that interconnects transportation, energy, and communications systems. Unlike traditional grid infrastructure that operates within physically secured perimeters, EV chargers are deployed in public and semi-public locations with varying physical security, connected via public or cellular networks, and managed through cloud-based platforms—a combination that makes them attractive targets for adversaries. The period 2023–2024 witnessed several significant cybersecurity incidents that underscore the severity of the threat.</w:t>
      </w:r>
    </w:p>
    <w:p>
      <w:pPr/>
      <w:r>
        <w:t>In November 2024, a data breach compromised 116,000 records from global EV charging networks, as documented by Upstream Auto’s cybersecurity report. This incident highlighted the severe risks posed by inadequate security measures in charging infrastructure management systems. The breach exposed user personal information, charging session data, and potentially vehicle identifiers—information that could be exploited for identity theft, vehicle tracking, or targeted physical attacks. Separately, penetration testing conducted using the Evil SteVE platform, developed at Argonne National Laboratory (2024), demonstrated that OCPP 1.5 chargers—which remain widely deployed—are vulnerable to unauthorized server redirection, session hijacking, and command injection attacks. These vulnerabilities stem from the lack of mandatory encryption and weak authentication mechanisms in OCPP 1.5, which transmits data in plaintext over WebSocket connections.</w:t>
      </w:r>
    </w:p>
    <w:p>
      <w:pPr/>
      <w:r>
        <w:t>The transition from OCPP 1.5/1.6 to OCPP 2.0.1 represents a critical security upgrade. OCPP 2.0.1, approved as IEC 63550 in 2024, mandates TLS encryption for all communications between charge points and central systems, implements certificate-based mutual authentication, and includes secure firmware update mechanisms. The subsequent OCPP 2.1 extends this with full ISO 15118-20 alignment, enabling Plug &amp; Charge and V2G communication within a security-hardened protocol stack. However, the transition is far from complete: as of early 2026, a significant fraction of deployed chargers still operate on OCPP 1.6 or earlier, and the cost of retrofitting or replacing these units is estimated at €500–1,500 per charger. The cybersecurity challenge is thus simultaneously a technical problem (securing communication protocols and firmware) and an economic problem (funding the transition to secure infrastructure).</w:t>
      </w:r>
    </w:p>
    <w:p>
      <w:pPr>
        <w:pStyle w:val="Heading2"/>
      </w:pPr>
      <w:r>
        <w:t>6.2 Quantitative Risk Assessment</w:t>
      </w:r>
    </w:p>
    <w:p>
      <w:pPr/>
      <w:r>
        <w:t>Effective cybersecurity management requires moving beyond threat lists to quantitative risk assessment that enables prioritized resource allocation. Table 4 presents a risk matrix for EV charging infrastructure, assessing threats on two dimensions: probability of occurrence (based on historical incident data and technical feasibility) and impact (estimated financial cost per incident).</w:t>
      </w:r>
    </w:p>
    <w:p>
      <w:pPr/>
      <w:r>
        <w:t>Table 4: Cybersecurity Risk Matrix for EV Charging Infrastructure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D9E2F3"/>
          </w:tcPr>
          <w:p>
            <w:pPr>
              <w:jc w:val="center"/>
            </w:pPr>
            <w:r/>
            <w:r>
              <w:rPr>
                <w:rFonts w:ascii="Times New Roman" w:hAnsi="Times New Roman"/>
                <w:b/>
                <w:sz w:val="18"/>
              </w:rPr>
              <w:t>Threat</w:t>
            </w:r>
          </w:p>
        </w:tc>
        <w:tc>
          <w:tcPr>
            <w:tcW w:type="dxa" w:w="1928"/>
            <w:shd w:fill="D9E2F3"/>
          </w:tcPr>
          <w:p>
            <w:pPr>
              <w:jc w:val="center"/>
            </w:pPr>
            <w:r/>
            <w:r>
              <w:rPr>
                <w:rFonts w:ascii="Times New Roman" w:hAnsi="Times New Roman"/>
                <w:b/>
                <w:sz w:val="18"/>
              </w:rPr>
              <w:t>Probability</w:t>
            </w:r>
          </w:p>
        </w:tc>
        <w:tc>
          <w:tcPr>
            <w:tcW w:type="dxa" w:w="1928"/>
            <w:shd w:fill="D9E2F3"/>
          </w:tcPr>
          <w:p>
            <w:pPr>
              <w:jc w:val="center"/>
            </w:pPr>
            <w:r/>
            <w:r>
              <w:rPr>
                <w:rFonts w:ascii="Times New Roman" w:hAnsi="Times New Roman"/>
                <w:b/>
                <w:sz w:val="18"/>
              </w:rPr>
              <w:t>Impact (USD/incident)</w:t>
            </w:r>
          </w:p>
        </w:tc>
        <w:tc>
          <w:tcPr>
            <w:tcW w:type="dxa" w:w="1928"/>
            <w:shd w:fill="D9E2F3"/>
          </w:tcPr>
          <w:p>
            <w:pPr>
              <w:jc w:val="center"/>
            </w:pPr>
            <w:r/>
            <w:r>
              <w:rPr>
                <w:rFonts w:ascii="Times New Roman" w:hAnsi="Times New Roman"/>
                <w:b/>
                <w:sz w:val="18"/>
              </w:rPr>
              <w:t>Risk Level</w:t>
            </w:r>
          </w:p>
        </w:tc>
        <w:tc>
          <w:tcPr>
            <w:tcW w:type="dxa" w:w="1928"/>
            <w:shd w:fill="D9E2F3"/>
          </w:tcPr>
          <w:p>
            <w:pPr>
              <w:jc w:val="center"/>
            </w:pPr>
            <w:r/>
            <w:r>
              <w:rPr>
                <w:rFonts w:ascii="Times New Roman" w:hAnsi="Times New Roman"/>
                <w:b/>
                <w:sz w:val="18"/>
              </w:rPr>
              <w:t>Mitigation Priority</w:t>
            </w:r>
          </w:p>
        </w:tc>
      </w:tr>
      <w:tr>
        <w:tc>
          <w:tcPr>
            <w:tcW w:type="dxa" w:w="1928"/>
          </w:tcPr>
          <w:p>
            <w:r/>
            <w:r>
              <w:rPr>
                <w:rFonts w:ascii="Times New Roman" w:hAnsi="Times New Roman"/>
                <w:sz w:val="18"/>
              </w:rPr>
              <w:t>DoS on aggregator platform</w:t>
            </w:r>
          </w:p>
        </w:tc>
        <w:tc>
          <w:tcPr>
            <w:tcW w:type="dxa" w:w="1928"/>
          </w:tcPr>
          <w:p>
            <w:r/>
            <w:r>
              <w:rPr>
                <w:rFonts w:ascii="Times New Roman" w:hAnsi="Times New Roman"/>
                <w:sz w:val="18"/>
              </w:rPr>
              <w:t>High (annual)</w:t>
            </w:r>
          </w:p>
        </w:tc>
        <w:tc>
          <w:tcPr>
            <w:tcW w:type="dxa" w:w="1928"/>
          </w:tcPr>
          <w:p>
            <w:r/>
            <w:r>
              <w:rPr>
                <w:rFonts w:ascii="Times New Roman" w:hAnsi="Times New Roman"/>
                <w:sz w:val="18"/>
              </w:rPr>
              <w:t>$50K–500K</w:t>
            </w:r>
          </w:p>
        </w:tc>
        <w:tc>
          <w:tcPr>
            <w:tcW w:type="dxa" w:w="1928"/>
          </w:tcPr>
          <w:p>
            <w:r/>
            <w:r>
              <w:rPr>
                <w:rFonts w:ascii="Times New Roman" w:hAnsi="Times New Roman"/>
                <w:sz w:val="18"/>
              </w:rPr>
              <w:t>CRITICAL</w:t>
            </w:r>
          </w:p>
        </w:tc>
        <w:tc>
          <w:tcPr>
            <w:tcW w:type="dxa" w:w="1928"/>
          </w:tcPr>
          <w:p>
            <w:r/>
            <w:r>
              <w:rPr>
                <w:rFonts w:ascii="Times New Roman" w:hAnsi="Times New Roman"/>
                <w:sz w:val="18"/>
              </w:rPr>
              <w:t>Immediate: Redundancy, DDoS protection</w:t>
            </w:r>
          </w:p>
        </w:tc>
      </w:tr>
      <w:tr>
        <w:tc>
          <w:tcPr>
            <w:tcW w:type="dxa" w:w="1928"/>
            <w:shd w:fill="F2F2F2"/>
          </w:tcPr>
          <w:p>
            <w:r/>
            <w:r>
              <w:rPr>
                <w:rFonts w:ascii="Times New Roman" w:hAnsi="Times New Roman"/>
                <w:sz w:val="18"/>
              </w:rPr>
              <w:t>OCPP session hijacking</w:t>
            </w:r>
          </w:p>
        </w:tc>
        <w:tc>
          <w:tcPr>
            <w:tcW w:type="dxa" w:w="1928"/>
            <w:shd w:fill="F2F2F2"/>
          </w:tcPr>
          <w:p>
            <w:r/>
            <w:r>
              <w:rPr>
                <w:rFonts w:ascii="Times New Roman" w:hAnsi="Times New Roman"/>
                <w:sz w:val="18"/>
              </w:rPr>
              <w:t>Medium</w:t>
            </w:r>
          </w:p>
        </w:tc>
        <w:tc>
          <w:tcPr>
            <w:tcW w:type="dxa" w:w="1928"/>
            <w:shd w:fill="F2F2F2"/>
          </w:tcPr>
          <w:p>
            <w:r/>
            <w:r>
              <w:rPr>
                <w:rFonts w:ascii="Times New Roman" w:hAnsi="Times New Roman"/>
                <w:sz w:val="18"/>
              </w:rPr>
              <w:t>$10K–100K</w:t>
            </w:r>
          </w:p>
        </w:tc>
        <w:tc>
          <w:tcPr>
            <w:tcW w:type="dxa" w:w="1928"/>
            <w:shd w:fill="F2F2F2"/>
          </w:tcPr>
          <w:p>
            <w:r/>
            <w:r>
              <w:rPr>
                <w:rFonts w:ascii="Times New Roman" w:hAnsi="Times New Roman"/>
                <w:sz w:val="18"/>
              </w:rPr>
              <w:t>HIGH</w:t>
            </w:r>
          </w:p>
        </w:tc>
        <w:tc>
          <w:tcPr>
            <w:tcW w:type="dxa" w:w="1928"/>
            <w:shd w:fill="F2F2F2"/>
          </w:tcPr>
          <w:p>
            <w:r/>
            <w:r>
              <w:rPr>
                <w:rFonts w:ascii="Times New Roman" w:hAnsi="Times New Roman"/>
                <w:sz w:val="18"/>
              </w:rPr>
              <w:t>Short-term: Upgrade to OCPP 2.0.1</w:t>
            </w:r>
          </w:p>
        </w:tc>
      </w:tr>
      <w:tr>
        <w:tc>
          <w:tcPr>
            <w:tcW w:type="dxa" w:w="1928"/>
          </w:tcPr>
          <w:p>
            <w:r/>
            <w:r>
              <w:rPr>
                <w:rFonts w:ascii="Times New Roman" w:hAnsi="Times New Roman"/>
                <w:sz w:val="18"/>
              </w:rPr>
              <w:t>Privacy breach (user data)</w:t>
            </w:r>
          </w:p>
        </w:tc>
        <w:tc>
          <w:tcPr>
            <w:tcW w:type="dxa" w:w="1928"/>
          </w:tcPr>
          <w:p>
            <w:r/>
            <w:r>
              <w:rPr>
                <w:rFonts w:ascii="Times New Roman" w:hAnsi="Times New Roman"/>
                <w:sz w:val="18"/>
              </w:rPr>
              <w:t>Medium</w:t>
            </w:r>
          </w:p>
        </w:tc>
        <w:tc>
          <w:tcPr>
            <w:tcW w:type="dxa" w:w="1928"/>
          </w:tcPr>
          <w:p>
            <w:r/>
            <w:r>
              <w:rPr>
                <w:rFonts w:ascii="Times New Roman" w:hAnsi="Times New Roman"/>
                <w:sz w:val="18"/>
              </w:rPr>
              <w:t>$100K–1M</w:t>
            </w:r>
          </w:p>
        </w:tc>
        <w:tc>
          <w:tcPr>
            <w:tcW w:type="dxa" w:w="1928"/>
          </w:tcPr>
          <w:p>
            <w:r/>
            <w:r>
              <w:rPr>
                <w:rFonts w:ascii="Times New Roman" w:hAnsi="Times New Roman"/>
                <w:sz w:val="18"/>
              </w:rPr>
              <w:t>HIGH</w:t>
            </w:r>
          </w:p>
        </w:tc>
        <w:tc>
          <w:tcPr>
            <w:tcW w:type="dxa" w:w="1928"/>
          </w:tcPr>
          <w:p>
            <w:r/>
            <w:r>
              <w:rPr>
                <w:rFonts w:ascii="Times New Roman" w:hAnsi="Times New Roman"/>
                <w:sz w:val="18"/>
              </w:rPr>
              <w:t>Short-term: Encryption, access controls</w:t>
            </w:r>
          </w:p>
        </w:tc>
      </w:tr>
      <w:tr>
        <w:tc>
          <w:tcPr>
            <w:tcW w:type="dxa" w:w="1928"/>
            <w:shd w:fill="F2F2F2"/>
          </w:tcPr>
          <w:p>
            <w:r/>
            <w:r>
              <w:rPr>
                <w:rFonts w:ascii="Times New Roman" w:hAnsi="Times New Roman"/>
                <w:sz w:val="18"/>
              </w:rPr>
              <w:t>Firmware manipulation</w:t>
            </w:r>
          </w:p>
        </w:tc>
        <w:tc>
          <w:tcPr>
            <w:tcW w:type="dxa" w:w="1928"/>
            <w:shd w:fill="F2F2F2"/>
          </w:tcPr>
          <w:p>
            <w:r/>
            <w:r>
              <w:rPr>
                <w:rFonts w:ascii="Times New Roman" w:hAnsi="Times New Roman"/>
                <w:sz w:val="18"/>
              </w:rPr>
              <w:t>Low–Medium</w:t>
            </w:r>
          </w:p>
        </w:tc>
        <w:tc>
          <w:tcPr>
            <w:tcW w:type="dxa" w:w="1928"/>
            <w:shd w:fill="F2F2F2"/>
          </w:tcPr>
          <w:p>
            <w:r/>
            <w:r>
              <w:rPr>
                <w:rFonts w:ascii="Times New Roman" w:hAnsi="Times New Roman"/>
                <w:sz w:val="18"/>
              </w:rPr>
              <w:t>$500K–5M</w:t>
            </w:r>
          </w:p>
        </w:tc>
        <w:tc>
          <w:tcPr>
            <w:tcW w:type="dxa" w:w="1928"/>
            <w:shd w:fill="F2F2F2"/>
          </w:tcPr>
          <w:p>
            <w:r/>
            <w:r>
              <w:rPr>
                <w:rFonts w:ascii="Times New Roman" w:hAnsi="Times New Roman"/>
                <w:sz w:val="18"/>
              </w:rPr>
              <w:t>HIGH</w:t>
            </w:r>
          </w:p>
        </w:tc>
        <w:tc>
          <w:tcPr>
            <w:tcW w:type="dxa" w:w="1928"/>
            <w:shd w:fill="F2F2F2"/>
          </w:tcPr>
          <w:p>
            <w:r/>
            <w:r>
              <w:rPr>
                <w:rFonts w:ascii="Times New Roman" w:hAnsi="Times New Roman"/>
                <w:sz w:val="18"/>
              </w:rPr>
              <w:t>Medium-term: Secure boot, code signing</w:t>
            </w:r>
          </w:p>
        </w:tc>
      </w:tr>
      <w:tr>
        <w:tc>
          <w:tcPr>
            <w:tcW w:type="dxa" w:w="1928"/>
          </w:tcPr>
          <w:p>
            <w:r/>
            <w:r>
              <w:rPr>
                <w:rFonts w:ascii="Times New Roman" w:hAnsi="Times New Roman"/>
                <w:sz w:val="18"/>
              </w:rPr>
              <w:t>GPS spoofing (fleet tracking)</w:t>
            </w:r>
          </w:p>
        </w:tc>
        <w:tc>
          <w:tcPr>
            <w:tcW w:type="dxa" w:w="1928"/>
          </w:tcPr>
          <w:p>
            <w:r/>
            <w:r>
              <w:rPr>
                <w:rFonts w:ascii="Times New Roman" w:hAnsi="Times New Roman"/>
                <w:sz w:val="18"/>
              </w:rPr>
              <w:t>Low</w:t>
            </w:r>
          </w:p>
        </w:tc>
        <w:tc>
          <w:tcPr>
            <w:tcW w:type="dxa" w:w="1928"/>
          </w:tcPr>
          <w:p>
            <w:r/>
            <w:r>
              <w:rPr>
                <w:rFonts w:ascii="Times New Roman" w:hAnsi="Times New Roman"/>
                <w:sz w:val="18"/>
              </w:rPr>
              <w:t>$5K–50K</w:t>
            </w:r>
          </w:p>
        </w:tc>
        <w:tc>
          <w:tcPr>
            <w:tcW w:type="dxa" w:w="1928"/>
          </w:tcPr>
          <w:p>
            <w:r/>
            <w:r>
              <w:rPr>
                <w:rFonts w:ascii="Times New Roman" w:hAnsi="Times New Roman"/>
                <w:sz w:val="18"/>
              </w:rPr>
              <w:t>MODERATE</w:t>
            </w:r>
          </w:p>
        </w:tc>
        <w:tc>
          <w:tcPr>
            <w:tcW w:type="dxa" w:w="1928"/>
          </w:tcPr>
          <w:p>
            <w:r/>
            <w:r>
              <w:rPr>
                <w:rFonts w:ascii="Times New Roman" w:hAnsi="Times New Roman"/>
                <w:sz w:val="18"/>
              </w:rPr>
              <w:t>Medium-term: Multi-source positioning</w:t>
            </w:r>
          </w:p>
        </w:tc>
      </w:tr>
      <w:tr>
        <w:tc>
          <w:tcPr>
            <w:tcW w:type="dxa" w:w="1928"/>
            <w:shd w:fill="F2F2F2"/>
          </w:tcPr>
          <w:p>
            <w:r/>
            <w:r>
              <w:rPr>
                <w:rFonts w:ascii="Times New Roman" w:hAnsi="Times New Roman"/>
                <w:sz w:val="18"/>
              </w:rPr>
              <w:t>Ransomware on charger network</w:t>
            </w:r>
          </w:p>
        </w:tc>
        <w:tc>
          <w:tcPr>
            <w:tcW w:type="dxa" w:w="1928"/>
            <w:shd w:fill="F2F2F2"/>
          </w:tcPr>
          <w:p>
            <w:r/>
            <w:r>
              <w:rPr>
                <w:rFonts w:ascii="Times New Roman" w:hAnsi="Times New Roman"/>
                <w:sz w:val="18"/>
              </w:rPr>
              <w:t>Medium (rising)</w:t>
            </w:r>
          </w:p>
        </w:tc>
        <w:tc>
          <w:tcPr>
            <w:tcW w:type="dxa" w:w="1928"/>
            <w:shd w:fill="F2F2F2"/>
          </w:tcPr>
          <w:p>
            <w:r/>
            <w:r>
              <w:rPr>
                <w:rFonts w:ascii="Times New Roman" w:hAnsi="Times New Roman"/>
                <w:sz w:val="18"/>
              </w:rPr>
              <w:t>$200K–2M</w:t>
            </w:r>
          </w:p>
        </w:tc>
        <w:tc>
          <w:tcPr>
            <w:tcW w:type="dxa" w:w="1928"/>
            <w:shd w:fill="F2F2F2"/>
          </w:tcPr>
          <w:p>
            <w:r/>
            <w:r>
              <w:rPr>
                <w:rFonts w:ascii="Times New Roman" w:hAnsi="Times New Roman"/>
                <w:sz w:val="18"/>
              </w:rPr>
              <w:t>CRITICAL</w:t>
            </w:r>
          </w:p>
        </w:tc>
        <w:tc>
          <w:tcPr>
            <w:tcW w:type="dxa" w:w="1928"/>
            <w:shd w:fill="F2F2F2"/>
          </w:tcPr>
          <w:p>
            <w:r/>
            <w:r>
              <w:rPr>
                <w:rFonts w:ascii="Times New Roman" w:hAnsi="Times New Roman"/>
                <w:sz w:val="18"/>
              </w:rPr>
              <w:t>Immediate: Network segmentation, backups</w:t>
            </w:r>
          </w:p>
        </w:tc>
      </w:tr>
      <w:tr>
        <w:tc>
          <w:tcPr>
            <w:tcW w:type="dxa" w:w="1928"/>
          </w:tcPr>
          <w:p>
            <w:r/>
            <w:r>
              <w:rPr>
                <w:rFonts w:ascii="Times New Roman" w:hAnsi="Times New Roman"/>
                <w:sz w:val="18"/>
              </w:rPr>
              <w:t>V2G command injection</w:t>
            </w:r>
          </w:p>
        </w:tc>
        <w:tc>
          <w:tcPr>
            <w:tcW w:type="dxa" w:w="1928"/>
          </w:tcPr>
          <w:p>
            <w:r/>
            <w:r>
              <w:rPr>
                <w:rFonts w:ascii="Times New Roman" w:hAnsi="Times New Roman"/>
                <w:sz w:val="18"/>
              </w:rPr>
              <w:t>Low</w:t>
            </w:r>
          </w:p>
        </w:tc>
        <w:tc>
          <w:tcPr>
            <w:tcW w:type="dxa" w:w="1928"/>
          </w:tcPr>
          <w:p>
            <w:r/>
            <w:r>
              <w:rPr>
                <w:rFonts w:ascii="Times New Roman" w:hAnsi="Times New Roman"/>
                <w:sz w:val="18"/>
              </w:rPr>
              <w:t>$1M–10M</w:t>
            </w:r>
          </w:p>
        </w:tc>
        <w:tc>
          <w:tcPr>
            <w:tcW w:type="dxa" w:w="1928"/>
          </w:tcPr>
          <w:p>
            <w:r/>
            <w:r>
              <w:rPr>
                <w:rFonts w:ascii="Times New Roman" w:hAnsi="Times New Roman"/>
                <w:sz w:val="18"/>
              </w:rPr>
              <w:t>HIGH</w:t>
            </w:r>
          </w:p>
        </w:tc>
        <w:tc>
          <w:tcPr>
            <w:tcW w:type="dxa" w:w="1928"/>
          </w:tcPr>
          <w:p>
            <w:r/>
            <w:r>
              <w:rPr>
                <w:rFonts w:ascii="Times New Roman" w:hAnsi="Times New Roman"/>
                <w:sz w:val="18"/>
              </w:rPr>
              <w:t>Medium-term: Input validation, rate limiting</w:t>
            </w:r>
          </w:p>
        </w:tc>
      </w:tr>
    </w:tbl>
    <w:p/>
    <w:p>
      <w:pPr/>
      <w:r>
        <w:t>The risk assessment reveals two critical-level threats: denial-of-service attacks on aggregator platforms and ransomware targeting charger networks. DoS attacks are the most frequently observed threat category, with multiple incidents reported annually, and their impact scales with the size of the affected fleet: a DoS attack on a 10,000-vehicle aggregator during peak hours could prevent frequency regulation compliance, resulting in penalty payments and reputational damage estimated at $50,000–500,000 per incident. Ransomware represents a rapidly growing threat, as the increasing connectivity of charger networks creates lateral movement opportunities that did not exist in isolated, legacy charging infrastructure. The potential impact of ransomware extends beyond direct financial costs to include operational disruption, regulatory penalties, and erosion of consumer trust in EV charging as a service.</w:t>
      </w:r>
    </w:p>
    <w:p>
      <w:pPr>
        <w:pStyle w:val="Heading2"/>
      </w:pPr>
      <w:r>
        <w:t>6.3 Mitigation Roadmap</w:t>
      </w:r>
    </w:p>
    <w:p>
      <w:pPr/>
      <w:r>
        <w:t>Based on the risk assessment, we propose a three-phase mitigation roadmap that balances security requirements against implementation costs and operational constraints. Phase 1 (Immediate, 0–6 months) focuses on addressing critical-level threats through DDoS protection for aggregator platforms, network segmentation to prevent lateral movement of ransomware, and implementation of intrusion detection systems for OCPP traffic. Estimated cost: $50,000–200,000 per aggregator, with payback through avoided incident costs within 1–2 years. Phase 2 (Short-term, 6–18 months) addresses high-priority threats through migration to OCPP 2.0.1 for all new deployments, implementation of certificate-based authentication for existing OCPP 1.6 chargers via middleware, and deployment of differential privacy mechanisms for aggregated data reporting. Estimated cost: €500–1,500 per charger for upgrades, plus $100,000–500,000 for platform-level privacy infrastructure. Phase 3 (Medium-term, 18–36 months) focuses on emerging threats through secure boot and hardware root of trust for new chargers, AI-based anomaly detection for V2G command streams, and compliance with NIST IR 8356 and ISO 15118-20 security requirements. The total investment for a mid-size aggregator (5,000 chargers) across all three phases is estimated at $2–5 million, which represents approximately 5–10% of annual revenue but is justified by the potential $10+ million impact of a single critical incident.</w:t>
      </w:r>
    </w:p>
    <w:p>
      <w:pPr>
        <w:pStyle w:val="Heading1"/>
      </w:pPr>
      <w:r>
        <w:t>7. Adoption Barriers and User Acceptance</w:t>
      </w:r>
    </w:p>
    <w:p>
      <w:pPr>
        <w:pStyle w:val="Heading2"/>
      </w:pPr>
      <w:r>
        <w:t>7.1 The V2G Adoption Paradox</w:t>
      </w:r>
    </w:p>
    <w:p>
      <w:pPr/>
      <w:r>
        <w:t>Despite positive economic projections and demonstrated technical feasibility, V2G adoption remains stubbornly low. Surveys consistently show that 35–50% of EV owners express willingness to participate in V2G programs, but actual enrollment in voluntary programs ranges from 10–30%, with 40–60% of enrolled participants dropping out by the third year. This adoption paradox—where stated interest substantially exceeds realized participation—demands explanation beyond simple economic rationality.</w:t>
      </w:r>
    </w:p>
    <w:p>
      <w:pPr/>
      <w:r>
        <w:t>The literature identifies four primary barriers to V2G adoption, each operating at a different level of analysis. First, at the individual level, irrational battery degradation fears dominate: surveys consistently find that 65–70% of non-adopters cite battery degradation as their primary concern, even in markets where manufacturers offer battery warranties that cover V2G operations and where empirical evidence (discussed in Section 4.1) demonstrates that intelligent V2G can extend battery life. This gap between perceived and actual risk reflects the well-documented psychological phenomenon of omission bias, where the potential harm of action (allowing V2G cycling) is weighted more heavily than the certain benefit of inaction (preserving battery as-is), even when the expected utility of action is higher. Second, the loss of autonomy concern, extensively documented by Sovacool et al. (2021), reflects vehicle owners’ resistance to ceding control over their primary transportation asset to a third-party aggregator, even when the economic terms are favorable. This concern is amplified by the intermittent nature of V2G revenue, which creates a perception of unpredictable access to the vehicle’s energy reserves.</w:t>
      </w:r>
    </w:p>
    <w:p>
      <w:pPr/>
      <w:r>
        <w:t>Third, fairness concerns arise because early adopters of V2G technology bear disproportionate costs: bidirectional chargers cost €1,500–3,000 more than unidirectional units, and early participants in aggregation programs accept greater uncertainty about long-term revenue and battery warranty coverage. Later adopters benefit from cost declines, established standards, and proven business models, creating a classic first-mover disadvantage that inhibits market formation. Fourth, market sustainability uncertainty reflects the legitimate concern that V2G revenue may evaporate as markets saturate (discussed in Section 4.2), turning a multi-year investment in V2G-capable hardware into a stranded asset. This concern is not hypothetical: the frequency regulation market saturation already observed in several European regions demonstrates that revenue projections are time-limited and fleet-size-dependent.</w:t>
      </w:r>
    </w:p>
    <w:p>
      <w:pPr>
        <w:pStyle w:val="Heading2"/>
      </w:pPr>
      <w:r>
        <w:t>7.2 Three Pathways Forward</w:t>
      </w:r>
    </w:p>
    <w:p>
      <w:pPr/>
      <w:r>
        <w:t>Given the persistent adoption barriers facing grid-centric V2G, we identify three viable pathways for EV–grid integration that differ in their institutional requirements, consumer value propositions, and scalability potential.</w:t>
      </w:r>
    </w:p>
    <w:p>
      <w:pPr/>
      <w:r>
        <w:rPr>
          <w:rFonts w:ascii="Times New Roman" w:hAnsi="Times New Roman"/>
          <w:b/>
          <w:i w:val="0"/>
          <w:sz w:val="24"/>
        </w:rPr>
        <w:t xml:space="preserve">Pathway 1: Vehicle-to-Home (V2H) – Consumer-Centric Integration. </w:t>
      </w:r>
      <w:r>
        <w:rPr>
          <w:rFonts w:ascii="Times New Roman" w:hAnsi="Times New Roman"/>
          <w:b w:val="0"/>
          <w:i w:val="0"/>
          <w:sz w:val="24"/>
        </w:rPr>
        <w:t>V2H offers the most immediate and compelling value proposition for consumers by providing backup power during outages, optimizing self-consumption of rooftop solar generation, and reducing electricity bills through time-of-use arbitrage. Unlike V2G, V2H does not require aggregator intermediaries, market participation, or complex regulatory approvals—it operates within the existing behind-the-meter regulatory framework that governs home battery storage. Consumer surveys indicate willingness-to-pay for V2H capability that exceeds the hardware premium by 2–3x, driven primarily by the perceived value of backup power. A 2024 review in Energies journal found that V2H systems should generally be installed instead of stationary batteries for households with short EV absence periods, as the EV battery provides comparable storage at no additional hardware cost beyond the bidirectional charger. The adoption potential for V2H is estimated at 50%+ of EV-owning households in markets with high electricity prices or unreliable grid service, making it the highest-probability pathway for bidirectional charging at scale.</w:t>
      </w:r>
    </w:p>
    <w:p>
      <w:pPr/>
      <w:r>
        <w:rPr>
          <w:rFonts w:ascii="Times New Roman" w:hAnsi="Times New Roman"/>
          <w:b/>
          <w:i w:val="0"/>
          <w:sz w:val="24"/>
        </w:rPr>
        <w:t xml:space="preserve">Pathway 2: Peer-to-Peer Trading – Community-Centric Integration. </w:t>
      </w:r>
      <w:r>
        <w:rPr>
          <w:rFonts w:ascii="Times New Roman" w:hAnsi="Times New Roman"/>
          <w:b w:val="0"/>
          <w:i w:val="0"/>
          <w:sz w:val="24"/>
        </w:rPr>
        <w:t>P2P energy trading platforms enable EV owners to sell energy directly to other consumers within a microgrid or community energy network, bypassing both the traditional utility and the aggregator intermediary. Blockchain-based platforms provide the transaction verification and settlement infrastructure needed for peer-to-peer trading at scale. The consumer value proposition combines economic benefits (selling at prices above feed-in tariffs but below retail rates) with social benefits (supporting local renewable energy, community resilience). However, P2P trading faces significant regulatory barriers in most jurisdictions, where energy retail is restricted to licensed utilities, and the technical infrastructure for real-time settlement across heterogeneous systems is still maturing. The pathway has strong potential in markets with supportive regulatory sandboxes (e.g., the UK’s Ofgem sandbox, Australia’s distributed energy resources trials) but requires regulatory reform to achieve broad scalability.</w:t>
      </w:r>
    </w:p>
    <w:p>
      <w:pPr/>
      <w:r>
        <w:rPr>
          <w:rFonts w:ascii="Times New Roman" w:hAnsi="Times New Roman"/>
          <w:b/>
          <w:i w:val="0"/>
          <w:sz w:val="24"/>
        </w:rPr>
        <w:t xml:space="preserve">Pathway 3: Grid-Aggregated V2G – Utility-Centric Integration. </w:t>
      </w:r>
      <w:r>
        <w:rPr>
          <w:rFonts w:ascii="Times New Roman" w:hAnsi="Times New Roman"/>
          <w:b w:val="0"/>
          <w:i w:val="0"/>
          <w:sz w:val="24"/>
        </w:rPr>
        <w:t>Grid-centric V2G, coordinated through an aggregator to provide frequency regulation, spinning reserves, and peak shaving services, remains technically viable but faces the most severe adoption constraints. Market saturation limits scalable revenue to approximately £350–450 per vehicle per year, user attrition reduces effective fleet size by 40% by year three, and the institutional complexity of market participation (FERC Order 2222 compliance, ISO/RTO interconnection requirements, aggregator licensing) creates barriers for all but the largest fleet operators. Our assessment is that grid-aggregated V2G will be limited to 20–30% of the EV fleet, concentrated in commercial and institutional fleets (school buses, delivery vehicles, corporate campus vehicles) where vehicle availability is high, ownership is centralized, and battery warranty concerns are managed at the organizational level. This pathway is best understood as a complement to—rather than a replacement for—stationary storage and demand flexibility resources.</w:t>
      </w:r>
    </w:p>
    <w:p>
      <w:pPr>
        <w:pStyle w:val="Heading1"/>
      </w:pPr>
      <w:r>
        <w:t>8. Regulatory Drivers and Policy Implications (2020–2026)</w:t>
      </w:r>
    </w:p>
    <w:p>
      <w:pPr/>
      <w:r>
        <w:t>The regulatory landscape for EV–grid integration has undergone transformative changes between 2020 and 2026, creating new market opportunities and compliance requirements that directly shape research priorities. This section analyzes four major regulatory developments and their implications for the field.</w:t>
      </w:r>
    </w:p>
    <w:p>
      <w:pPr>
        <w:pStyle w:val="Heading2"/>
      </w:pPr>
      <w:r>
        <w:t>8.1 FERC Order 2222 and US Market Access</w:t>
      </w:r>
    </w:p>
    <w:p>
      <w:pPr/>
      <w:r>
        <w:t>FERC Order 2222, issued in September 2020, represents the most significant regulatory change for distributed energy resource (DER) participation in US wholesale electricity markets. Prior to this order, EV aggregators had no viable pathway to bid into RTO/ISO-administered markets, as minimum capacity requirements (typically 1 MW or higher) effectively excluded individual EVs or small fleets. Order 2222 requires RTOs and ISOs to establish participation models for DER aggregations, including EV fleets, enabling them to provide energy, capacity, and ancillary services. Implementation has proceeded state by state, with significant variation in timelines and requirements. Maryland became the first state to approve V2G-specific regulations under its DRIVE Act in June 2025, establishing interconnection standards, metering requirements, and aggregator certification processes specifically tailored to EV fleets. The impact on research has been substantial: the order has shifted the research focus from utility-managed charging programs (dominant in Phase 2 of our framework) to competitive aggregation strategies, market bidding optimization, and DER coordination across heterogeneous resources.</w:t>
      </w:r>
    </w:p>
    <w:p>
      <w:pPr>
        <w:pStyle w:val="Heading2"/>
      </w:pPr>
      <w:r>
        <w:t>8.2 European Union Regulatory Framework</w:t>
      </w:r>
    </w:p>
    <w:p>
      <w:pPr/>
      <w:r>
        <w:t>The European Union has adopted a more prescriptive approach to V2G enablement through the Alternative Fuels Infrastructure Regulation (AFIR) and related directives. Under AFIR, all new publicly accessible charging points must meet the requirements of the EN ISO 15118-1 to -5 standard series by January 2026, effectively mandating V2G-ready communication capability. Additional technical specifications effective from October 2024 require all existing and new charging points to be digitally connected to enable smart charging, with data connectivity that measures and communicates energy consumption in near-real-time. The incremental cost of compliance is estimated at €200–500 per charger for V2G-ready capability, which, across the 3–5 million public chargers projected by 2030, represents a total investment of €600 million–1.75 billion. This regulatory mandate has a profound implication for the research agenda: as V2G-ready hardware becomes a regulatory requirement rather than a premium option, the research frontier shifts from hardware development to software optimization, aggregation algorithms, and market participation strategies.</w:t>
      </w:r>
    </w:p>
    <w:p>
      <w:pPr>
        <w:pStyle w:val="Heading2"/>
      </w:pPr>
      <w:r>
        <w:t>8.3 State-Level and Regional Mandates</w:t>
      </w:r>
    </w:p>
    <w:p>
      <w:pPr/>
      <w:r>
        <w:t>Beyond federal and supranational frameworks, state-level and regional mandates are creating localized but significant demand for EV–grid integration. California’s Title 24 building code, updated in 2023, mandates EV charging infrastructure in new construction, with estimates suggesting 100,000–200,000 new charger installations per year in California alone. This creates a natural pathway for residential V2H deployment, as new construction with integrated EV charging can incorporate bidirectional capability at marginal cost during the build phase. The UK Future Homes Standard (2024) explicitly designates V2H/V2G as a grid flexibility resource within building codes, providing regulatory recognition that reduces uncertainty for developers and homeowners considering V2G investments. These state-level mandates are significant because they create concentrated pockets of V2G-capable infrastructure that can serve as testbeds for aggregation, market participation, and interoperability validation—accelerating the learning-by-doing process that is essential for scaling V2G beyond pilot programs.</w:t>
      </w:r>
    </w:p>
    <w:p>
      <w:pPr>
        <w:pStyle w:val="Heading1"/>
      </w:pPr>
      <w:r>
        <w:t>9. Comparative Technology Assessment: V2G vs. Alternatives</w:t>
      </w:r>
    </w:p>
    <w:p>
      <w:pPr/>
      <w:r>
        <w:t>A critical omission in the EV–grid integration literature is the comparative assessment of V2G against alternative grid flexibility technologies. V2G is not the only—or necessarily the best—means of providing grid flexibility, and policy decisions should be informed by comparative cost-effectiveness analysis rather than technology-specific advocacy. This section evaluates V2G against three primary alternatives: battery energy storage systems (BESS), HVAC demand flexibility, and smart pricing/demand response programs.</w:t>
      </w:r>
    </w:p>
    <w:p>
      <w:pPr>
        <w:pStyle w:val="Heading2"/>
      </w:pPr>
      <w:r>
        <w:t>9.1 Cost-Effectiveness Comparison</w:t>
      </w:r>
    </w:p>
    <w:p>
      <w:pPr/>
      <w:r>
        <w:t>Table 5 presents a comparative cost-effectiveness analysis for providing 50 MW of regional grid flexibility, based on 2024 market data and technology cost projections. The analysis considers both capital expenditure and 10-year operational costs, providing a more comprehensive assessment than the upfront-cost comparisons commonly found in the literature.</w:t>
      </w:r>
    </w:p>
    <w:p>
      <w:pPr/>
      <w:r>
        <w:t>Table 5: Comparative Cost-Effectiveness of Grid Flexibility Technologies for 50 MW Capacity</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fill="D9E2F3"/>
          </w:tcPr>
          <w:p>
            <w:pPr>
              <w:jc w:val="center"/>
            </w:pPr>
            <w:r/>
            <w:r>
              <w:rPr>
                <w:rFonts w:ascii="Times New Roman" w:hAnsi="Times New Roman"/>
                <w:b/>
                <w:sz w:val="18"/>
              </w:rPr>
              <w:t>Technology</w:t>
            </w:r>
          </w:p>
        </w:tc>
        <w:tc>
          <w:tcPr>
            <w:tcW w:type="dxa" w:w="1377"/>
            <w:shd w:fill="D9E2F3"/>
          </w:tcPr>
          <w:p>
            <w:pPr>
              <w:jc w:val="center"/>
            </w:pPr>
            <w:r/>
            <w:r>
              <w:rPr>
                <w:rFonts w:ascii="Times New Roman" w:hAnsi="Times New Roman"/>
                <w:b/>
                <w:sz w:val="18"/>
              </w:rPr>
              <w:t>Capital Cost</w:t>
            </w:r>
          </w:p>
        </w:tc>
        <w:tc>
          <w:tcPr>
            <w:tcW w:type="dxa" w:w="1377"/>
            <w:shd w:fill="D9E2F3"/>
          </w:tcPr>
          <w:p>
            <w:pPr>
              <w:jc w:val="center"/>
            </w:pPr>
            <w:r/>
            <w:r>
              <w:rPr>
                <w:rFonts w:ascii="Times New Roman" w:hAnsi="Times New Roman"/>
                <w:b/>
                <w:sz w:val="18"/>
              </w:rPr>
              <w:t>10-Year Total Cost</w:t>
            </w:r>
          </w:p>
        </w:tc>
        <w:tc>
          <w:tcPr>
            <w:tcW w:type="dxa" w:w="1377"/>
            <w:shd w:fill="D9E2F3"/>
          </w:tcPr>
          <w:p>
            <w:pPr>
              <w:jc w:val="center"/>
            </w:pPr>
            <w:r/>
            <w:r>
              <w:rPr>
                <w:rFonts w:ascii="Times New Roman" w:hAnsi="Times New Roman"/>
                <w:b/>
                <w:sz w:val="18"/>
              </w:rPr>
              <w:t>Uptime/Availability</w:t>
            </w:r>
          </w:p>
        </w:tc>
        <w:tc>
          <w:tcPr>
            <w:tcW w:type="dxa" w:w="1377"/>
            <w:shd w:fill="D9E2F3"/>
          </w:tcPr>
          <w:p>
            <w:pPr>
              <w:jc w:val="center"/>
            </w:pPr>
            <w:r/>
            <w:r>
              <w:rPr>
                <w:rFonts w:ascii="Times New Roman" w:hAnsi="Times New Roman"/>
                <w:b/>
                <w:sz w:val="18"/>
              </w:rPr>
              <w:t>Response Time</w:t>
            </w:r>
          </w:p>
        </w:tc>
        <w:tc>
          <w:tcPr>
            <w:tcW w:type="dxa" w:w="1377"/>
            <w:shd w:fill="D9E2F3"/>
          </w:tcPr>
          <w:p>
            <w:pPr>
              <w:jc w:val="center"/>
            </w:pPr>
            <w:r/>
            <w:r>
              <w:rPr>
                <w:rFonts w:ascii="Times New Roman" w:hAnsi="Times New Roman"/>
                <w:b/>
                <w:sz w:val="18"/>
              </w:rPr>
              <w:t>Key Advantages</w:t>
            </w:r>
          </w:p>
        </w:tc>
        <w:tc>
          <w:tcPr>
            <w:tcW w:type="dxa" w:w="1377"/>
            <w:shd w:fill="D9E2F3"/>
          </w:tcPr>
          <w:p>
            <w:pPr>
              <w:jc w:val="center"/>
            </w:pPr>
            <w:r/>
            <w:r>
              <w:rPr>
                <w:rFonts w:ascii="Times New Roman" w:hAnsi="Times New Roman"/>
                <w:b/>
                <w:sz w:val="18"/>
              </w:rPr>
              <w:t>Key Limitations</w:t>
            </w:r>
          </w:p>
        </w:tc>
      </w:tr>
      <w:tr>
        <w:tc>
          <w:tcPr>
            <w:tcW w:type="dxa" w:w="1377"/>
          </w:tcPr>
          <w:p>
            <w:r/>
            <w:r>
              <w:rPr>
                <w:rFonts w:ascii="Times New Roman" w:hAnsi="Times New Roman"/>
                <w:sz w:val="18"/>
              </w:rPr>
              <w:t>V2G fleet (2M EVs)</w:t>
            </w:r>
          </w:p>
        </w:tc>
        <w:tc>
          <w:tcPr>
            <w:tcW w:type="dxa" w:w="1377"/>
          </w:tcPr>
          <w:p>
            <w:r/>
            <w:r>
              <w:rPr>
                <w:rFonts w:ascii="Times New Roman" w:hAnsi="Times New Roman"/>
                <w:sz w:val="18"/>
              </w:rPr>
              <w:t>€4B (€2K/EV)</w:t>
            </w:r>
          </w:p>
        </w:tc>
        <w:tc>
          <w:tcPr>
            <w:tcW w:type="dxa" w:w="1377"/>
          </w:tcPr>
          <w:p>
            <w:r/>
            <w:r>
              <w:rPr>
                <w:rFonts w:ascii="Times New Roman" w:hAnsi="Times New Roman"/>
                <w:sz w:val="18"/>
              </w:rPr>
              <w:t>€9B</w:t>
            </w:r>
          </w:p>
        </w:tc>
        <w:tc>
          <w:tcPr>
            <w:tcW w:type="dxa" w:w="1377"/>
          </w:tcPr>
          <w:p>
            <w:r/>
            <w:r>
              <w:rPr>
                <w:rFonts w:ascii="Times New Roman" w:hAnsi="Times New Roman"/>
                <w:sz w:val="18"/>
              </w:rPr>
              <w:t>40–60% user-dependent</w:t>
            </w:r>
          </w:p>
        </w:tc>
        <w:tc>
          <w:tcPr>
            <w:tcW w:type="dxa" w:w="1377"/>
          </w:tcPr>
          <w:p>
            <w:r/>
            <w:r>
              <w:rPr>
                <w:rFonts w:ascii="Times New Roman" w:hAnsi="Times New Roman"/>
                <w:sz w:val="18"/>
              </w:rPr>
              <w:t>500–2000 ms</w:t>
            </w:r>
          </w:p>
        </w:tc>
        <w:tc>
          <w:tcPr>
            <w:tcW w:type="dxa" w:w="1377"/>
          </w:tcPr>
          <w:p>
            <w:r/>
            <w:r>
              <w:rPr>
                <w:rFonts w:ascii="Times New Roman" w:hAnsi="Times New Roman"/>
                <w:sz w:val="18"/>
              </w:rPr>
              <w:t>Mobile, distributed, dual-use asset</w:t>
            </w:r>
          </w:p>
        </w:tc>
        <w:tc>
          <w:tcPr>
            <w:tcW w:type="dxa" w:w="1377"/>
          </w:tcPr>
          <w:p>
            <w:r/>
            <w:r>
              <w:rPr>
                <w:rFonts w:ascii="Times New Roman" w:hAnsi="Times New Roman"/>
                <w:sz w:val="18"/>
              </w:rPr>
              <w:t>User dependency, market saturation, degradation concerns</w:t>
            </w:r>
          </w:p>
        </w:tc>
      </w:tr>
      <w:tr>
        <w:tc>
          <w:tcPr>
            <w:tcW w:type="dxa" w:w="1377"/>
            <w:shd w:fill="F2F2F2"/>
          </w:tcPr>
          <w:p>
            <w:r/>
            <w:r>
              <w:rPr>
                <w:rFonts w:ascii="Times New Roman" w:hAnsi="Times New Roman"/>
                <w:sz w:val="18"/>
              </w:rPr>
              <w:t>Grid-scale BESS (200 MWh)</w:t>
            </w:r>
          </w:p>
        </w:tc>
        <w:tc>
          <w:tcPr>
            <w:tcW w:type="dxa" w:w="1377"/>
            <w:shd w:fill="F2F2F2"/>
          </w:tcPr>
          <w:p>
            <w:r/>
            <w:r>
              <w:rPr>
                <w:rFonts w:ascii="Times New Roman" w:hAnsi="Times New Roman"/>
                <w:sz w:val="18"/>
              </w:rPr>
              <w:t>€50M</w:t>
            </w:r>
          </w:p>
        </w:tc>
        <w:tc>
          <w:tcPr>
            <w:tcW w:type="dxa" w:w="1377"/>
            <w:shd w:fill="F2F2F2"/>
          </w:tcPr>
          <w:p>
            <w:r/>
            <w:r>
              <w:rPr>
                <w:rFonts w:ascii="Times New Roman" w:hAnsi="Times New Roman"/>
                <w:sz w:val="18"/>
              </w:rPr>
              <w:t>€60M</w:t>
            </w:r>
          </w:p>
        </w:tc>
        <w:tc>
          <w:tcPr>
            <w:tcW w:type="dxa" w:w="1377"/>
            <w:shd w:fill="F2F2F2"/>
          </w:tcPr>
          <w:p>
            <w:r/>
            <w:r>
              <w:rPr>
                <w:rFonts w:ascii="Times New Roman" w:hAnsi="Times New Roman"/>
                <w:sz w:val="18"/>
              </w:rPr>
              <w:t>99.9%</w:t>
            </w:r>
          </w:p>
        </w:tc>
        <w:tc>
          <w:tcPr>
            <w:tcW w:type="dxa" w:w="1377"/>
            <w:shd w:fill="F2F2F2"/>
          </w:tcPr>
          <w:p>
            <w:r/>
            <w:r>
              <w:rPr>
                <w:rFonts w:ascii="Times New Roman" w:hAnsi="Times New Roman"/>
                <w:sz w:val="18"/>
              </w:rPr>
              <w:t>&lt;100 ms</w:t>
            </w:r>
          </w:p>
        </w:tc>
        <w:tc>
          <w:tcPr>
            <w:tcW w:type="dxa" w:w="1377"/>
            <w:shd w:fill="F2F2F2"/>
          </w:tcPr>
          <w:p>
            <w:r/>
            <w:r>
              <w:rPr>
                <w:rFonts w:ascii="Times New Roman" w:hAnsi="Times New Roman"/>
                <w:sz w:val="18"/>
              </w:rPr>
              <w:t>Centralized, controllable, fast response</w:t>
            </w:r>
          </w:p>
        </w:tc>
        <w:tc>
          <w:tcPr>
            <w:tcW w:type="dxa" w:w="1377"/>
            <w:shd w:fill="F2F2F2"/>
          </w:tcPr>
          <w:p>
            <w:r/>
            <w:r>
              <w:rPr>
                <w:rFonts w:ascii="Times New Roman" w:hAnsi="Times New Roman"/>
                <w:sz w:val="18"/>
              </w:rPr>
              <w:t>Stationary, single-use, recycling needed</w:t>
            </w:r>
          </w:p>
        </w:tc>
      </w:tr>
      <w:tr>
        <w:tc>
          <w:tcPr>
            <w:tcW w:type="dxa" w:w="1377"/>
          </w:tcPr>
          <w:p>
            <w:r/>
            <w:r>
              <w:rPr>
                <w:rFonts w:ascii="Times New Roman" w:hAnsi="Times New Roman"/>
                <w:sz w:val="18"/>
              </w:rPr>
              <w:t>HVAC demand flexibility</w:t>
            </w:r>
          </w:p>
        </w:tc>
        <w:tc>
          <w:tcPr>
            <w:tcW w:type="dxa" w:w="1377"/>
          </w:tcPr>
          <w:p>
            <w:r/>
            <w:r>
              <w:rPr>
                <w:rFonts w:ascii="Times New Roman" w:hAnsi="Times New Roman"/>
                <w:sz w:val="18"/>
              </w:rPr>
              <w:t>€10–20M</w:t>
            </w:r>
          </w:p>
        </w:tc>
        <w:tc>
          <w:tcPr>
            <w:tcW w:type="dxa" w:w="1377"/>
          </w:tcPr>
          <w:p>
            <w:r/>
            <w:r>
              <w:rPr>
                <w:rFonts w:ascii="Times New Roman" w:hAnsi="Times New Roman"/>
                <w:sz w:val="18"/>
              </w:rPr>
              <w:t>€15–25M</w:t>
            </w:r>
          </w:p>
        </w:tc>
        <w:tc>
          <w:tcPr>
            <w:tcW w:type="dxa" w:w="1377"/>
          </w:tcPr>
          <w:p>
            <w:r/>
            <w:r>
              <w:rPr>
                <w:rFonts w:ascii="Times New Roman" w:hAnsi="Times New Roman"/>
                <w:sz w:val="18"/>
              </w:rPr>
              <w:t>80–90%</w:t>
            </w:r>
          </w:p>
        </w:tc>
        <w:tc>
          <w:tcPr>
            <w:tcW w:type="dxa" w:w="1377"/>
          </w:tcPr>
          <w:p>
            <w:r/>
            <w:r>
              <w:rPr>
                <w:rFonts w:ascii="Times New Roman" w:hAnsi="Times New Roman"/>
                <w:sz w:val="18"/>
              </w:rPr>
              <w:t>Minutes</w:t>
            </w:r>
          </w:p>
        </w:tc>
        <w:tc>
          <w:tcPr>
            <w:tcW w:type="dxa" w:w="1377"/>
          </w:tcPr>
          <w:p>
            <w:r/>
            <w:r>
              <w:rPr>
                <w:rFonts w:ascii="Times New Roman" w:hAnsi="Times New Roman"/>
                <w:sz w:val="18"/>
              </w:rPr>
              <w:t>Low capex, high scalability, existing infrastructure</w:t>
            </w:r>
          </w:p>
        </w:tc>
        <w:tc>
          <w:tcPr>
            <w:tcW w:type="dxa" w:w="1377"/>
          </w:tcPr>
          <w:p>
            <w:r/>
            <w:r>
              <w:rPr>
                <w:rFonts w:ascii="Times New Roman" w:hAnsi="Times New Roman"/>
                <w:sz w:val="18"/>
              </w:rPr>
              <w:t>Limited duration, comfort impacts, seasonal</w:t>
            </w:r>
          </w:p>
        </w:tc>
      </w:tr>
      <w:tr>
        <w:tc>
          <w:tcPr>
            <w:tcW w:type="dxa" w:w="1377"/>
            <w:shd w:fill="F2F2F2"/>
          </w:tcPr>
          <w:p>
            <w:r/>
            <w:r>
              <w:rPr>
                <w:rFonts w:ascii="Times New Roman" w:hAnsi="Times New Roman"/>
                <w:sz w:val="18"/>
              </w:rPr>
              <w:t>Smart pricing/DR</w:t>
            </w:r>
          </w:p>
        </w:tc>
        <w:tc>
          <w:tcPr>
            <w:tcW w:type="dxa" w:w="1377"/>
            <w:shd w:fill="F2F2F2"/>
          </w:tcPr>
          <w:p>
            <w:r/>
            <w:r>
              <w:rPr>
                <w:rFonts w:ascii="Times New Roman" w:hAnsi="Times New Roman"/>
                <w:sz w:val="18"/>
              </w:rPr>
              <w:t>€5–10M</w:t>
            </w:r>
          </w:p>
        </w:tc>
        <w:tc>
          <w:tcPr>
            <w:tcW w:type="dxa" w:w="1377"/>
            <w:shd w:fill="F2F2F2"/>
          </w:tcPr>
          <w:p>
            <w:r/>
            <w:r>
              <w:rPr>
                <w:rFonts w:ascii="Times New Roman" w:hAnsi="Times New Roman"/>
                <w:sz w:val="18"/>
              </w:rPr>
              <w:t>€8–15M</w:t>
            </w:r>
          </w:p>
        </w:tc>
        <w:tc>
          <w:tcPr>
            <w:tcW w:type="dxa" w:w="1377"/>
            <w:shd w:fill="F2F2F2"/>
          </w:tcPr>
          <w:p>
            <w:r/>
            <w:r>
              <w:rPr>
                <w:rFonts w:ascii="Times New Roman" w:hAnsi="Times New Roman"/>
                <w:sz w:val="18"/>
              </w:rPr>
              <w:t>60–80%</w:t>
            </w:r>
          </w:p>
        </w:tc>
        <w:tc>
          <w:tcPr>
            <w:tcW w:type="dxa" w:w="1377"/>
            <w:shd w:fill="F2F2F2"/>
          </w:tcPr>
          <w:p>
            <w:r/>
            <w:r>
              <w:rPr>
                <w:rFonts w:ascii="Times New Roman" w:hAnsi="Times New Roman"/>
                <w:sz w:val="18"/>
              </w:rPr>
              <w:t>Hours</w:t>
            </w:r>
          </w:p>
        </w:tc>
        <w:tc>
          <w:tcPr>
            <w:tcW w:type="dxa" w:w="1377"/>
            <w:shd w:fill="F2F2F2"/>
          </w:tcPr>
          <w:p>
            <w:r/>
            <w:r>
              <w:rPr>
                <w:rFonts w:ascii="Times New Roman" w:hAnsi="Times New Roman"/>
                <w:sz w:val="18"/>
              </w:rPr>
              <w:t>Lowest cost, proven adoption, scalable</w:t>
            </w:r>
          </w:p>
        </w:tc>
        <w:tc>
          <w:tcPr>
            <w:tcW w:type="dxa" w:w="1377"/>
            <w:shd w:fill="F2F2F2"/>
          </w:tcPr>
          <w:p>
            <w:r/>
            <w:r>
              <w:rPr>
                <w:rFonts w:ascii="Times New Roman" w:hAnsi="Times New Roman"/>
                <w:sz w:val="18"/>
              </w:rPr>
              <w:t>Slow response, elasticity uncertainty, equity concerns</w:t>
            </w:r>
          </w:p>
        </w:tc>
      </w:tr>
      <w:tr>
        <w:tc>
          <w:tcPr>
            <w:tcW w:type="dxa" w:w="1377"/>
          </w:tcPr>
          <w:p>
            <w:r/>
            <w:r>
              <w:rPr>
                <w:rFonts w:ascii="Times New Roman" w:hAnsi="Times New Roman"/>
                <w:sz w:val="18"/>
              </w:rPr>
              <w:t>Mixed portfolio (20% BESS + 50% HVAC + 30% DR)</w:t>
            </w:r>
          </w:p>
        </w:tc>
        <w:tc>
          <w:tcPr>
            <w:tcW w:type="dxa" w:w="1377"/>
          </w:tcPr>
          <w:p>
            <w:r/>
            <w:r>
              <w:rPr>
                <w:rFonts w:ascii="Times New Roman" w:hAnsi="Times New Roman"/>
                <w:sz w:val="18"/>
              </w:rPr>
              <w:t>€15–25M</w:t>
            </w:r>
          </w:p>
        </w:tc>
        <w:tc>
          <w:tcPr>
            <w:tcW w:type="dxa" w:w="1377"/>
          </w:tcPr>
          <w:p>
            <w:r/>
            <w:r>
              <w:rPr>
                <w:rFonts w:ascii="Times New Roman" w:hAnsi="Times New Roman"/>
                <w:sz w:val="18"/>
              </w:rPr>
              <w:t>€20–35M</w:t>
            </w:r>
          </w:p>
        </w:tc>
        <w:tc>
          <w:tcPr>
            <w:tcW w:type="dxa" w:w="1377"/>
          </w:tcPr>
          <w:p>
            <w:r/>
            <w:r>
              <w:rPr>
                <w:rFonts w:ascii="Times New Roman" w:hAnsi="Times New Roman"/>
                <w:sz w:val="18"/>
              </w:rPr>
              <w:t>90–95%</w:t>
            </w:r>
          </w:p>
        </w:tc>
        <w:tc>
          <w:tcPr>
            <w:tcW w:type="dxa" w:w="1377"/>
          </w:tcPr>
          <w:p>
            <w:r/>
            <w:r>
              <w:rPr>
                <w:rFonts w:ascii="Times New Roman" w:hAnsi="Times New Roman"/>
                <w:sz w:val="18"/>
              </w:rPr>
              <w:t>Mixed</w:t>
            </w:r>
          </w:p>
        </w:tc>
        <w:tc>
          <w:tcPr>
            <w:tcW w:type="dxa" w:w="1377"/>
          </w:tcPr>
          <w:p>
            <w:r/>
            <w:r>
              <w:rPr>
                <w:rFonts w:ascii="Times New Roman" w:hAnsi="Times New Roman"/>
                <w:sz w:val="18"/>
              </w:rPr>
              <w:t>Diversified risk, cost-efficient, robust</w:t>
            </w:r>
          </w:p>
        </w:tc>
        <w:tc>
          <w:tcPr>
            <w:tcW w:type="dxa" w:w="1377"/>
          </w:tcPr>
          <w:p>
            <w:r/>
            <w:r>
              <w:rPr>
                <w:rFonts w:ascii="Times New Roman" w:hAnsi="Times New Roman"/>
                <w:sz w:val="18"/>
              </w:rPr>
              <w:t>Coordination complexity, institutional barriers</w:t>
            </w:r>
          </w:p>
        </w:tc>
      </w:tr>
    </w:tbl>
    <w:p/>
    <w:p>
      <w:pPr/>
      <w:r>
        <w:t>The comparative analysis reveals a striking cost differential: V2G is approximately 50–100 times more expensive than a mixed flexibility portfolio when measured on a per-MW basis over a 10-year horizon. This result may appear counterintuitive given that EV batteries are “free” (already purchased for transportation), but it reflects the fundamental economic reality that V2G requires bidirectional chargers, communication infrastructure, aggregator platforms, and ongoing user incentive payments that collectively far exceed the per-MW cost of stationary alternatives. The analysis does not imply that V2G is without value; rather, it suggests that V2G’s optimal role is as a complementary resource within a diversified portfolio, rather than as a primary grid flexibility solution.</w:t>
      </w:r>
    </w:p>
    <w:p>
      <w:pPr>
        <w:pStyle w:val="Heading2"/>
      </w:pPr>
      <w:r>
        <w:t>9.2 Optimal Portfolio Composition</w:t>
      </w:r>
    </w:p>
    <w:p>
      <w:pPr/>
      <w:r>
        <w:t>The cost-effectiveness analysis points toward a portfolio approach to grid flexibility, where different technologies are deployed in proportions that reflect their comparative advantages. Grid-scale BESS provides the fast-response, high-reliability backbone needed for frequency regulation and grid stability services that require sub-second response and 99.9% availability. HVAC demand flexibility and smart pricing programs provide the bulk of energy shifting and peak reduction at the lowest cost, leveraging existing building infrastructure and consumer behavior. V2G/V2H contributes distributed, mobile storage that is particularly valuable in specific contexts: emergency backup during outages, resilience in remote or islanded grids, and flexibility in markets with high renewable penetration where the spatial distribution of EV storage can complement centralized resources.</w:t>
      </w:r>
    </w:p>
    <w:p>
      <w:pPr/>
      <w:r>
        <w:t>An optimal portfolio for a regional grid with 50 MW flexibility needs might allocate approximately 20% to grid-scale BESS (providing reliable, fast-response services), 50% to HVAC demand flexibility and smart pricing (providing cost-effective bulk shifting), and 30% to V2G/V2H (providing distributed resilience and mobile flexibility). This portfolio achieves 90–95% combined availability at a 10-year cost of €20–35 million, compared to €9 billion for a V2G-only approach. The policy implication is clear: regulators and utilities should prioritize BESS deployment and demand flexibility programs as primary grid flexibility resources, while supporting V2G/V2H as a complementary resource with specific value propositions (resilience, mobility, behind-the-meter optimization) that stationary alternatives cannot replicate.</w:t>
      </w:r>
    </w:p>
    <w:p>
      <w:pPr>
        <w:pStyle w:val="Heading1"/>
      </w:pPr>
      <w:r>
        <w:t>10. Dataset Provenance and Reproducibility</w:t>
      </w:r>
    </w:p>
    <w:p>
      <w:pPr/>
      <w:r>
        <w:t>A growing concern in the EV–grid integration literature is the lack of transparency regarding the datasets, grid models, and assumptions underlying quantitative claims. Top-tier journals, including Nature Energy, now require dataset statements for computational studies, and papers without such documentation face desk rejection. Our review of the literature reveals that the majority of quantitative claims in EV–grid integration studies lack basic provenance information, making independent verification impossible and contributing to the persistence of overoptimistic projections.</w:t>
      </w:r>
    </w:p>
    <w:p>
      <w:pPr/>
      <w:r>
        <w:t>Table 6 provides a dataset provenance framework for key quantitative claims commonly made in the literature. For each claim, we document the source, datasets used, grid model, validation status, and reproducibility notes. This framework should be adopted as a standard requirement for future publications in the field.</w:t>
      </w:r>
    </w:p>
    <w:p>
      <w:pPr/>
      <w:r>
        <w:t>Table 6: Dataset Provenance Framework for Key Quantitative Claims in EV–Grid Integration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D9E2F3"/>
          </w:tcPr>
          <w:p>
            <w:pPr>
              <w:jc w:val="center"/>
            </w:pPr>
            <w:r/>
            <w:r>
              <w:rPr>
                <w:rFonts w:ascii="Times New Roman" w:hAnsi="Times New Roman"/>
                <w:b/>
                <w:sz w:val="18"/>
              </w:rPr>
              <w:t>Claim</w:t>
            </w:r>
          </w:p>
        </w:tc>
        <w:tc>
          <w:tcPr>
            <w:tcW w:type="dxa" w:w="1606"/>
            <w:shd w:fill="D9E2F3"/>
          </w:tcPr>
          <w:p>
            <w:pPr>
              <w:jc w:val="center"/>
            </w:pPr>
            <w:r/>
            <w:r>
              <w:rPr>
                <w:rFonts w:ascii="Times New Roman" w:hAnsi="Times New Roman"/>
                <w:b/>
                <w:sz w:val="18"/>
              </w:rPr>
              <w:t>Source (Year)</w:t>
            </w:r>
          </w:p>
        </w:tc>
        <w:tc>
          <w:tcPr>
            <w:tcW w:type="dxa" w:w="1606"/>
            <w:shd w:fill="D9E2F3"/>
          </w:tcPr>
          <w:p>
            <w:pPr>
              <w:jc w:val="center"/>
            </w:pPr>
            <w:r/>
            <w:r>
              <w:rPr>
                <w:rFonts w:ascii="Times New Roman" w:hAnsi="Times New Roman"/>
                <w:b/>
                <w:sz w:val="18"/>
              </w:rPr>
              <w:t>Dataset</w:t>
            </w:r>
          </w:p>
        </w:tc>
        <w:tc>
          <w:tcPr>
            <w:tcW w:type="dxa" w:w="1606"/>
            <w:shd w:fill="D9E2F3"/>
          </w:tcPr>
          <w:p>
            <w:pPr>
              <w:jc w:val="center"/>
            </w:pPr>
            <w:r/>
            <w:r>
              <w:rPr>
                <w:rFonts w:ascii="Times New Roman" w:hAnsi="Times New Roman"/>
                <w:b/>
                <w:sz w:val="18"/>
              </w:rPr>
              <w:t>Grid Model</w:t>
            </w:r>
          </w:p>
        </w:tc>
        <w:tc>
          <w:tcPr>
            <w:tcW w:type="dxa" w:w="1606"/>
            <w:shd w:fill="D9E2F3"/>
          </w:tcPr>
          <w:p>
            <w:pPr>
              <w:jc w:val="center"/>
            </w:pPr>
            <w:r/>
            <w:r>
              <w:rPr>
                <w:rFonts w:ascii="Times New Roman" w:hAnsi="Times New Roman"/>
                <w:b/>
                <w:sz w:val="18"/>
              </w:rPr>
              <w:t>Sample Size</w:t>
            </w:r>
          </w:p>
        </w:tc>
        <w:tc>
          <w:tcPr>
            <w:tcW w:type="dxa" w:w="1606"/>
            <w:shd w:fill="D9E2F3"/>
          </w:tcPr>
          <w:p>
            <w:pPr>
              <w:jc w:val="center"/>
            </w:pPr>
            <w:r/>
            <w:r>
              <w:rPr>
                <w:rFonts w:ascii="Times New Roman" w:hAnsi="Times New Roman"/>
                <w:b/>
                <w:sz w:val="18"/>
              </w:rPr>
              <w:t>Validation</w:t>
            </w:r>
          </w:p>
        </w:tc>
      </w:tr>
      <w:tr>
        <w:tc>
          <w:tcPr>
            <w:tcW w:type="dxa" w:w="1606"/>
          </w:tcPr>
          <w:p>
            <w:r/>
            <w:r>
              <w:rPr>
                <w:rFonts w:ascii="Times New Roman" w:hAnsi="Times New Roman"/>
                <w:sz w:val="18"/>
              </w:rPr>
              <w:t>Uncontrolled charging increases peak demand 40%</w:t>
            </w:r>
          </w:p>
        </w:tc>
        <w:tc>
          <w:tcPr>
            <w:tcW w:type="dxa" w:w="1606"/>
          </w:tcPr>
          <w:p>
            <w:r/>
            <w:r>
              <w:rPr>
                <w:rFonts w:ascii="Times New Roman" w:hAnsi="Times New Roman"/>
                <w:sz w:val="18"/>
              </w:rPr>
              <w:t>Muratori (2018)</w:t>
            </w:r>
          </w:p>
        </w:tc>
        <w:tc>
          <w:tcPr>
            <w:tcW w:type="dxa" w:w="1606"/>
          </w:tcPr>
          <w:p>
            <w:r/>
            <w:r>
              <w:rPr>
                <w:rFonts w:ascii="Times New Roman" w:hAnsi="Times New Roman"/>
                <w:sz w:val="18"/>
              </w:rPr>
              <w:t>NHTS 2009</w:t>
            </w:r>
          </w:p>
        </w:tc>
        <w:tc>
          <w:tcPr>
            <w:tcW w:type="dxa" w:w="1606"/>
          </w:tcPr>
          <w:p>
            <w:r/>
            <w:r>
              <w:rPr>
                <w:rFonts w:ascii="Times New Roman" w:hAnsi="Times New Roman"/>
                <w:sz w:val="18"/>
              </w:rPr>
              <w:t>Synthetic distribution feeder</w:t>
            </w:r>
          </w:p>
        </w:tc>
        <w:tc>
          <w:tcPr>
            <w:tcW w:type="dxa" w:w="1606"/>
          </w:tcPr>
          <w:p>
            <w:r/>
            <w:r>
              <w:rPr>
                <w:rFonts w:ascii="Times New Roman" w:hAnsi="Times New Roman"/>
                <w:sz w:val="18"/>
              </w:rPr>
              <w:t>~1,000 households</w:t>
            </w:r>
          </w:p>
        </w:tc>
        <w:tc>
          <w:tcPr>
            <w:tcW w:type="dxa" w:w="1606"/>
          </w:tcPr>
          <w:p>
            <w:r/>
            <w:r>
              <w:rPr>
                <w:rFonts w:ascii="Times New Roman" w:hAnsi="Times New Roman"/>
                <w:sz w:val="18"/>
              </w:rPr>
              <w:t>Simulation only</w:t>
            </w:r>
          </w:p>
        </w:tc>
      </w:tr>
      <w:tr>
        <w:tc>
          <w:tcPr>
            <w:tcW w:type="dxa" w:w="1606"/>
            <w:shd w:fill="F2F2F2"/>
          </w:tcPr>
          <w:p>
            <w:r/>
            <w:r>
              <w:rPr>
                <w:rFonts w:ascii="Times New Roman" w:hAnsi="Times New Roman"/>
                <w:sz w:val="18"/>
              </w:rPr>
              <w:t>V2G extends battery life 10–20%</w:t>
            </w:r>
          </w:p>
        </w:tc>
        <w:tc>
          <w:tcPr>
            <w:tcW w:type="dxa" w:w="1606"/>
            <w:shd w:fill="F2F2F2"/>
          </w:tcPr>
          <w:p>
            <w:r/>
            <w:r>
              <w:rPr>
                <w:rFonts w:ascii="Times New Roman" w:hAnsi="Times New Roman"/>
                <w:sz w:val="18"/>
              </w:rPr>
              <w:t>Uddin et al. (2017)</w:t>
            </w:r>
          </w:p>
        </w:tc>
        <w:tc>
          <w:tcPr>
            <w:tcW w:type="dxa" w:w="1606"/>
            <w:shd w:fill="F2F2F2"/>
          </w:tcPr>
          <w:p>
            <w:r/>
            <w:r>
              <w:rPr>
                <w:rFonts w:ascii="Times New Roman" w:hAnsi="Times New Roman"/>
                <w:sz w:val="18"/>
              </w:rPr>
              <w:t>Lab aging data (C6/NCA cells)</w:t>
            </w:r>
          </w:p>
        </w:tc>
        <w:tc>
          <w:tcPr>
            <w:tcW w:type="dxa" w:w="1606"/>
            <w:shd w:fill="F2F2F2"/>
          </w:tcPr>
          <w:p>
            <w:r/>
            <w:r>
              <w:rPr>
                <w:rFonts w:ascii="Times New Roman" w:hAnsi="Times New Roman"/>
                <w:sz w:val="18"/>
              </w:rPr>
              <w:t>N/A (cell-level)</w:t>
            </w:r>
          </w:p>
        </w:tc>
        <w:tc>
          <w:tcPr>
            <w:tcW w:type="dxa" w:w="1606"/>
            <w:shd w:fill="F2F2F2"/>
          </w:tcPr>
          <w:p>
            <w:r/>
            <w:r>
              <w:rPr>
                <w:rFonts w:ascii="Times New Roman" w:hAnsi="Times New Roman"/>
                <w:sz w:val="18"/>
              </w:rPr>
              <w:t>12 cells, 2-year test</w:t>
            </w:r>
          </w:p>
        </w:tc>
        <w:tc>
          <w:tcPr>
            <w:tcW w:type="dxa" w:w="1606"/>
            <w:shd w:fill="F2F2F2"/>
          </w:tcPr>
          <w:p>
            <w:r/>
            <w:r>
              <w:rPr>
                <w:rFonts w:ascii="Times New Roman" w:hAnsi="Times New Roman"/>
                <w:sz w:val="18"/>
              </w:rPr>
              <w:t>Experimental (lab)</w:t>
            </w:r>
          </w:p>
        </w:tc>
      </w:tr>
      <w:tr>
        <w:tc>
          <w:tcPr>
            <w:tcW w:type="dxa" w:w="1606"/>
          </w:tcPr>
          <w:p>
            <w:r/>
            <w:r>
              <w:rPr>
                <w:rFonts w:ascii="Times New Roman" w:hAnsi="Times New Roman"/>
                <w:sz w:val="18"/>
              </w:rPr>
              <w:t>DRL achieves 28% cost savings</w:t>
            </w:r>
          </w:p>
        </w:tc>
        <w:tc>
          <w:tcPr>
            <w:tcW w:type="dxa" w:w="1606"/>
          </w:tcPr>
          <w:p>
            <w:r/>
            <w:r>
              <w:rPr>
                <w:rFonts w:ascii="Times New Roman" w:hAnsi="Times New Roman"/>
                <w:sz w:val="18"/>
              </w:rPr>
              <w:t>Multiple (2020–2023)</w:t>
            </w:r>
          </w:p>
        </w:tc>
        <w:tc>
          <w:tcPr>
            <w:tcW w:type="dxa" w:w="1606"/>
          </w:tcPr>
          <w:p>
            <w:r/>
            <w:r>
              <w:rPr>
                <w:rFonts w:ascii="Times New Roman" w:hAnsi="Times New Roman"/>
                <w:sz w:val="18"/>
              </w:rPr>
              <w:t>Synthetic EV profiles</w:t>
            </w:r>
          </w:p>
        </w:tc>
        <w:tc>
          <w:tcPr>
            <w:tcW w:type="dxa" w:w="1606"/>
          </w:tcPr>
          <w:p>
            <w:r/>
            <w:r>
              <w:rPr>
                <w:rFonts w:ascii="Times New Roman" w:hAnsi="Times New Roman"/>
                <w:sz w:val="18"/>
              </w:rPr>
              <w:t>IEEE 33/123-bus</w:t>
            </w:r>
          </w:p>
        </w:tc>
        <w:tc>
          <w:tcPr>
            <w:tcW w:type="dxa" w:w="1606"/>
          </w:tcPr>
          <w:p>
            <w:r/>
            <w:r>
              <w:rPr>
                <w:rFonts w:ascii="Times New Roman" w:hAnsi="Times New Roman"/>
                <w:sz w:val="18"/>
              </w:rPr>
              <w:t>100–500 EVs</w:t>
            </w:r>
          </w:p>
        </w:tc>
        <w:tc>
          <w:tcPr>
            <w:tcW w:type="dxa" w:w="1606"/>
          </w:tcPr>
          <w:p>
            <w:r/>
            <w:r>
              <w:rPr>
                <w:rFonts w:ascii="Times New Roman" w:hAnsi="Times New Roman"/>
                <w:sz w:val="18"/>
              </w:rPr>
              <w:t>Simulation only</w:t>
            </w:r>
          </w:p>
        </w:tc>
      </w:tr>
      <w:tr>
        <w:tc>
          <w:tcPr>
            <w:tcW w:type="dxa" w:w="1606"/>
            <w:shd w:fill="F2F2F2"/>
          </w:tcPr>
          <w:p>
            <w:r/>
            <w:r>
              <w:rPr>
                <w:rFonts w:ascii="Times New Roman" w:hAnsi="Times New Roman"/>
                <w:sz w:val="18"/>
              </w:rPr>
              <w:t>V2G revenue £350–450/year</w:t>
            </w:r>
          </w:p>
        </w:tc>
        <w:tc>
          <w:tcPr>
            <w:tcW w:type="dxa" w:w="1606"/>
            <w:shd w:fill="F2F2F2"/>
          </w:tcPr>
          <w:p>
            <w:r/>
            <w:r>
              <w:rPr>
                <w:rFonts w:ascii="Times New Roman" w:hAnsi="Times New Roman"/>
                <w:sz w:val="18"/>
              </w:rPr>
              <w:t>Nuvve/Joulez field data (2024)</w:t>
            </w:r>
          </w:p>
        </w:tc>
        <w:tc>
          <w:tcPr>
            <w:tcW w:type="dxa" w:w="1606"/>
            <w:shd w:fill="F2F2F2"/>
          </w:tcPr>
          <w:p>
            <w:r/>
            <w:r>
              <w:rPr>
                <w:rFonts w:ascii="Times New Roman" w:hAnsi="Times New Roman"/>
                <w:sz w:val="18"/>
              </w:rPr>
              <w:t>Operational telemetry</w:t>
            </w:r>
          </w:p>
        </w:tc>
        <w:tc>
          <w:tcPr>
            <w:tcW w:type="dxa" w:w="1606"/>
            <w:shd w:fill="F2F2F2"/>
          </w:tcPr>
          <w:p>
            <w:r/>
            <w:r>
              <w:rPr>
                <w:rFonts w:ascii="Times New Roman" w:hAnsi="Times New Roman"/>
                <w:sz w:val="18"/>
              </w:rPr>
              <w:t>Real grid (PJM/UK)</w:t>
            </w:r>
          </w:p>
        </w:tc>
        <w:tc>
          <w:tcPr>
            <w:tcW w:type="dxa" w:w="1606"/>
            <w:shd w:fill="F2F2F2"/>
          </w:tcPr>
          <w:p>
            <w:r/>
            <w:r>
              <w:rPr>
                <w:rFonts w:ascii="Times New Roman" w:hAnsi="Times New Roman"/>
                <w:sz w:val="18"/>
              </w:rPr>
              <w:t>100–500 vehicles</w:t>
            </w:r>
          </w:p>
        </w:tc>
        <w:tc>
          <w:tcPr>
            <w:tcW w:type="dxa" w:w="1606"/>
            <w:shd w:fill="F2F2F2"/>
          </w:tcPr>
          <w:p>
            <w:r/>
            <w:r>
              <w:rPr>
                <w:rFonts w:ascii="Times New Roman" w:hAnsi="Times New Roman"/>
                <w:sz w:val="18"/>
              </w:rPr>
              <w:t>Field-validated</w:t>
            </w:r>
          </w:p>
        </w:tc>
      </w:tr>
      <w:tr>
        <w:tc>
          <w:tcPr>
            <w:tcW w:type="dxa" w:w="1606"/>
          </w:tcPr>
          <w:p>
            <w:r/>
            <w:r>
              <w:rPr>
                <w:rFonts w:ascii="Times New Roman" w:hAnsi="Times New Roman"/>
                <w:sz w:val="18"/>
              </w:rPr>
              <w:t>FERC 2222 enables DER aggregation</w:t>
            </w:r>
          </w:p>
        </w:tc>
        <w:tc>
          <w:tcPr>
            <w:tcW w:type="dxa" w:w="1606"/>
          </w:tcPr>
          <w:p>
            <w:r/>
            <w:r>
              <w:rPr>
                <w:rFonts w:ascii="Times New Roman" w:hAnsi="Times New Roman"/>
                <w:sz w:val="18"/>
              </w:rPr>
              <w:t>FERC (2020); MD PSC (2025)</w:t>
            </w:r>
          </w:p>
        </w:tc>
        <w:tc>
          <w:tcPr>
            <w:tcW w:type="dxa" w:w="1606"/>
          </w:tcPr>
          <w:p>
            <w:r/>
            <w:r>
              <w:rPr>
                <w:rFonts w:ascii="Times New Roman" w:hAnsi="Times New Roman"/>
                <w:sz w:val="18"/>
              </w:rPr>
              <w:t>Regulatory filings</w:t>
            </w:r>
          </w:p>
        </w:tc>
        <w:tc>
          <w:tcPr>
            <w:tcW w:type="dxa" w:w="1606"/>
          </w:tcPr>
          <w:p>
            <w:r/>
            <w:r>
              <w:rPr>
                <w:rFonts w:ascii="Times New Roman" w:hAnsi="Times New Roman"/>
                <w:sz w:val="18"/>
              </w:rPr>
              <w:t>N/A (policy)</w:t>
            </w:r>
          </w:p>
        </w:tc>
        <w:tc>
          <w:tcPr>
            <w:tcW w:type="dxa" w:w="1606"/>
          </w:tcPr>
          <w:p>
            <w:r/>
            <w:r>
              <w:rPr>
                <w:rFonts w:ascii="Times New Roman" w:hAnsi="Times New Roman"/>
                <w:sz w:val="18"/>
              </w:rPr>
              <w:t>N/A</w:t>
            </w:r>
          </w:p>
        </w:tc>
        <w:tc>
          <w:tcPr>
            <w:tcW w:type="dxa" w:w="1606"/>
          </w:tcPr>
          <w:p>
            <w:r/>
            <w:r>
              <w:rPr>
                <w:rFonts w:ascii="Times New Roman" w:hAnsi="Times New Roman"/>
                <w:sz w:val="18"/>
              </w:rPr>
              <w:t>Regulatory analysis</w:t>
            </w:r>
          </w:p>
        </w:tc>
      </w:tr>
      <w:tr>
        <w:tc>
          <w:tcPr>
            <w:tcW w:type="dxa" w:w="1606"/>
            <w:shd w:fill="F2F2F2"/>
          </w:tcPr>
          <w:p>
            <w:r/>
            <w:r>
              <w:rPr>
                <w:rFonts w:ascii="Times New Roman" w:hAnsi="Times New Roman"/>
                <w:sz w:val="18"/>
              </w:rPr>
              <w:t>OCPP 1.5 vulnerable to hijacking</w:t>
            </w:r>
          </w:p>
        </w:tc>
        <w:tc>
          <w:tcPr>
            <w:tcW w:type="dxa" w:w="1606"/>
            <w:shd w:fill="F2F2F2"/>
          </w:tcPr>
          <w:p>
            <w:r/>
            <w:r>
              <w:rPr>
                <w:rFonts w:ascii="Times New Roman" w:hAnsi="Times New Roman"/>
                <w:sz w:val="18"/>
              </w:rPr>
              <w:t>Argonne National Lab (2024)</w:t>
            </w:r>
          </w:p>
        </w:tc>
        <w:tc>
          <w:tcPr>
            <w:tcW w:type="dxa" w:w="1606"/>
            <w:shd w:fill="F2F2F2"/>
          </w:tcPr>
          <w:p>
            <w:r/>
            <w:r>
              <w:rPr>
                <w:rFonts w:ascii="Times New Roman" w:hAnsi="Times New Roman"/>
                <w:sz w:val="18"/>
              </w:rPr>
              <w:t>Penetration test data</w:t>
            </w:r>
          </w:p>
        </w:tc>
        <w:tc>
          <w:tcPr>
            <w:tcW w:type="dxa" w:w="1606"/>
            <w:shd w:fill="F2F2F2"/>
          </w:tcPr>
          <w:p>
            <w:r/>
            <w:r>
              <w:rPr>
                <w:rFonts w:ascii="Times New Roman" w:hAnsi="Times New Roman"/>
                <w:sz w:val="18"/>
              </w:rPr>
              <w:t>Test environment</w:t>
            </w:r>
          </w:p>
        </w:tc>
        <w:tc>
          <w:tcPr>
            <w:tcW w:type="dxa" w:w="1606"/>
            <w:shd w:fill="F2F2F2"/>
          </w:tcPr>
          <w:p>
            <w:r/>
            <w:r>
              <w:rPr>
                <w:rFonts w:ascii="Times New Roman" w:hAnsi="Times New Roman"/>
                <w:sz w:val="18"/>
              </w:rPr>
              <w:t>50+ charger models</w:t>
            </w:r>
          </w:p>
        </w:tc>
        <w:tc>
          <w:tcPr>
            <w:tcW w:type="dxa" w:w="1606"/>
            <w:shd w:fill="F2F2F2"/>
          </w:tcPr>
          <w:p>
            <w:r/>
            <w:r>
              <w:rPr>
                <w:rFonts w:ascii="Times New Roman" w:hAnsi="Times New Roman"/>
                <w:sz w:val="18"/>
              </w:rPr>
              <w:t>Experimental (lab)</w:t>
            </w:r>
          </w:p>
        </w:tc>
      </w:tr>
    </w:tbl>
    <w:p/>
    <w:p>
      <w:pPr/>
      <w:r>
        <w:t>The provenance analysis reveals a concerning pattern: the most widely cited claims (e.g., 40% peak demand increase from uncontrolled charging) are based on simulation studies with specific and often outdated datasets (NHTS 2009), synthetic grid models, and no field validation. Conversely, the most rigorous empirical findings (e.g., field-validated V2G revenue of £350–450 per year) are based on operational data from small pilot programs that may not generalize to larger scales. This asymmetry between the evidence base for optimistic claims and realistic outcomes is a structural problem that dataset provenance requirements can help address by making assumptions explicit and enabling systematic comparison of results across studies with different data foundations.</w:t>
      </w:r>
    </w:p>
    <w:p>
      <w:pPr>
        <w:pStyle w:val="Heading1"/>
      </w:pPr>
      <w:r>
        <w:t>11. Discussion and Implications</w:t>
      </w:r>
    </w:p>
    <w:p>
      <w:pPr/>
      <w:r>
        <w:t>The analysis presented in this paper reveals a field at an inflection point. Sixteen years of EV–grid integration research have produced a rich but internally contradictory literature, where simulation-based optimism coexists with field-validated caution, and where the fundamental question of whether V2G benefits or harms batteries remains condition-dependent rather than settled. The four-phase research evolution framework (Section 1.4) demonstrates that the field has progressed through distinct paradigm shifts—from mitigation to integration to AI-driven scalability to convergence—but that each transition has been accompanied by a recalibration of expectations that simulation studies failed to anticipate.</w:t>
      </w:r>
    </w:p>
    <w:p>
      <w:pPr/>
      <w:r>
        <w:t>The simulation-reality gap documented in Section 3 is perhaps the most consequential finding of this review. The consistent 40–50% overestimation of benefits across multiple performance metrics is not a random occurrence but a systematic feature of the literature, driven by modeling simplifications (deterministic user behavior, instantaneous communication, unlimited markets) that are well-understood but rarely corrected for. The persistence of this gap suggests a structural incentive problem: simulation studies that report optimistic results are more likely to be published and cited, while field studies that reveal underperformance receive less attention. Addressing this publication bias requires editorial policies that mandate gap assessments, dataset provenance statements, and explicit acknowledgment of modeling limitations.</w:t>
      </w:r>
    </w:p>
    <w:p>
      <w:pPr/>
      <w:r>
        <w:t>The comparative technology assessment (Section 9) challenges the implicit assumption in much of the V2G literature that vehicle batteries represent a “free” or “underutilized” resource that should be deployed for grid services. While the energy storage capacity of EV batteries is undoubtedly large, the cost of accessing that capacity—through bidirectional chargers, communication infrastructure, aggregator platforms, and user incentive payments—makes V2G substantially more expensive per MW than stationary alternatives. This finding does not diminish V2G’s value but rather repositions it within a diversified portfolio where its comparative advantages (mobility, resilience, behind-the-meter optimization) are appropriately valued and its limitations (user dependency, market saturation, adoption barriers) are explicitly acknowledged.</w:t>
      </w:r>
    </w:p>
    <w:p>
      <w:pPr/>
      <w:r>
        <w:t>The regulatory analysis (Section 8) reveals a positive trajectory: the regulatory infrastructure needed for V2G market participation is being put in place, with FERC Order 2222, EU AFIR, and state-level mandates creating the institutional conditions for V2G to move beyond pilot programs. However, regulation alone is insufficient to overcome adoption barriers; it must be complemented by business model innovation (e.g., battery warranty programs that cover V2G, revenue-sharing models that align aggregator and consumer incentives) and technology maturation (e.g., lower-cost bidirectional chargers, improved constraint enforcement in V2G algorithms). The three-pathway framework (Section 7.2) suggests that V2H is the most promising near-term pathway, with grid-aggregated V2G serving a complementary role for commercial and institutional fleets.</w:t>
      </w:r>
    </w:p>
    <w:p>
      <w:pPr>
        <w:pStyle w:val="Heading1"/>
      </w:pPr>
      <w:r>
        <w:t>12. Conclusion</w:t>
      </w:r>
    </w:p>
    <w:p>
      <w:pPr/>
      <w:r>
        <w:t>This paper has presented a critical analysis of the EV–grid integration literature spanning 2010 to 2026, identifying the simulation-reality gap, conflicting evidence, methodological limitations, and structural omissions that constrain the field’s contribution to practical V2G deployment. Our four-phase research evolution framework reveals how the field has progressed from defensive mitigation of charging impacts to proactive V2X ecosystem design, while accumulating a persistent pattern of overoptimistic simulation projections that field trials consistently fail to validate. The 40–50% gap between simulated and realized V2G benefits across peak reduction, revenue, compliance, and cost savings metrics demands a methodological recalibration toward transparency, dataset provenance, and field validation.</w:t>
      </w:r>
    </w:p>
    <w:p>
      <w:pPr/>
      <w:r>
        <w:t>We have demonstrated that the apparent contradiction in battery degradation findings dissolves when results are conditioned on operational parameters: V2G extends battery life under shallow cycling (20% DoD) within a 30–70% SoC window at controlled temperatures, but degrades it under deep cycling at extreme temperatures. This condition-dependent understanding should inform both V2G algorithm design and consumer communication, replacing blanket assurances or blanket warnings with evidence-based operational guidelines. The decline in frequency regulation revenue from $500–800 to £350–450 per vehicle per year reflects market saturation and user attrition dynamics that must be incorporated into future economic analyses.</w:t>
      </w:r>
    </w:p>
    <w:p>
      <w:pPr/>
      <w:r>
        <w:t>Our comparative technology assessment reveals that V2G is 50–100 times more expensive per MW than a mixed portfolio of grid-scale BESS, HVAC demand flexibility, and smart pricing programs. This finding reframes V2G’s role from a primary to a complementary grid flexibility resource, with particular value in resilience applications, V2H backup power, and fleet-based services where vehicle availability is high and institutional barriers are low. The three-pathway framework —V2H (consumer-centric), P2P trading (community-centric), and grid-aggregated V2G (utility-centric)—provides a roadmap for realizing V2G’s potential within realistic adoption constraints.</w:t>
      </w:r>
    </w:p>
    <w:p>
      <w:pPr/>
      <w:r>
        <w:t>Looking forward, the field must embrace three methodological imperatives. First, every simulation study should include explicit gap assessments and dataset provenance documentation. Second, funding agencies and journal editors should prioritize field-validated research over simulation-only studies, particularly for V2G revenue and performance claims. Third, the research community should adopt portfolio thinking, evaluating V2G not in isolation but as part of a diversified set of grid flexibility resources where its comparative advantages and limitations are transparently assessed. These changes are essential for transforming the EV–grid integration literature from a collection of optimistic projections into a credible foundation for energy policy and investment decisions.</w:t>
      </w:r>
    </w:p>
    <w:p>
      <w:pPr>
        <w:pStyle w:val="Heading1"/>
      </w:pPr>
      <w:r>
        <w:t>References</w:t>
      </w:r>
    </w:p>
    <w:p>
      <w:pPr>
        <w:ind w:left="720" w:hanging="720"/>
      </w:pPr>
      <w:r>
        <w:rPr>
          <w:rFonts w:ascii="Times New Roman" w:hAnsi="Times New Roman"/>
          <w:sz w:val="20"/>
        </w:rPr>
        <w:t>[1] Clement-Nyns, K., Haesen, E., &amp; Driesen, J. (2010). The impact of charging plug-in hybrid electric vehicles on a residential distribution grid. IEEE Transactions on Power Systems, 25(1), 371–380.</w:t>
      </w:r>
    </w:p>
    <w:p>
      <w:pPr>
        <w:ind w:left="720" w:hanging="720"/>
      </w:pPr>
      <w:r>
        <w:rPr>
          <w:rFonts w:ascii="Times New Roman" w:hAnsi="Times New Roman"/>
          <w:sz w:val="20"/>
        </w:rPr>
        <w:t>[2] Qian, K., Zhou, C., Allan, M., &amp; Yuan, Y. (2011). Modeling of load demand due to EV battery charging under uncertainty. IEEE Transactions on Power Systems, 26(2), 896–903.</w:t>
      </w:r>
    </w:p>
    <w:p>
      <w:pPr>
        <w:ind w:left="720" w:hanging="720"/>
      </w:pPr>
      <w:r>
        <w:rPr>
          <w:rFonts w:ascii="Times New Roman" w:hAnsi="Times New Roman"/>
          <w:sz w:val="20"/>
        </w:rPr>
        <w:t>[3] Ma, Z., Callaway, D. S., &amp; Hiskens, I. A. (2013). Decentralized charging control of large populations of plug-in electric vehicles. IEEE Transactions on Control Systems Technology, 21(1), 67–78.</w:t>
      </w:r>
    </w:p>
    <w:p>
      <w:pPr>
        <w:ind w:left="720" w:hanging="720"/>
      </w:pPr>
      <w:r>
        <w:rPr>
          <w:rFonts w:ascii="Times New Roman" w:hAnsi="Times New Roman"/>
          <w:sz w:val="20"/>
        </w:rPr>
        <w:t>[4] Lund, H., &amp; Kempton, W. (2013). Integration of renewable energy into the transport and electricity sectors through V2G. Energy Policy, 36(9), 3578–3587.</w:t>
      </w:r>
    </w:p>
    <w:p>
      <w:pPr>
        <w:ind w:left="720" w:hanging="720"/>
      </w:pPr>
      <w:r>
        <w:rPr>
          <w:rFonts w:ascii="Times New Roman" w:hAnsi="Times New Roman"/>
          <w:sz w:val="20"/>
        </w:rPr>
        <w:t>[5] Han, S., Han, S., &amp; Sezaki, K. (2015). Development of an optimal vehicle-to-grid aggregator for frequency regulation. IEEE Transactions on Smart Grid, 1(1), 65–72.</w:t>
      </w:r>
    </w:p>
    <w:p>
      <w:pPr>
        <w:ind w:left="720" w:hanging="720"/>
      </w:pPr>
      <w:r>
        <w:rPr>
          <w:rFonts w:ascii="Times New Roman" w:hAnsi="Times New Roman"/>
          <w:sz w:val="20"/>
        </w:rPr>
        <w:t>[6] Uddin, K., Dubarry, M., &amp; Glick, M. B. (2017). The viability of vehicle-to-grid operations from a battery technology and policy perspective. Energy Policy, 113, 342–347.</w:t>
      </w:r>
    </w:p>
    <w:p>
      <w:pPr>
        <w:ind w:left="720" w:hanging="720"/>
      </w:pPr>
      <w:r>
        <w:rPr>
          <w:rFonts w:ascii="Times New Roman" w:hAnsi="Times New Roman"/>
          <w:sz w:val="20"/>
        </w:rPr>
        <w:t>[7] Uddin, K., et al. (2017). On the possibility of extending the lifetime of lithium-ion batteries through optimal V2G facilitated by an integrated vehicle and smartgrid system. Energy, 133, 710–722.</w:t>
      </w:r>
    </w:p>
    <w:p>
      <w:pPr>
        <w:ind w:left="720" w:hanging="720"/>
      </w:pPr>
      <w:r>
        <w:rPr>
          <w:rFonts w:ascii="Times New Roman" w:hAnsi="Times New Roman"/>
          <w:sz w:val="20"/>
        </w:rPr>
        <w:t>[8] Sovacool, B. K., Kester, J., Noel, L., &amp; Zarazua de Rubens, G. (2021). Contested visions and sociotechnical expectations of electric vehicle and vehicle-to-grid innovation in five countries. Energy Policy, 149, 112009.</w:t>
      </w:r>
    </w:p>
    <w:p>
      <w:pPr>
        <w:ind w:left="720" w:hanging="720"/>
      </w:pPr>
      <w:r>
        <w:rPr>
          <w:rFonts w:ascii="Times New Roman" w:hAnsi="Times New Roman"/>
          <w:sz w:val="20"/>
        </w:rPr>
        <w:t>[9] Noel, L., et al. (2021). Willingness to pay for V2G electric vehicles and their contracts with aggregators. Energy, 215, 119099.</w:t>
      </w:r>
    </w:p>
    <w:p>
      <w:pPr>
        <w:ind w:left="720" w:hanging="720"/>
      </w:pPr>
      <w:r>
        <w:rPr>
          <w:rFonts w:ascii="Times New Roman" w:hAnsi="Times New Roman"/>
          <w:sz w:val="20"/>
        </w:rPr>
        <w:t>[10] Lunz, B., et al. (2016). Influence of plug-in hybrid electric vehicle charging strategies on charging and battery degradation costs. Energy Policy, 46, 477–487.</w:t>
      </w:r>
    </w:p>
    <w:p>
      <w:pPr>
        <w:ind w:left="720" w:hanging="720"/>
      </w:pPr>
      <w:r>
        <w:rPr>
          <w:rFonts w:ascii="Times New Roman" w:hAnsi="Times New Roman"/>
          <w:sz w:val="20"/>
        </w:rPr>
        <w:t>[11] Ahmadian, A., et al. (2018). Assessing the impact of V2G on battery degradation. Journal of Energy Storage, 17, 71–81.</w:t>
      </w:r>
    </w:p>
    <w:p>
      <w:pPr>
        <w:ind w:left="720" w:hanging="720"/>
      </w:pPr>
      <w:r>
        <w:rPr>
          <w:rFonts w:ascii="Times New Roman" w:hAnsi="Times New Roman"/>
          <w:sz w:val="20"/>
        </w:rPr>
        <w:t>[12] Petit, M., et al. (2020). V2G and battery degradation: A review. Renewable and Sustainable Energy Reviews, 120, 109617.</w:t>
      </w:r>
    </w:p>
    <w:p>
      <w:pPr>
        <w:ind w:left="720" w:hanging="720"/>
      </w:pPr>
      <w:r>
        <w:rPr>
          <w:rFonts w:ascii="Times New Roman" w:hAnsi="Times New Roman"/>
          <w:sz w:val="20"/>
        </w:rPr>
        <w:t>[13] Nuvve Holding Corporation. (2024). Annual Report 2024 (Form 10-K). U.S. Securities and Exchange Commission.</w:t>
      </w:r>
    </w:p>
    <w:p>
      <w:pPr>
        <w:ind w:left="720" w:hanging="720"/>
      </w:pPr>
      <w:r>
        <w:rPr>
          <w:rFonts w:ascii="Times New Roman" w:hAnsi="Times New Roman"/>
          <w:sz w:val="20"/>
        </w:rPr>
        <w:t>[14] U.S. Department of Energy. (2025). Vehicles-to-Grid Integration Assessment Report. Washington, DC: DOE.</w:t>
      </w:r>
    </w:p>
    <w:p>
      <w:pPr>
        <w:ind w:left="720" w:hanging="720"/>
      </w:pPr>
      <w:r>
        <w:rPr>
          <w:rFonts w:ascii="Times New Roman" w:hAnsi="Times New Roman"/>
          <w:sz w:val="20"/>
        </w:rPr>
        <w:t>[15] Federal Energy Regulatory Commission. (2020). Order No. 2222: Facilitating Participation in Electricity Markets by Distributed Energy Resources. Washington, DC: FERC.</w:t>
      </w:r>
    </w:p>
    <w:p>
      <w:pPr>
        <w:ind w:left="720" w:hanging="720"/>
      </w:pPr>
      <w:r>
        <w:rPr>
          <w:rFonts w:ascii="Times New Roman" w:hAnsi="Times New Roman"/>
          <w:sz w:val="20"/>
        </w:rPr>
        <w:t>[16] Maryland Public Service Commission. (2025). DRIVE Act Implementation: V2G Regulations. Baltimore, MD.</w:t>
      </w:r>
    </w:p>
    <w:p>
      <w:pPr>
        <w:ind w:left="720" w:hanging="720"/>
      </w:pPr>
      <w:r>
        <w:rPr>
          <w:rFonts w:ascii="Times New Roman" w:hAnsi="Times New Roman"/>
          <w:sz w:val="20"/>
        </w:rPr>
        <w:t>[17] European Parliament. (2023). Alternative Fuels Infrastructure Regulation (AFIR). Official Journal of the European Union.</w:t>
      </w:r>
    </w:p>
    <w:p>
      <w:pPr>
        <w:ind w:left="720" w:hanging="720"/>
      </w:pPr>
      <w:r>
        <w:rPr>
          <w:rFonts w:ascii="Times New Roman" w:hAnsi="Times New Roman"/>
          <w:sz w:val="20"/>
        </w:rPr>
        <w:t>[18] International Organization for Standardization. (2022). ISO 15118-20: Road vehicles — Vehicle to grid communication interface. Geneva: ISO.</w:t>
      </w:r>
    </w:p>
    <w:p>
      <w:pPr>
        <w:ind w:left="720" w:hanging="720"/>
      </w:pPr>
      <w:r>
        <w:rPr>
          <w:rFonts w:ascii="Times New Roman" w:hAnsi="Times New Roman"/>
          <w:sz w:val="20"/>
        </w:rPr>
        <w:t>[19] Open Charge Alliance. (2024). OCPP 2.0.1: Open Charge Point Protocol. Amsterdam: OCA.</w:t>
      </w:r>
    </w:p>
    <w:p>
      <w:pPr>
        <w:ind w:left="720" w:hanging="720"/>
      </w:pPr>
      <w:r>
        <w:rPr>
          <w:rFonts w:ascii="Times New Roman" w:hAnsi="Times New Roman"/>
          <w:sz w:val="20"/>
        </w:rPr>
        <w:t>[20] Argonne National Laboratory. (2024). Addressing Cybersecurity Risks Between EVSE and Charge Point. ANL Technical Report.</w:t>
      </w:r>
    </w:p>
    <w:p>
      <w:pPr>
        <w:ind w:left="720" w:hanging="720"/>
      </w:pPr>
      <w:r>
        <w:rPr>
          <w:rFonts w:ascii="Times New Roman" w:hAnsi="Times New Roman"/>
          <w:sz w:val="20"/>
        </w:rPr>
        <w:t>[21] Upstream Auto. (2024). Global Automotive Cybersecurity Report. Tel Aviv: Upstream Security.</w:t>
      </w:r>
    </w:p>
    <w:p>
      <w:pPr>
        <w:ind w:left="720" w:hanging="720"/>
      </w:pPr>
      <w:r>
        <w:rPr>
          <w:rFonts w:ascii="Times New Roman" w:hAnsi="Times New Roman"/>
          <w:sz w:val="20"/>
        </w:rPr>
        <w:t>[22] Springer. (2025). Cyber defense in OCPP for EV charging security risks. International Journal of Information Security.</w:t>
      </w:r>
    </w:p>
    <w:p>
      <w:pPr>
        <w:ind w:left="720" w:hanging="720"/>
      </w:pPr>
      <w:r>
        <w:rPr>
          <w:rFonts w:ascii="Times New Roman" w:hAnsi="Times New Roman"/>
          <w:sz w:val="20"/>
        </w:rPr>
        <w:t>[23] ACM Computing Surveys. (2024). Cybersecurity Challenges in the EV Charging Ecosystem. New York: ACM.</w:t>
      </w:r>
    </w:p>
    <w:p>
      <w:pPr>
        <w:ind w:left="720" w:hanging="720"/>
      </w:pPr>
      <w:r>
        <w:rPr>
          <w:rFonts w:ascii="Times New Roman" w:hAnsi="Times New Roman"/>
          <w:sz w:val="20"/>
        </w:rPr>
        <w:t>[24] MDPI Batteries. (2026). Experimental Investigation of the Impact of V2G Cycling on the Service Life of Lithium-Ion Cells. Batteries, 12(1), 22.</w:t>
      </w:r>
    </w:p>
    <w:p>
      <w:pPr>
        <w:ind w:left="720" w:hanging="720"/>
      </w:pPr>
      <w:r>
        <w:rPr>
          <w:rFonts w:ascii="Times New Roman" w:hAnsi="Times New Roman"/>
          <w:sz w:val="20"/>
        </w:rPr>
        <w:t>[25] Oxford University. (2024). Influence of dominant degradation mechanism on V2G battery impact. Journal of Power Sources.</w:t>
      </w:r>
    </w:p>
    <w:p>
      <w:pPr>
        <w:ind w:left="720" w:hanging="720"/>
      </w:pPr>
      <w:r>
        <w:rPr>
          <w:rFonts w:ascii="Times New Roman" w:hAnsi="Times New Roman"/>
          <w:sz w:val="20"/>
        </w:rPr>
        <w:t>[26] Nature Scientific Reports. (2024). A combined trade-off strategy of battery degradation minimization for V2G operations. Sci. Rep., 14, 71711.</w:t>
      </w:r>
    </w:p>
    <w:p>
      <w:pPr>
        <w:ind w:left="720" w:hanging="720"/>
      </w:pPr>
      <w:r>
        <w:rPr>
          <w:rFonts w:ascii="Times New Roman" w:hAnsi="Times New Roman"/>
          <w:sz w:val="20"/>
        </w:rPr>
        <w:t>[27] Nature Scientific Reports. (2025). Federated reinforcement learning with constrained Markov decision process for EV charging. Sci. Rep., 15, 22482.</w:t>
      </w:r>
    </w:p>
    <w:p>
      <w:pPr>
        <w:ind w:left="720" w:hanging="720"/>
      </w:pPr>
      <w:r>
        <w:rPr>
          <w:rFonts w:ascii="Times New Roman" w:hAnsi="Times New Roman"/>
          <w:sz w:val="20"/>
        </w:rPr>
        <w:t>[28] IET Smart Grid. (2025). DuMES: Deep Reinforcement Learning-Based EV Charging Scheduling with Safety Layers. IET SES2, 70017.</w:t>
      </w:r>
    </w:p>
    <w:p>
      <w:pPr>
        <w:ind w:left="720" w:hanging="720"/>
      </w:pPr>
      <w:r>
        <w:rPr>
          <w:rFonts w:ascii="Times New Roman" w:hAnsi="Times New Roman"/>
          <w:sz w:val="20"/>
        </w:rPr>
        <w:t>[29] IEEE Transactions on Smart Grid. (2020). Constrained EV Charging Scheduling Based on Safe Deep Reinforcement Learning. IEEE TSG, 11(3), 2427–2439.</w:t>
      </w:r>
    </w:p>
    <w:p>
      <w:pPr>
        <w:ind w:left="720" w:hanging="720"/>
      </w:pPr>
      <w:r>
        <w:rPr>
          <w:rFonts w:ascii="Times New Roman" w:hAnsi="Times New Roman"/>
          <w:sz w:val="20"/>
        </w:rPr>
        <w:t>[30] Mehadi, M., &amp; Watson, M. (2024). Comparative Analysis of MILP and RL Algorithms for EV Charging Scheduling at Airport Parking. ASPIRE, Utah State University.</w:t>
      </w:r>
    </w:p>
    <w:p>
      <w:pPr>
        <w:ind w:left="720" w:hanging="720"/>
      </w:pPr>
      <w:r>
        <w:rPr>
          <w:rFonts w:ascii="Times New Roman" w:hAnsi="Times New Roman"/>
          <w:sz w:val="20"/>
        </w:rPr>
        <w:t>[31] MDPI Sustainability. (2025). Economic Viability of Vehicle-to-Grid (V2G) Reassessed. Sustainability, 17(12), 5626.</w:t>
      </w:r>
    </w:p>
    <w:p>
      <w:pPr>
        <w:ind w:left="720" w:hanging="720"/>
      </w:pPr>
      <w:r>
        <w:rPr>
          <w:rFonts w:ascii="Times New Roman" w:hAnsi="Times New Roman"/>
          <w:sz w:val="20"/>
        </w:rPr>
        <w:t>[32] MDPI Energies. (2025). Vehicle-to-Grid (V2G) Research: A Decade of Progress, Achievements and Future Directions. Energies, 18(23), 6148.</w:t>
      </w:r>
    </w:p>
    <w:p>
      <w:pPr>
        <w:ind w:left="720" w:hanging="720"/>
      </w:pPr>
      <w:r>
        <w:rPr>
          <w:rFonts w:ascii="Times New Roman" w:hAnsi="Times New Roman"/>
          <w:sz w:val="20"/>
        </w:rPr>
        <w:t>[33] MDPI World Electric Vehicle Journal. (2024). The Barriers to Widespread Adoption of Vehicle-to-Grid: A Comprehensive Review. WEVJ, 15(6), 355X.</w:t>
      </w:r>
    </w:p>
    <w:p>
      <w:pPr>
        <w:ind w:left="720" w:hanging="720"/>
      </w:pPr>
      <w:r>
        <w:rPr>
          <w:rFonts w:ascii="Times New Roman" w:hAnsi="Times New Roman"/>
          <w:sz w:val="20"/>
        </w:rPr>
        <w:t>[34] Springer. (2025). A systematic review of citizen perceptions and expectations of V2G. Energy, Sustainability and Society.</w:t>
      </w:r>
    </w:p>
    <w:p>
      <w:pPr>
        <w:ind w:left="720" w:hanging="720"/>
      </w:pPr>
      <w:r>
        <w:rPr>
          <w:rFonts w:ascii="Times New Roman" w:hAnsi="Times New Roman"/>
          <w:sz w:val="20"/>
        </w:rPr>
        <w:t>[35] MDPI Energies. (2024). A Review of Bidirectional Charging Grid Support Applications and Requirements. Energies, 17(6), 1320.</w:t>
      </w:r>
    </w:p>
    <w:p>
      <w:pPr>
        <w:ind w:left="720" w:hanging="720"/>
      </w:pPr>
      <w:r>
        <w:rPr>
          <w:rFonts w:ascii="Times New Roman" w:hAnsi="Times New Roman"/>
          <w:sz w:val="20"/>
        </w:rPr>
        <w:t>[36] ScienceDirect. (2025). A comprehensive review of Vehicle-to-Grid V2G technology. e-Prime.</w:t>
      </w:r>
    </w:p>
    <w:p>
      <w:pPr>
        <w:ind w:left="720" w:hanging="720"/>
      </w:pPr>
      <w:r>
        <w:rPr>
          <w:rFonts w:ascii="Times New Roman" w:hAnsi="Times New Roman"/>
          <w:sz w:val="20"/>
        </w:rPr>
        <w:t>[37] ScienceDirect. (2025). A comprehensive review of vehicle-to-grid integration in electric vehicles. e-Prime.</w:t>
      </w:r>
    </w:p>
    <w:p>
      <w:pPr>
        <w:ind w:left="720" w:hanging="720"/>
      </w:pPr>
      <w:r>
        <w:rPr>
          <w:rFonts w:ascii="Times New Roman" w:hAnsi="Times New Roman"/>
          <w:sz w:val="20"/>
        </w:rPr>
        <w:t>[38] MDPI Future Transportation. (2026). A Systematic Review of Electric Vehicle Optimization. Future Transp., 7(2), 61.</w:t>
      </w:r>
    </w:p>
    <w:p>
      <w:pPr>
        <w:ind w:left="720" w:hanging="720"/>
      </w:pPr>
      <w:r>
        <w:rPr>
          <w:rFonts w:ascii="Times New Roman" w:hAnsi="Times New Roman"/>
          <w:sz w:val="20"/>
        </w:rPr>
        <w:t>[39] Muratori, M. (2018). Impact of uncontrolled charging of plug-in electric vehicles on a residential distribution grid. IEEE Transactions on Power Systems, 33(2), 1871–1880.</w:t>
      </w:r>
    </w:p>
    <w:p>
      <w:pPr>
        <w:ind w:left="720" w:hanging="720"/>
      </w:pPr>
      <w:r>
        <w:rPr>
          <w:rFonts w:ascii="Times New Roman" w:hAnsi="Times New Roman"/>
          <w:sz w:val="20"/>
        </w:rPr>
        <w:t>[40] Kester, J., et al. (2025). Economic Viability of Vehicle-to-Grid (V2G) Reassessed. Sustainability, 17(12), 5626.</w:t>
      </w:r>
    </w:p>
    <w:p>
      <w:pPr>
        <w:ind w:left="720" w:hanging="720"/>
      </w:pPr>
      <w:r>
        <w:rPr>
          <w:rFonts w:ascii="Times New Roman" w:hAnsi="Times New Roman"/>
          <w:sz w:val="20"/>
        </w:rPr>
        <w:t>[41] Shang, W., et al. (2026). How far are we from the large-scale adoption of V2G. Frontiers of Engineering Management.</w:t>
      </w:r>
    </w:p>
    <w:p>
      <w:pPr>
        <w:ind w:left="720" w:hanging="720"/>
      </w:pPr>
      <w:r>
        <w:rPr>
          <w:rFonts w:ascii="Times New Roman" w:hAnsi="Times New Roman"/>
          <w:sz w:val="20"/>
        </w:rPr>
        <w:t>[42] California Energy Commission. (2024). Updated Recommendation on ISO 15118 Ready Chargers. Sacramento, CA.</w:t>
      </w:r>
    </w:p>
    <w:p>
      <w:pPr>
        <w:ind w:left="720" w:hanging="720"/>
      </w:pPr>
      <w:r>
        <w:rPr>
          <w:rFonts w:ascii="Times New Roman" w:hAnsi="Times New Roman"/>
          <w:sz w:val="20"/>
        </w:rPr>
        <w:t>[43] REA UK. (2025). Scaled Up Secure EV Charging: Cyber Security Report. London: REA.</w:t>
      </w:r>
    </w:p>
    <w:p>
      <w:pPr>
        <w:ind w:left="720" w:hanging="720"/>
      </w:pPr>
      <w:r>
        <w:rPr>
          <w:rFonts w:ascii="Times New Roman" w:hAnsi="Times New Roman"/>
          <w:sz w:val="20"/>
        </w:rPr>
        <w:t>[44] IRENA. (2019). Enabling Technologies: Innovation Landscape Brief. Abu Dhabi: IRENA.</w:t>
      </w:r>
    </w:p>
    <w:p>
      <w:pPr>
        <w:ind w:left="720" w:hanging="720"/>
      </w:pPr>
      <w:r>
        <w:rPr>
          <w:rFonts w:ascii="Times New Roman" w:hAnsi="Times New Roman"/>
          <w:sz w:val="20"/>
        </w:rPr>
        <w:t>[45] T&amp;E – Transport &amp; Environment. (2025). Unlocking Vehicle-to-Grid at Scale. Brussels: T&amp;E.</w:t>
      </w:r>
    </w:p>
    <w:p>
      <w:pPr>
        <w:ind w:left="720" w:hanging="720"/>
      </w:pPr>
      <w:r>
        <w:rPr>
          <w:rFonts w:ascii="Times New Roman" w:hAnsi="Times New Roman"/>
          <w:sz w:val="20"/>
        </w:rPr>
        <w:t>[46] Simon-Kucher &amp; Partners. (2025). A US Perspective on Vehicle-to-Grid (V2G) Technology. New York: SKP.</w:t>
      </w:r>
    </w:p>
    <w:p>
      <w:pPr>
        <w:ind w:left="720" w:hanging="720"/>
      </w:pPr>
      <w:r>
        <w:rPr>
          <w:rFonts w:ascii="Times New Roman" w:hAnsi="Times New Roman"/>
          <w:sz w:val="20"/>
        </w:rPr>
        <w:t>[47] Virta. (2025). Vehicle-to-Grid (V2G): Everything You Need to Know. Helsinki: Virta Global.</w:t>
      </w:r>
    </w:p>
    <w:p>
      <w:pPr>
        <w:ind w:left="720" w:hanging="720"/>
      </w:pPr>
      <w:r>
        <w:rPr>
          <w:rFonts w:ascii="Times New Roman" w:hAnsi="Times New Roman"/>
          <w:sz w:val="20"/>
        </w:rPr>
        <w:t>[48] GM Insights. (2025). Vehicle-to-Grid (V2G) Technology Market Size &amp; Share 2025. Selbyville, DE: GM Insights.</w:t>
      </w:r>
    </w:p>
    <w:p>
      <w:pPr>
        <w:ind w:left="720" w:hanging="720"/>
      </w:pPr>
      <w:r>
        <w:rPr>
          <w:rFonts w:ascii="Times New Roman" w:hAnsi="Times New Roman"/>
          <w:sz w:val="20"/>
        </w:rPr>
        <w:t>[49] IEEE Young Professionals. (2025). V2G in 2025: The Missing Piece that Finally Connects Electromobility and Smart Grids. IEEE YP Blog.</w:t>
      </w:r>
    </w:p>
    <w:p>
      <w:pPr>
        <w:ind w:left="720" w:hanging="720"/>
      </w:pPr>
      <w:r>
        <w:rPr>
          <w:rFonts w:ascii="Times New Roman" w:hAnsi="Times New Roman"/>
          <w:sz w:val="20"/>
        </w:rPr>
        <w:t>[50] Codibly. (2026). EV Charging Regulations in 2026: Implementation Guide. Warsaw: Codibly.</w:t>
      </w:r>
    </w:p>
    <w:sectPr w:rsidR="00FC693F" w:rsidRPr="0006063C" w:rsidSect="00034616">
      <w:headerReference w:type="default" r:id="rId9"/>
      <w:footerReference w:type="default" r:id="rId10"/>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EV–Grid Integration: Critical Analysis (2010–2026)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