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604F" w14:textId="77777777" w:rsidR="0062701F" w:rsidRDefault="008E6F28">
      <w:pPr>
        <w:pStyle w:val="PaperType"/>
        <w:rPr>
          <w:color w:val="auto"/>
        </w:rPr>
      </w:pPr>
      <w:r>
        <w:rPr>
          <w:color w:val="auto"/>
        </w:rPr>
        <w:t xml:space="preserve">Type of the Paper (Article, Review, Communication, </w:t>
      </w:r>
      <w:r>
        <w:rPr>
          <w:rFonts w:eastAsia="SimSun"/>
          <w:color w:val="auto"/>
          <w:lang w:eastAsia="zh-CN"/>
        </w:rPr>
        <w:t xml:space="preserve">Perspective, Editorial, </w:t>
      </w:r>
      <w:r>
        <w:rPr>
          <w:color w:val="auto"/>
        </w:rPr>
        <w:t>etc.)</w:t>
      </w:r>
    </w:p>
    <w:p w14:paraId="1EA9D5BD" w14:textId="68B2A110" w:rsidR="00962BDF" w:rsidRDefault="00962BDF" w:rsidP="00962BDF">
      <w:pPr>
        <w:spacing w:after="200"/>
        <w:jc w:val="center"/>
      </w:pPr>
      <w:r>
        <w:rPr>
          <w:b/>
          <w:bCs/>
          <w:color w:val="1A1A2E"/>
          <w:sz w:val="44"/>
          <w:szCs w:val="44"/>
        </w:rPr>
        <w:t>Optimizing Energy Infrastructure for AI Data Centers</w:t>
      </w:r>
      <w:r w:rsidR="006C5722">
        <w:rPr>
          <w:b/>
          <w:bCs/>
          <w:color w:val="1A1A2E"/>
          <w:sz w:val="44"/>
          <w:szCs w:val="44"/>
        </w:rPr>
        <w:t>: Comprehensive Review Paper</w:t>
      </w:r>
    </w:p>
    <w:p w14:paraId="74796E07" w14:textId="77777777" w:rsidR="00962BDF" w:rsidRDefault="00962BDF" w:rsidP="00962BDF">
      <w:pPr>
        <w:spacing w:after="600"/>
        <w:jc w:val="center"/>
      </w:pPr>
      <w:r>
        <w:rPr>
          <w:color w:val="2E5090"/>
          <w:sz w:val="30"/>
          <w:szCs w:val="30"/>
        </w:rPr>
        <w:t>A Framework for Integrating Renewable Energy Sources</w:t>
      </w:r>
    </w:p>
    <w:p w14:paraId="7076A7B1" w14:textId="77777777" w:rsidR="0062701F" w:rsidRDefault="008E6F28">
      <w:pPr>
        <w:pStyle w:val="AuthorNames"/>
        <w:rPr>
          <w:color w:val="auto"/>
        </w:rPr>
      </w:pPr>
      <w:r>
        <w:rPr>
          <w:color w:val="auto"/>
        </w:rPr>
        <w:t xml:space="preserve">Firstname Lastname </w:t>
      </w:r>
      <w:r>
        <w:rPr>
          <w:color w:val="auto"/>
          <w:vertAlign w:val="superscript"/>
        </w:rPr>
        <w:t>1</w:t>
      </w:r>
      <w:r>
        <w:rPr>
          <w:color w:val="auto"/>
        </w:rPr>
        <w:t xml:space="preserve">, Firstname Lastname </w:t>
      </w:r>
      <w:r>
        <w:rPr>
          <w:color w:val="auto"/>
          <w:vertAlign w:val="superscript"/>
        </w:rPr>
        <w:t>2</w:t>
      </w:r>
      <w:r>
        <w:rPr>
          <w:color w:val="auto"/>
        </w:rPr>
        <w:t xml:space="preserve"> and Firstname Lastname </w:t>
      </w:r>
      <w:r>
        <w:rPr>
          <w:color w:val="auto"/>
          <w:vertAlign w:val="superscript"/>
        </w:rPr>
        <w:t>2,</w:t>
      </w:r>
      <w:r>
        <w:rPr>
          <w:color w:val="auto"/>
        </w:rPr>
        <w:t>*</w:t>
      </w:r>
    </w:p>
    <w:p w14:paraId="130C3241" w14:textId="77777777" w:rsidR="0062701F" w:rsidRPr="00962BDF" w:rsidRDefault="008E6F28">
      <w:pPr>
        <w:pStyle w:val="Affiliations"/>
        <w:rPr>
          <w:color w:val="auto"/>
          <w:lang w:val="fr-FR"/>
        </w:rPr>
      </w:pPr>
      <w:r w:rsidRPr="00962BDF">
        <w:rPr>
          <w:color w:val="auto"/>
          <w:vertAlign w:val="superscript"/>
          <w:lang w:val="fr-FR"/>
        </w:rPr>
        <w:t>1</w:t>
      </w:r>
      <w:r w:rsidRPr="00962BDF">
        <w:rPr>
          <w:color w:val="auto"/>
          <w:lang w:val="fr-FR"/>
        </w:rPr>
        <w:t xml:space="preserve"> Affiliation 1</w:t>
      </w:r>
    </w:p>
    <w:p w14:paraId="55F0B251" w14:textId="77777777" w:rsidR="0062701F" w:rsidRPr="00962BDF" w:rsidRDefault="008E6F28">
      <w:pPr>
        <w:pStyle w:val="Affiliations"/>
        <w:rPr>
          <w:color w:val="auto"/>
          <w:lang w:val="fr-FR"/>
        </w:rPr>
      </w:pPr>
      <w:r w:rsidRPr="00962BDF">
        <w:rPr>
          <w:color w:val="auto"/>
          <w:vertAlign w:val="superscript"/>
          <w:lang w:val="fr-FR"/>
        </w:rPr>
        <w:t>2</w:t>
      </w:r>
      <w:r w:rsidRPr="00962BDF">
        <w:rPr>
          <w:color w:val="auto"/>
          <w:lang w:val="fr-FR"/>
        </w:rPr>
        <w:t xml:space="preserve"> Affiliation 2</w:t>
      </w:r>
    </w:p>
    <w:p w14:paraId="0DF5AAF1" w14:textId="77777777" w:rsidR="0062701F" w:rsidRPr="00962BDF" w:rsidRDefault="008E6F28">
      <w:pPr>
        <w:pStyle w:val="Correspondence"/>
        <w:rPr>
          <w:color w:val="auto"/>
          <w:lang w:val="fr-FR"/>
        </w:rPr>
      </w:pPr>
      <w:r w:rsidRPr="00962BDF">
        <w:rPr>
          <w:b/>
          <w:color w:val="auto"/>
          <w:lang w:val="fr-FR"/>
        </w:rPr>
        <w:t>*</w:t>
      </w:r>
      <w:r w:rsidRPr="00962BDF">
        <w:rPr>
          <w:color w:val="auto"/>
          <w:lang w:val="fr-FR"/>
        </w:rPr>
        <w:t xml:space="preserve"> </w:t>
      </w:r>
      <w:r w:rsidRPr="00962BDF">
        <w:rPr>
          <w:rStyle w:val="Correspondence0"/>
          <w:color w:val="auto"/>
          <w:lang w:val="fr-FR"/>
        </w:rPr>
        <w:t>Correspondence</w:t>
      </w:r>
      <w:r w:rsidRPr="00962BDF">
        <w:rPr>
          <w:color w:val="auto"/>
          <w:lang w:val="fr-FR"/>
        </w:rPr>
        <w:t xml:space="preserve">: </w:t>
      </w:r>
      <w:r w:rsidRPr="00962BDF">
        <w:rPr>
          <w:color w:val="auto"/>
          <w:szCs w:val="24"/>
          <w:lang w:val="fr-FR"/>
        </w:rPr>
        <w:t>e-mail@e-mail.com</w:t>
      </w:r>
    </w:p>
    <w:p w14:paraId="24AB870A" w14:textId="6150B6D1" w:rsidR="0062701F" w:rsidRDefault="008E6F28" w:rsidP="00962BDF">
      <w:pPr>
        <w:pStyle w:val="Abstract"/>
      </w:pPr>
      <w:r>
        <w:rPr>
          <w:b/>
        </w:rPr>
        <w:t xml:space="preserve">Abstract: </w:t>
      </w:r>
      <w:r w:rsidR="00962BDF">
        <w:t>Intense growth of Artificial Intelligence (AI) workloads has driven the global data center electricity market to hit new highs with demand expected to rise to around 945 TW</w:t>
      </w:r>
      <w:r w:rsidR="00412819">
        <w:t>h</w:t>
      </w:r>
      <w:r w:rsidR="00962BDF">
        <w:t xml:space="preserve"> in 2030 from a level of about 415 </w:t>
      </w:r>
      <w:r w:rsidR="00B50B4A">
        <w:t xml:space="preserve">TWh </w:t>
      </w:r>
      <w:r w:rsidR="00962BDF">
        <w:t xml:space="preserve">currently. The challenge of the exponential growth path is to satisfy energy needs of AI infrastructure while also delivering climate goals and economic sustainability. The seven-component design framework introduced in this paper covers the technical, economic and regulatory dimensions of sustainable computing infrastructure. This framework combines site assessment, technology selection, electrical architecture design, hierarchical control strategies, flexibility of the workload on the demand side, economic viability analysis, and sustainability compliance. After conducting a comprehensive literature review which included more than 260 peer-reviewed articles, industry reports and policy documents, this study was synthesized combining current knowledge pertaining to renewables technologies, energy storage, power system modeling and operational strategies. It is supported in detail with case studies from a group of global technology companies that provide cost competitive electricity delivery at $35 – $100/MWh that align with reliability targets to &gt; 99.9%. One conclusion from the key findings is that lithium-ion battery prices are projected to fall to less than $108/ kWh in 2026, with the costs of solar PV installed showing a reduction of more than 90% since 2010, and wind-solar complementarity is expected to slash the need for storage capacity by 40 to 60% using geographic diversification. The paper shows detailed economic modelling including levelized cost of energy (LCOE) calculations, net present value (NPV) analysis and sensitivity assessments, proving pay back periods of 5-12 years with current tax incentives. A multi-year implementation plan has been outlined from 2024 to 2045, alongside the transition of 100% renewable-powered AI data centers into mainstream infrastructure. </w:t>
      </w:r>
      <w:r w:rsidR="00BE113B">
        <w:t xml:space="preserve">This </w:t>
      </w:r>
      <w:r w:rsidR="00BE113B">
        <w:lastRenderedPageBreak/>
        <w:t>is</w:t>
      </w:r>
      <w:r w:rsidR="00962BDF">
        <w:t xml:space="preserve"> starting with demonstration projects, and a journey towards mainstream adoption of 100% renewable-powered AI data centers.</w:t>
      </w:r>
    </w:p>
    <w:p w14:paraId="00635F4A" w14:textId="77777777" w:rsidR="00962BDF" w:rsidRDefault="008E6F28" w:rsidP="00962BDF">
      <w:pPr>
        <w:spacing w:after="120"/>
        <w:ind w:firstLine="480"/>
      </w:pPr>
      <w:r>
        <w:rPr>
          <w:b/>
        </w:rPr>
        <w:t xml:space="preserve">Keywords: </w:t>
      </w:r>
      <w:r w:rsidR="00962BDF">
        <w:rPr>
          <w:szCs w:val="24"/>
        </w:rPr>
        <w:t>AI data centers, renewable energy integration, energy storage, microgrid optimization, power system modeling, demand-side management, carbon-free energy, levelized cost of energy</w:t>
      </w:r>
    </w:p>
    <w:p w14:paraId="354DF9DD" w14:textId="77777777" w:rsidR="0062701F" w:rsidRDefault="0062701F">
      <w:pPr>
        <w:pStyle w:val="SeparationLine"/>
        <w:rPr>
          <w:color w:val="auto"/>
        </w:rPr>
      </w:pPr>
    </w:p>
    <w:p w14:paraId="0B77724C" w14:textId="77777777" w:rsidR="0062701F" w:rsidRDefault="008E6F28">
      <w:pPr>
        <w:pStyle w:val="Heading10"/>
        <w:rPr>
          <w:color w:val="auto"/>
        </w:rPr>
      </w:pPr>
      <w:r>
        <w:rPr>
          <w:color w:val="auto"/>
          <w:lang w:eastAsia="zh-CN"/>
        </w:rPr>
        <w:t xml:space="preserve">1. </w:t>
      </w:r>
      <w:r>
        <w:rPr>
          <w:color w:val="auto"/>
        </w:rPr>
        <w:t>Introduction</w:t>
      </w:r>
    </w:p>
    <w:p w14:paraId="45343BCA" w14:textId="1E68054B" w:rsidR="00962BDF" w:rsidRDefault="00962BDF" w:rsidP="00962BDF">
      <w:pPr>
        <w:pStyle w:val="Heading20"/>
        <w:rPr>
          <w:color w:val="auto"/>
          <w:lang w:val="en-CA"/>
        </w:rPr>
      </w:pPr>
      <w:r w:rsidRPr="00962BDF">
        <w:rPr>
          <w:color w:val="auto"/>
          <w:lang w:val="en-CA"/>
        </w:rPr>
        <w:t>1.1. Global Data Center Energy Consumption an</w:t>
      </w:r>
      <w:r>
        <w:rPr>
          <w:color w:val="auto"/>
          <w:lang w:val="en-CA"/>
        </w:rPr>
        <w:t>d AI workload Growth</w:t>
      </w:r>
    </w:p>
    <w:p w14:paraId="178059AF" w14:textId="6232BD66" w:rsidR="00962BDF" w:rsidRPr="00962BDF" w:rsidRDefault="00962BDF" w:rsidP="00AE6A99">
      <w:pPr>
        <w:pStyle w:val="Text"/>
        <w:rPr>
          <w:color w:val="auto"/>
        </w:rPr>
      </w:pPr>
      <w:r w:rsidRPr="00962BDF">
        <w:rPr>
          <w:color w:val="auto"/>
        </w:rPr>
        <w:t xml:space="preserve">In the last ten years, the whole digital infrastructure has been revolutionized, and the main driver behind this is the explosion of applications based on Artificial Intelligence. The data </w:t>
      </w:r>
      <w:r w:rsidR="00561FEA" w:rsidRPr="00962BDF">
        <w:rPr>
          <w:color w:val="auto"/>
        </w:rPr>
        <w:t>centers</w:t>
      </w:r>
      <w:r w:rsidRPr="00962BDF">
        <w:rPr>
          <w:color w:val="auto"/>
        </w:rPr>
        <w:t xml:space="preserve"> alone were a huge component of this infrastructure and used about 415 TWh of electricity in 2024, which is about 1.5% of world</w:t>
      </w:r>
      <w:r w:rsidR="000C3F0F">
        <w:rPr>
          <w:color w:val="auto"/>
        </w:rPr>
        <w:fldChar w:fldCharType="begin"/>
      </w:r>
      <w:r w:rsidR="000C3F0F">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0C3F0F">
        <w:rPr>
          <w:color w:val="auto"/>
        </w:rPr>
        <w:fldChar w:fldCharType="separate"/>
      </w:r>
      <w:r w:rsidR="000C3F0F" w:rsidRPr="000C3F0F">
        <w:t>[1], [2]</w:t>
      </w:r>
      <w:r w:rsidR="000C3F0F">
        <w:rPr>
          <w:color w:val="auto"/>
        </w:rPr>
        <w:fldChar w:fldCharType="end"/>
      </w:r>
      <w:r w:rsidRPr="00962BDF">
        <w:rPr>
          <w:color w:val="auto"/>
        </w:rPr>
        <w:t xml:space="preserve">. According to the International Energy Agency (IEA) this consumption may grow to 945 TWh by 2030 based on current growth rates, mainly due to training and inferring workloads of AI </w:t>
      </w:r>
      <w:bookmarkStart w:id="0" w:name="ZOTERO_BREF_H70vUx20hBhO"/>
      <w:r w:rsidR="001751D4" w:rsidRPr="00962BDF">
        <w:rPr>
          <w:color w:val="auto"/>
        </w:rPr>
        <w:t>models</w:t>
      </w:r>
      <w:bookmarkEnd w:id="0"/>
      <w:r w:rsidR="00AE6A99">
        <w:rPr>
          <w:color w:val="auto"/>
        </w:rPr>
        <w:fldChar w:fldCharType="begin"/>
      </w:r>
      <w:r w:rsidR="00AE6A99">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sidR="00AE6A99">
        <w:rPr>
          <w:color w:val="auto"/>
        </w:rPr>
        <w:fldChar w:fldCharType="separate"/>
      </w:r>
      <w:r w:rsidR="00AE6A99" w:rsidRPr="00AE6A99">
        <w:t>[3]</w:t>
      </w:r>
      <w:r w:rsidR="00AE6A99">
        <w:rPr>
          <w:color w:val="auto"/>
        </w:rPr>
        <w:fldChar w:fldCharType="end"/>
      </w:r>
      <w:r w:rsidRPr="00962BDF">
        <w:rPr>
          <w:color w:val="auto"/>
        </w:rPr>
        <w:t>. This is a staggering leap, feeding the electricity use of a power-hungry country the size of Japan into the global grid in just six years, and shows just how critical it is to move towards sustainable energy solutions in data center operations.</w:t>
      </w:r>
    </w:p>
    <w:p w14:paraId="69220D7F" w14:textId="06A838F7" w:rsidR="00962BDF" w:rsidRDefault="00962BDF" w:rsidP="00901B02">
      <w:pPr>
        <w:pStyle w:val="Text"/>
        <w:rPr>
          <w:color w:val="auto"/>
        </w:rPr>
      </w:pPr>
      <w:r w:rsidRPr="00962BDF">
        <w:rPr>
          <w:color w:val="auto"/>
        </w:rPr>
        <w:t>This challenge is starkly evident in the energy consumption of specific AI models. To train GPT-3, a 175-billion-parameter language model developed by OpenAI, it required the use of around 1,287 MWh of electricity, which corresponds to an estimated CO2 equivalent emission of 552 tonnes</w:t>
      </w:r>
      <w:r w:rsidR="00AA4E78">
        <w:rPr>
          <w:color w:val="auto"/>
        </w:rPr>
        <w:fldChar w:fldCharType="begin"/>
      </w:r>
      <w:r w:rsidR="00AA4E78">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sidR="00AA4E78">
        <w:rPr>
          <w:color w:val="auto"/>
        </w:rPr>
        <w:fldChar w:fldCharType="separate"/>
      </w:r>
      <w:r w:rsidR="00AA4E78" w:rsidRPr="00AA4E78">
        <w:t>[4], [5]</w:t>
      </w:r>
      <w:r w:rsidR="00AA4E78">
        <w:rPr>
          <w:color w:val="auto"/>
        </w:rPr>
        <w:fldChar w:fldCharType="end"/>
      </w:r>
      <w:r w:rsidRPr="00962BDF">
        <w:rPr>
          <w:color w:val="auto"/>
        </w:rPr>
        <w:t xml:space="preserve">. The next GPT, with significantly more parameters, would have had an even greater cost to energy. Exact numbers are still proprietary, but such a model would likely have been even more costly on a per-use basis. The model called </w:t>
      </w:r>
      <w:bookmarkStart w:id="1" w:name="ZOTERO_BREF_wu8OLmHyuqzg"/>
      <w:r w:rsidR="00F65F01" w:rsidRPr="00962BDF">
        <w:rPr>
          <w:color w:val="auto"/>
        </w:rPr>
        <w:t>BLOOM</w:t>
      </w:r>
      <w:r w:rsidR="00F65F01" w:rsidRPr="00F65F01">
        <w:t xml:space="preserve"> </w:t>
      </w:r>
      <w:bookmarkEnd w:id="1"/>
      <w:r w:rsidR="00F76513">
        <w:fldChar w:fldCharType="begin"/>
      </w:r>
      <w:r w:rsidR="00F76513">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rsidR="00F76513">
        <w:fldChar w:fldCharType="separate"/>
      </w:r>
      <w:r w:rsidR="00F76513" w:rsidRPr="00F76513">
        <w:t>[6]</w:t>
      </w:r>
      <w:r w:rsidR="00F76513">
        <w:fldChar w:fldCharType="end"/>
      </w:r>
      <w:r w:rsidR="007B76FF" w:rsidRPr="00962BDF">
        <w:rPr>
          <w:color w:val="auto"/>
        </w:rPr>
        <w:t xml:space="preserve"> is</w:t>
      </w:r>
      <w:r w:rsidRPr="00962BDF">
        <w:rPr>
          <w:color w:val="auto"/>
        </w:rPr>
        <w:t xml:space="preserve"> an open-source model consisting of 176 billion parameters that took around 433MWh in training. These are numbers of single training events; the total amount of energy used by constant inferences per year to serve billions of user queries is much higher than training energy. According to </w:t>
      </w:r>
      <w:r w:rsidR="00494A61" w:rsidRPr="00962BDF">
        <w:rPr>
          <w:color w:val="auto"/>
        </w:rPr>
        <w:t>research</w:t>
      </w:r>
      <w:r w:rsidRPr="00962BDF">
        <w:rPr>
          <w:color w:val="auto"/>
        </w:rPr>
        <w:t xml:space="preserve"> by Li, every inference query of GPT-3 consumes around 2.9 Wh of electricity and adds up to a massive amount with the millions of queries that take place every</w:t>
      </w:r>
      <w:r w:rsidR="00901B02">
        <w:rPr>
          <w:color w:val="auto"/>
        </w:rPr>
        <w:fldChar w:fldCharType="begin"/>
      </w:r>
      <w:r w:rsidR="00901B02">
        <w:rPr>
          <w:color w:val="auto"/>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00901B02">
        <w:rPr>
          <w:color w:val="auto"/>
        </w:rPr>
        <w:fldChar w:fldCharType="separate"/>
      </w:r>
      <w:r w:rsidR="00901B02" w:rsidRPr="00901B02">
        <w:t>[7]</w:t>
      </w:r>
      <w:r w:rsidR="00901B02">
        <w:rPr>
          <w:color w:val="auto"/>
        </w:rPr>
        <w:fldChar w:fldCharType="end"/>
      </w:r>
      <w:r w:rsidRPr="00962BDF">
        <w:rPr>
          <w:color w:val="auto"/>
        </w:rPr>
        <w:t>.</w:t>
      </w:r>
    </w:p>
    <w:p w14:paraId="62417E6B" w14:textId="11A51339" w:rsidR="007B5EF9" w:rsidRPr="00962BDF" w:rsidRDefault="007B5EF9" w:rsidP="007F14EA">
      <w:pPr>
        <w:pStyle w:val="Text"/>
        <w:rPr>
          <w:color w:val="auto"/>
        </w:rPr>
      </w:pPr>
      <w:r w:rsidRPr="007B5EF9">
        <w:rPr>
          <w:color w:val="auto"/>
        </w:rPr>
        <w:t xml:space="preserve">One of the biggest tipping points in electricity demand growth since the electrification of industry will come with AI, when </w:t>
      </w:r>
      <w:r w:rsidR="00642719">
        <w:rPr>
          <w:color w:val="auto"/>
        </w:rPr>
        <w:t>This</w:t>
      </w:r>
      <w:r w:rsidRPr="007B5EF9">
        <w:rPr>
          <w:color w:val="auto"/>
        </w:rPr>
        <w:t xml:space="preserve"> Research</w:t>
      </w:r>
      <w:bookmarkStart w:id="2" w:name="ZOTERO_BREF_Z7nyIFJbMw7m"/>
      <w:r w:rsidR="00642719">
        <w:rPr>
          <w:color w:val="auto"/>
        </w:rPr>
        <w:t xml:space="preserve"> </w:t>
      </w:r>
      <w:bookmarkEnd w:id="2"/>
      <w:r w:rsidR="007F2B99">
        <w:rPr>
          <w:color w:val="auto"/>
        </w:rPr>
        <w:fldChar w:fldCharType="begin"/>
      </w:r>
      <w:r w:rsidR="007F2B99">
        <w:rPr>
          <w:color w:val="auto"/>
        </w:rPr>
        <w:instrText xml:space="preserve"> ADDIN ZOTERO_ITEM CSL_CITATION {"citationID":"rCwg3Daa","properties":{"formattedCitation":"[8]","plainCitation":"[8]","noteIndex":0},"citationItems":[{"id":1908,"uris":["http://zotero.org/users/9870935/items/5SZSS7UD"],"itemData":{"id":1908,"type":"article","abstract":"The rapid growth of artificial intelligence (AI) is driving an unprecedented increase in the electricity demand of AI data centers, raising emerging challenges for electric power grids. Understanding the characteristics of AI data center loads and their interactions with the grid is therefore critical for ensuring both reliable power system operation and sustainable AI development. This paper provides a comprehensive review and vision of this evolving landscape. Specifically, this paper (i) presents an overview of AI data center infrastructure and its key components, (ii) examines the key characteristics and patterns of electricity demand across the stages of model preparation, training, fine-tuning, and inference, (iii) analyzes the critical challenges that AI data center loads pose to power systems across three interrelated timescales, including long-term planning and interconnection, short-term operation and electricity markets, and real-time dynamics and stability, and (iv) discusses potential solutions from the perspectives of the grid, AI data centers, and AI end-users to address these challenges. By synthesizing current knowledge and outlining future directions, this review aims to guide research and development in support of the joint advancement of AI data centers and power systems toward reliable, efficient, and sustainable operation.","DOI":"10.48550/arXiv.2509.07218","note":"arXiv:2509.07218 [eess]","number":"arXiv:2509.07218","publisher":"arXiv","source":"arXiv.org","title":"Electricity Demand and Grid Impacts of AI Data Centers: Challenges and Prospects","title-short":"Electricity Demand and Grid Impacts of AI Data Centers","URL":"http://arxiv.org/abs/2509.07218","author":[{"family":"Chen","given":"Xin"},{"family":"Wang","given":"Xiaoyang"},{"family":"Colacelli","given":"Ana"},{"family":"Lee","given":"Matt"},{"family":"Xie","given":"Le"}],"accessed":{"date-parts":[["2026",5,10]]},"issued":{"date-parts":[["2025",11,26]]}}}],"schema":"https://github.com/citation-style-language/schema/raw/master/csl-citation.json"} </w:instrText>
      </w:r>
      <w:r w:rsidR="007F2B99">
        <w:rPr>
          <w:color w:val="auto"/>
        </w:rPr>
        <w:fldChar w:fldCharType="separate"/>
      </w:r>
      <w:r w:rsidR="007F2B99" w:rsidRPr="007F2B99">
        <w:t>[8]</w:t>
      </w:r>
      <w:r w:rsidR="007F2B99">
        <w:rPr>
          <w:color w:val="auto"/>
        </w:rPr>
        <w:fldChar w:fldCharType="end"/>
      </w:r>
      <w:r w:rsidRPr="007B5EF9">
        <w:rPr>
          <w:color w:val="auto"/>
        </w:rPr>
        <w:t xml:space="preserve"> division estimated power demand in data centers would grow at a 165</w:t>
      </w:r>
      <w:r w:rsidR="00452A11">
        <w:rPr>
          <w:color w:val="auto"/>
        </w:rPr>
        <w:t xml:space="preserve">% </w:t>
      </w:r>
      <w:r w:rsidRPr="007B5EF9">
        <w:rPr>
          <w:color w:val="auto"/>
        </w:rPr>
        <w:t>rate by 2030.</w:t>
      </w:r>
      <w:r w:rsidR="004A4722">
        <w:rPr>
          <w:color w:val="auto"/>
        </w:rPr>
        <w:t xml:space="preserve"> </w:t>
      </w:r>
      <w:r w:rsidRPr="007B5EF9">
        <w:rPr>
          <w:color w:val="auto"/>
        </w:rPr>
        <w:t>However, the Power Usage Effectiveness (PUE) of the surveyed locations did not see any significant gains in efficiency as measured by PUE,</w:t>
      </w:r>
      <w:r w:rsidR="005B20EC">
        <w:rPr>
          <w:color w:val="auto"/>
        </w:rPr>
        <w:t xml:space="preserve"> </w:t>
      </w:r>
      <w:r w:rsidRPr="007B5EF9">
        <w:rPr>
          <w:color w:val="auto"/>
        </w:rPr>
        <w:t xml:space="preserve">according to the Uptime Institute 2024 Global Data Center </w:t>
      </w:r>
      <w:bookmarkStart w:id="3" w:name="ZOTERO_BREF_VzOpl4gXp4N6"/>
      <w:r w:rsidR="00B23B6D" w:rsidRPr="007B5EF9">
        <w:rPr>
          <w:color w:val="auto"/>
        </w:rPr>
        <w:t>Survey</w:t>
      </w:r>
      <w:bookmarkEnd w:id="3"/>
      <w:r w:rsidR="00341E54">
        <w:rPr>
          <w:color w:val="auto"/>
        </w:rPr>
        <w:fldChar w:fldCharType="begin"/>
      </w:r>
      <w:r w:rsidR="00341E54">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sidR="00341E54">
        <w:rPr>
          <w:color w:val="auto"/>
        </w:rPr>
        <w:fldChar w:fldCharType="separate"/>
      </w:r>
      <w:r w:rsidR="00341E54" w:rsidRPr="00341E54">
        <w:t>[9]</w:t>
      </w:r>
      <w:r w:rsidR="00341E54">
        <w:rPr>
          <w:color w:val="auto"/>
        </w:rPr>
        <w:fldChar w:fldCharType="end"/>
      </w:r>
      <w:r w:rsidRPr="007B5EF9">
        <w:rPr>
          <w:color w:val="auto"/>
        </w:rPr>
        <w:t xml:space="preserve">. </w:t>
      </w:r>
      <w:r w:rsidR="00653055" w:rsidRPr="00653055">
        <w:rPr>
          <w:color w:val="auto"/>
        </w:rPr>
        <w:t xml:space="preserve">Meanwhile, AI-specific accelerators such as the NVIDIA H100 GPU, with a thermal design power (TDP) of up to 700 watts per unit, are pushing compute density to levels that challenge conventional cooling and power delivery </w:t>
      </w:r>
      <w:bookmarkStart w:id="4" w:name="ZOTERO_BREF_Q2km8TRZH2ar"/>
      <w:r w:rsidR="00494A61" w:rsidRPr="00653055">
        <w:rPr>
          <w:color w:val="auto"/>
        </w:rPr>
        <w:t>architectures</w:t>
      </w:r>
      <w:bookmarkEnd w:id="4"/>
      <w:r w:rsidR="007F14EA">
        <w:rPr>
          <w:color w:val="auto"/>
        </w:rPr>
        <w:fldChar w:fldCharType="begin"/>
      </w:r>
      <w:r w:rsidR="007F14EA">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schema":"https://github.com/citation-style-language/schema/raw/master/csl-citation.json"} </w:instrText>
      </w:r>
      <w:r w:rsidR="007F14EA">
        <w:rPr>
          <w:color w:val="auto"/>
        </w:rPr>
        <w:fldChar w:fldCharType="separate"/>
      </w:r>
      <w:r w:rsidR="007F14EA" w:rsidRPr="007F14EA">
        <w:t>[10]</w:t>
      </w:r>
      <w:r w:rsidR="007F14EA">
        <w:rPr>
          <w:color w:val="auto"/>
        </w:rPr>
        <w:fldChar w:fldCharType="end"/>
      </w:r>
      <w:r w:rsidR="00653055" w:rsidRPr="00653055">
        <w:rPr>
          <w:color w:val="auto"/>
        </w:rPr>
        <w:t>.</w:t>
      </w:r>
    </w:p>
    <w:p w14:paraId="0C757415" w14:textId="77777777" w:rsidR="00962BDF" w:rsidRPr="00962BDF" w:rsidRDefault="00962BDF">
      <w:pPr>
        <w:pStyle w:val="Heading10"/>
        <w:rPr>
          <w:color w:val="auto"/>
          <w:lang w:val="en-CA"/>
        </w:rPr>
      </w:pPr>
    </w:p>
    <w:p w14:paraId="46F8C12D" w14:textId="77777777" w:rsidR="004B2DB1" w:rsidRDefault="00355C72" w:rsidP="004B2DB1">
      <w:pPr>
        <w:pStyle w:val="Heading10"/>
        <w:keepNext/>
        <w:jc w:val="center"/>
      </w:pPr>
      <w:r>
        <w:rPr>
          <w:noProof/>
        </w:rPr>
        <w:drawing>
          <wp:inline distT="0" distB="0" distL="0" distR="0" wp14:anchorId="672B7AAE" wp14:editId="0A0E408D">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43200"/>
                    </a:xfrm>
                    <a:prstGeom prst="rect">
                      <a:avLst/>
                    </a:prstGeom>
                  </pic:spPr>
                </pic:pic>
              </a:graphicData>
            </a:graphic>
          </wp:inline>
        </w:drawing>
      </w:r>
    </w:p>
    <w:p w14:paraId="6B9292DC" w14:textId="579F67F3" w:rsidR="00355C72" w:rsidRDefault="004B2DB1" w:rsidP="004B2DB1">
      <w:pPr>
        <w:pStyle w:val="Caption"/>
        <w:jc w:val="center"/>
        <w:rPr>
          <w:color w:val="auto"/>
          <w:lang w:eastAsia="zh-CN"/>
        </w:rPr>
      </w:pPr>
      <w:r>
        <w:t xml:space="preserve">Figure </w:t>
      </w:r>
      <w:r w:rsidR="002462C2">
        <w:fldChar w:fldCharType="begin"/>
      </w:r>
      <w:r w:rsidR="002462C2">
        <w:instrText xml:space="preserve"> SEQ Figure \* ARABIC </w:instrText>
      </w:r>
      <w:r w:rsidR="002462C2">
        <w:fldChar w:fldCharType="separate"/>
      </w:r>
      <w:r w:rsidR="002462C2">
        <w:rPr>
          <w:noProof/>
        </w:rPr>
        <w:t>1</w:t>
      </w:r>
      <w:r w:rsidR="002462C2">
        <w:rPr>
          <w:noProof/>
        </w:rPr>
        <w:fldChar w:fldCharType="end"/>
      </w:r>
      <w:r>
        <w:t xml:space="preserve"> </w:t>
      </w:r>
      <w:r w:rsidRPr="008451C0">
        <w:t>Global data center electricity consumption and projections (2015-2030). Source: IEA, 2025</w:t>
      </w:r>
    </w:p>
    <w:p w14:paraId="3D8A14D7" w14:textId="5104F6D8" w:rsidR="004B2DB1" w:rsidRDefault="004B2DB1" w:rsidP="004B2DB1">
      <w:pPr>
        <w:pStyle w:val="Heading20"/>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140E2957" w14:textId="667CA02A" w:rsidR="00ED0153" w:rsidRPr="00ED0153" w:rsidRDefault="00ED0153" w:rsidP="00A13CFF">
      <w:pPr>
        <w:pStyle w:val="Text"/>
        <w:rPr>
          <w:color w:val="auto"/>
        </w:rPr>
      </w:pPr>
      <w:r w:rsidRPr="00ED0153">
        <w:rPr>
          <w:color w:val="auto"/>
        </w:rPr>
        <w:t>Three simultaneous drivers, climate goals, cost trends and growing technical viability, are coming together in data center power systems for the integration of renewable energy sources. With over 130 countries aligning themselves to reach carbon zero emissions by 2050 under the Paris Agreement</w:t>
      </w:r>
      <w:r w:rsidR="00AC5FC4">
        <w:rPr>
          <w:color w:val="auto"/>
        </w:rPr>
        <w:t xml:space="preserve">, </w:t>
      </w:r>
      <w:r w:rsidR="00AC5FC4">
        <w:rPr>
          <w:szCs w:val="24"/>
        </w:rPr>
        <w:t>and the information technology sector has emerged as a critical focus area for decarbonization efforts</w:t>
      </w:r>
      <w:r w:rsidR="00380693">
        <w:rPr>
          <w:szCs w:val="24"/>
        </w:rPr>
        <w:fldChar w:fldCharType="begin"/>
      </w:r>
      <w:r w:rsidR="00380693">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sidR="00380693">
        <w:rPr>
          <w:szCs w:val="24"/>
        </w:rPr>
        <w:fldChar w:fldCharType="separate"/>
      </w:r>
      <w:r w:rsidR="00380693" w:rsidRPr="00380693">
        <w:t>[11]</w:t>
      </w:r>
      <w:r w:rsidR="00380693">
        <w:rPr>
          <w:szCs w:val="24"/>
        </w:rPr>
        <w:fldChar w:fldCharType="end"/>
      </w:r>
      <w:r w:rsidR="00462752">
        <w:rPr>
          <w:color w:val="auto"/>
        </w:rPr>
        <w:t xml:space="preserve">. </w:t>
      </w:r>
      <w:r w:rsidRPr="00ED0153">
        <w:rPr>
          <w:color w:val="auto"/>
        </w:rPr>
        <w:t>Major technology firms such as Google, Microsoft and Meta have all committed to running 24/7 carbon-free energy (CFE) operations by 2030 — a criterion that includes matching all hours of electricity use with clean generation, not accounting for it on an annual basis using renewable electricity certificates (RECs)</w:t>
      </w:r>
      <w:r w:rsidR="00A13CFF">
        <w:rPr>
          <w:color w:val="auto"/>
        </w:rPr>
        <w:fldChar w:fldCharType="begin"/>
      </w:r>
      <w:r w:rsidR="00A13CFF">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sidR="00A13CFF">
        <w:rPr>
          <w:color w:val="auto"/>
        </w:rPr>
        <w:fldChar w:fldCharType="separate"/>
      </w:r>
      <w:r w:rsidR="00A13CFF" w:rsidRPr="00A13CFF">
        <w:t>[12]</w:t>
      </w:r>
      <w:r w:rsidR="00A13CFF">
        <w:rPr>
          <w:color w:val="auto"/>
        </w:rPr>
        <w:fldChar w:fldCharType="end"/>
      </w:r>
      <w:r w:rsidRPr="00ED0153">
        <w:rPr>
          <w:color w:val="auto"/>
        </w:rPr>
        <w:t>.</w:t>
      </w:r>
    </w:p>
    <w:p w14:paraId="7E54A633" w14:textId="1A7020D3" w:rsidR="00ED0153" w:rsidRPr="00ED0153" w:rsidRDefault="00ED0153" w:rsidP="003F5F56">
      <w:pPr>
        <w:pStyle w:val="Text"/>
        <w:rPr>
          <w:color w:val="auto"/>
        </w:rPr>
      </w:pPr>
      <w:r w:rsidRPr="00ED0153">
        <w:rPr>
          <w:color w:val="auto"/>
        </w:rPr>
        <w:t>The price curve of renewable energy technologies has reshaped how data centers buy power. PV module prices dropped by more than 90</w:t>
      </w:r>
      <w:r w:rsidR="00FD76F5">
        <w:rPr>
          <w:color w:val="auto"/>
        </w:rPr>
        <w:t xml:space="preserve">% </w:t>
      </w:r>
      <w:r w:rsidRPr="00ED0153">
        <w:rPr>
          <w:color w:val="auto"/>
        </w:rPr>
        <w:t>since 2010, to about $0.15 to $0.25 per watt for commercial-grade modules in 2024, and PV system costs for ground mounted utility-scale systems are approximately $0.75 to $1.40 per watt</w:t>
      </w:r>
      <w:r w:rsidR="000D6850">
        <w:rPr>
          <w:color w:val="auto"/>
        </w:rPr>
        <w:fldChar w:fldCharType="begin"/>
      </w:r>
      <w:r w:rsidR="00665F0B">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2023"}}],"schema":"https://github.com/citation-style-language/schema/raw/master/csl-citation.json"} </w:instrText>
      </w:r>
      <w:r w:rsidR="000D6850">
        <w:rPr>
          <w:color w:val="auto"/>
        </w:rPr>
        <w:fldChar w:fldCharType="separate"/>
      </w:r>
      <w:r w:rsidR="00665F0B" w:rsidRPr="00665F0B">
        <w:t>[13], [14]</w:t>
      </w:r>
      <w:r w:rsidR="000D6850">
        <w:rPr>
          <w:color w:val="auto"/>
        </w:rPr>
        <w:fldChar w:fldCharType="end"/>
      </w:r>
      <w:r w:rsidRPr="00ED0153">
        <w:rPr>
          <w:color w:val="auto"/>
        </w:rPr>
        <w:t>. Onshore wind has also performed well, giving capacity factors in the range of 25 to 40</w:t>
      </w:r>
      <w:r w:rsidR="00CC570B">
        <w:rPr>
          <w:color w:val="auto"/>
        </w:rPr>
        <w:t xml:space="preserve">% </w:t>
      </w:r>
      <w:r w:rsidRPr="00ED0153">
        <w:rPr>
          <w:color w:val="auto"/>
        </w:rPr>
        <w:t xml:space="preserve">and </w:t>
      </w:r>
      <w:r w:rsidR="00BE4166">
        <w:rPr>
          <w:color w:val="auto"/>
        </w:rPr>
        <w:t>Levelized Cost of Energy (</w:t>
      </w:r>
      <w:r w:rsidRPr="00ED0153">
        <w:rPr>
          <w:color w:val="auto"/>
        </w:rPr>
        <w:t>LCOE</w:t>
      </w:r>
      <w:r w:rsidR="00BE4166">
        <w:rPr>
          <w:color w:val="auto"/>
        </w:rPr>
        <w:t>)</w:t>
      </w:r>
      <w:r w:rsidRPr="00ED0153">
        <w:rPr>
          <w:color w:val="auto"/>
        </w:rPr>
        <w:t xml:space="preserve"> in the range of $25 to $45 per MWh, placing onshore wind among the most cost-competitive electricity generation technologies for the world</w:t>
      </w:r>
      <w:r w:rsidR="00AE55E1">
        <w:rPr>
          <w:color w:val="auto"/>
        </w:rPr>
        <w:fldChar w:fldCharType="begin"/>
      </w:r>
      <w:r w:rsidR="00BB1439">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AE55E1">
        <w:rPr>
          <w:color w:val="auto"/>
        </w:rPr>
        <w:fldChar w:fldCharType="separate"/>
      </w:r>
      <w:r w:rsidR="003F5F56" w:rsidRPr="003F5F56">
        <w:t>[15], [16]</w:t>
      </w:r>
      <w:r w:rsidR="00AE55E1">
        <w:rPr>
          <w:color w:val="auto"/>
        </w:rPr>
        <w:fldChar w:fldCharType="end"/>
      </w:r>
      <w:r w:rsidRPr="00ED0153">
        <w:rPr>
          <w:color w:val="auto"/>
        </w:rPr>
        <w:t xml:space="preserve">. </w:t>
      </w:r>
      <w:r w:rsidR="00C55716">
        <w:rPr>
          <w:color w:val="auto"/>
        </w:rPr>
        <w:t>Bloomberg New Energy Finance (BNEF)</w:t>
      </w:r>
      <w:r w:rsidRPr="00ED0153">
        <w:rPr>
          <w:color w:val="auto"/>
        </w:rPr>
        <w:t xml:space="preserve"> estimates that battery energy storage system (BESS) prices dropped significantly from $300/kWh in 2020 to $108/kWh in 2025, according to its annual survey</w:t>
      </w:r>
      <w:r w:rsidR="000C2F0C">
        <w:rPr>
          <w:color w:val="auto"/>
        </w:rPr>
        <w:fldChar w:fldCharType="begin"/>
      </w:r>
      <w:r w:rsidR="003F5F56">
        <w:rPr>
          <w:color w:val="auto"/>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C2F0C">
        <w:rPr>
          <w:color w:val="auto"/>
        </w:rPr>
        <w:fldChar w:fldCharType="separate"/>
      </w:r>
      <w:r w:rsidR="003F5F56" w:rsidRPr="003F5F56">
        <w:t>[17]</w:t>
      </w:r>
      <w:r w:rsidR="000C2F0C">
        <w:rPr>
          <w:color w:val="auto"/>
        </w:rPr>
        <w:fldChar w:fldCharType="end"/>
      </w:r>
      <w:r w:rsidRPr="00ED0153">
        <w:rPr>
          <w:color w:val="auto"/>
        </w:rPr>
        <w:t>.</w:t>
      </w:r>
    </w:p>
    <w:p w14:paraId="78B11BF2" w14:textId="0379A45C" w:rsidR="004B2DB1" w:rsidRDefault="00ED0153" w:rsidP="00624913">
      <w:pPr>
        <w:pStyle w:val="Text"/>
        <w:rPr>
          <w:color w:val="auto"/>
        </w:rPr>
      </w:pPr>
      <w:r w:rsidRPr="00ED0153">
        <w:rPr>
          <w:color w:val="auto"/>
        </w:rPr>
        <w:t xml:space="preserve">Advances in inverter technology, grid-forming control algorithms and advanced energy management systems have made technical feasibility a lot stronger. Nonetheless, non-synchronous generator grid forming inverters can now offer synthetic inertia, voltage and frequency regulation functions previously available only from synchronous generators, allowing for an increased penetration level of </w:t>
      </w:r>
      <w:r w:rsidR="00FB1BE5">
        <w:rPr>
          <w:color w:val="auto"/>
        </w:rPr>
        <w:t>Variable Renewable Energy (VRE)</w:t>
      </w:r>
      <w:r w:rsidRPr="00ED0153">
        <w:rPr>
          <w:color w:val="auto"/>
        </w:rPr>
        <w:t xml:space="preserve"> to ensure </w:t>
      </w:r>
      <w:r w:rsidRPr="00ED0153">
        <w:rPr>
          <w:color w:val="auto"/>
        </w:rPr>
        <w:lastRenderedPageBreak/>
        <w:t>grid stability without compromising the inherent benefits of VRE</w:t>
      </w:r>
      <w:r w:rsidR="002272B2">
        <w:rPr>
          <w:color w:val="auto"/>
        </w:rPr>
        <w:fldChar w:fldCharType="begin"/>
      </w:r>
      <w:r w:rsidR="002272B2">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002272B2">
        <w:rPr>
          <w:color w:val="auto"/>
        </w:rPr>
        <w:fldChar w:fldCharType="separate"/>
      </w:r>
      <w:r w:rsidR="002272B2" w:rsidRPr="002272B2">
        <w:t>[18]</w:t>
      </w:r>
      <w:r w:rsidR="002272B2">
        <w:rPr>
          <w:color w:val="auto"/>
        </w:rPr>
        <w:fldChar w:fldCharType="end"/>
      </w:r>
      <w:r w:rsidRPr="00ED0153">
        <w:rPr>
          <w:color w:val="auto"/>
        </w:rPr>
        <w:t>. At the same time, the rise and development of advanced load management strategies, such as AI workload scheduling and demand response participation, offer new tools for managing load and demand in real-time</w:t>
      </w:r>
      <w:r w:rsidR="00624913">
        <w:rPr>
          <w:color w:val="auto"/>
        </w:rPr>
        <w:fldChar w:fldCharType="begin"/>
      </w:r>
      <w:r w:rsidR="00624913">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sidR="00624913">
        <w:rPr>
          <w:color w:val="auto"/>
        </w:rPr>
        <w:fldChar w:fldCharType="separate"/>
      </w:r>
      <w:r w:rsidR="00624913" w:rsidRPr="00624913">
        <w:t>[19]</w:t>
      </w:r>
      <w:r w:rsidR="00624913">
        <w:rPr>
          <w:color w:val="auto"/>
        </w:rPr>
        <w:fldChar w:fldCharType="end"/>
      </w:r>
      <w:r w:rsidRPr="00ED0153">
        <w:rPr>
          <w:color w:val="auto"/>
        </w:rPr>
        <w:t>.</w:t>
      </w:r>
    </w:p>
    <w:p w14:paraId="0FE7B61D" w14:textId="307DEE37" w:rsidR="007F408C" w:rsidRPr="007F408C" w:rsidRDefault="007F408C" w:rsidP="00B768DA">
      <w:pPr>
        <w:pStyle w:val="Text"/>
        <w:rPr>
          <w:color w:val="auto"/>
          <w:lang w:val="en-CA"/>
        </w:rPr>
      </w:pPr>
      <w:r w:rsidRPr="007F408C">
        <w:rPr>
          <w:color w:val="auto"/>
          <w:lang w:val="en-CA"/>
        </w:rPr>
        <w:t>Despite these barriers, quantified evidence suggests that integrated frameworks significantly reduce implementation risk. For example, grid interconnection queue times (currently 3–5 years in congested U.S. regions) can be reduced by 40–60% through advance resource assessment and pre-application coordination documented in this framework.</w:t>
      </w:r>
      <w:r>
        <w:rPr>
          <w:color w:val="auto"/>
          <w:lang w:val="en-CA"/>
        </w:rPr>
        <w:t xml:space="preserve"> </w:t>
      </w:r>
      <w:r w:rsidRPr="007F408C">
        <w:rPr>
          <w:color w:val="auto"/>
          <w:lang w:val="en-CA"/>
        </w:rPr>
        <w:t>Power quality compliance ($THD &lt; 5% per IEEE 519) is achievable through strategic inverter placement and active harmonic mitigation sizing protocols detailed in Section 5.3 and 6.3. Energy storage undersizing—a common cause of project failure—can be avoided through the probabilistic and optimization-based sizing methodologies presented in Section 5.3, which have demonstrated 20–30% cost reductions in deployed case studies. This paper operationalizes these solutions into a cohesive, deployable framework applicable to diverse geographic and climatic contexts.</w:t>
      </w:r>
    </w:p>
    <w:p w14:paraId="52E830AB" w14:textId="4358FE03" w:rsidR="009E3649" w:rsidRPr="009E3649" w:rsidRDefault="009E3649" w:rsidP="009E3649">
      <w:pPr>
        <w:pStyle w:val="Heading20"/>
        <w:rPr>
          <w:color w:val="auto"/>
          <w:lang w:val="en-CA"/>
        </w:rPr>
      </w:pPr>
      <w:r w:rsidRPr="00962BDF">
        <w:rPr>
          <w:color w:val="auto"/>
          <w:lang w:val="en-CA"/>
        </w:rPr>
        <w:t>1.</w:t>
      </w:r>
      <w:r w:rsidR="003D3FE4">
        <w:rPr>
          <w:color w:val="auto"/>
          <w:lang w:val="en-CA"/>
        </w:rPr>
        <w:t>3</w:t>
      </w:r>
      <w:r w:rsidRPr="00962BDF">
        <w:rPr>
          <w:color w:val="auto"/>
          <w:lang w:val="en-CA"/>
        </w:rPr>
        <w:t xml:space="preserve">. </w:t>
      </w:r>
      <w:r>
        <w:rPr>
          <w:color w:val="auto"/>
          <w:lang w:val="en-CA"/>
        </w:rPr>
        <w:t>Core Challenges in Renewable Integration</w:t>
      </w:r>
    </w:p>
    <w:p w14:paraId="16642655" w14:textId="02C0BDD3" w:rsidR="009E3649" w:rsidRPr="009E3649" w:rsidRDefault="005957BD" w:rsidP="00266ECA">
      <w:pPr>
        <w:pStyle w:val="Text"/>
        <w:rPr>
          <w:color w:val="auto"/>
        </w:rPr>
      </w:pPr>
      <w:r>
        <w:rPr>
          <w:szCs w:val="24"/>
        </w:rPr>
        <w:t>Despite favorable economic and technological trends, significant challenges remain in achieving reliable, renewable-powered data center operations</w:t>
      </w:r>
      <w:r w:rsidR="009E3649" w:rsidRPr="009E3649">
        <w:rPr>
          <w:color w:val="auto"/>
        </w:rPr>
        <w:t>. Solar and wind generation has inherent intermittency that makes it difficult to match up the supply and demand at the transmission level; managing this mismatch combines energy storage, demand flexibility, and expansion of the grid</w:t>
      </w:r>
      <w:r w:rsidR="00465E05">
        <w:rPr>
          <w:color w:val="auto"/>
        </w:rPr>
        <w:fldChar w:fldCharType="begin"/>
      </w:r>
      <w:r w:rsidR="00465E05">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sidR="00465E05">
        <w:rPr>
          <w:color w:val="auto"/>
        </w:rPr>
        <w:fldChar w:fldCharType="separate"/>
      </w:r>
      <w:r w:rsidR="00465E05" w:rsidRPr="00465E05">
        <w:t>[20]</w:t>
      </w:r>
      <w:r w:rsidR="00465E05">
        <w:rPr>
          <w:color w:val="auto"/>
        </w:rPr>
        <w:fldChar w:fldCharType="end"/>
      </w:r>
      <w:r w:rsidR="009E3649" w:rsidRPr="009E3649">
        <w:rPr>
          <w:color w:val="auto"/>
        </w:rPr>
        <w:t>. Rapid variations in solar power due to cloud cover can mean that it drops by 60-90</w:t>
      </w:r>
      <w:r w:rsidR="00D9450C">
        <w:rPr>
          <w:color w:val="auto"/>
        </w:rPr>
        <w:t xml:space="preserve">% </w:t>
      </w:r>
      <w:r w:rsidR="009E3649" w:rsidRPr="009E3649">
        <w:rPr>
          <w:color w:val="auto"/>
        </w:rPr>
        <w:t>in just a few minutes; similarly hourly changes in wind generation could be 30-50</w:t>
      </w:r>
      <w:r w:rsidR="00D9450C">
        <w:rPr>
          <w:color w:val="auto"/>
        </w:rPr>
        <w:t xml:space="preserve">% </w:t>
      </w:r>
      <w:r w:rsidR="009E3649" w:rsidRPr="009E3649">
        <w:rPr>
          <w:color w:val="auto"/>
        </w:rPr>
        <w:t>without wind interruptions</w:t>
      </w:r>
      <w:r w:rsidR="00266ECA">
        <w:rPr>
          <w:color w:val="auto"/>
        </w:rPr>
        <w:fldChar w:fldCharType="begin"/>
      </w:r>
      <w:r w:rsidR="00266ECA">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sidR="00266ECA">
        <w:rPr>
          <w:rFonts w:ascii="Cambria Math" w:hAnsi="Cambria Math" w:cs="Cambria Math"/>
          <w:color w:val="auto"/>
        </w:rPr>
        <w:instrText>∘</w:instrText>
      </w:r>
      <w:r w:rsidR="00266ECA">
        <w:rPr>
          <w:color w:val="auto"/>
        </w:rPr>
        <w:instrText xml:space="preserve">\n                      \n                      ×\n                      \n                        \n                          0.25\n                        \n                        </w:instrText>
      </w:r>
      <w:r w:rsidR="00266ECA">
        <w:rPr>
          <w:rFonts w:ascii="Cambria Math" w:hAnsi="Cambria Math" w:cs="Cambria Math"/>
          <w:color w:val="auto"/>
        </w:rPr>
        <w:instrText>∘</w:instrText>
      </w:r>
      <w:r w:rsidR="00266ECA">
        <w:rPr>
          <w:color w:val="auto"/>
        </w:rPr>
        <w:instrText xml:space="preserve">\n                      \n                      \n                        (\n                        </w:instrText>
      </w:r>
      <w:r w:rsidR="00266ECA">
        <w:rPr>
          <w:rFonts w:ascii="Cambria Math" w:hAnsi="Cambria Math" w:cs="Cambria Math"/>
          <w:color w:val="auto"/>
        </w:rPr>
        <w:instrText>∼</w:instrText>
      </w:r>
      <w:r w:rsidR="00266ECA">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sidR="00266ECA">
        <w:rPr>
          <w:color w:val="auto"/>
        </w:rPr>
        <w:fldChar w:fldCharType="separate"/>
      </w:r>
      <w:r w:rsidR="00266ECA" w:rsidRPr="00266ECA">
        <w:t>[21]</w:t>
      </w:r>
      <w:r w:rsidR="00266ECA">
        <w:rPr>
          <w:color w:val="auto"/>
        </w:rPr>
        <w:fldChar w:fldCharType="end"/>
      </w:r>
      <w:r w:rsidR="009E3649" w:rsidRPr="009E3649">
        <w:rPr>
          <w:color w:val="auto"/>
        </w:rPr>
        <w:t>.</w:t>
      </w:r>
      <w:r w:rsidR="00D9450C">
        <w:rPr>
          <w:color w:val="auto"/>
        </w:rPr>
        <w:t xml:space="preserve"> </w:t>
      </w:r>
      <w:r w:rsidR="009E3649" w:rsidRPr="009E3649">
        <w:rPr>
          <w:color w:val="auto"/>
        </w:rPr>
        <w:t>These variability patterns need storage systems to span gaps of hours depending on resource profile and load requirements.</w:t>
      </w:r>
    </w:p>
    <w:p w14:paraId="2F61A54F" w14:textId="77777777" w:rsidR="00D746B6" w:rsidRDefault="009E3649" w:rsidP="00D746B6">
      <w:pPr>
        <w:spacing w:after="120"/>
        <w:ind w:firstLine="480"/>
      </w:pPr>
      <w:r w:rsidRPr="009E3649">
        <w:rPr>
          <w:color w:val="auto"/>
        </w:rPr>
        <w:t>Another key issue is power quality. A high amount of harmonic distortion is produced by data centre loads, especially for computing loads employing switched-mode power supplies (SMPS). The number of modern nonlinear loads, such as the variable frequency drive (VFD) for cooling system, and LED lights, adds to the total harmonic distortion (THD) which should not exceed 5</w:t>
      </w:r>
      <w:r w:rsidR="00786534">
        <w:rPr>
          <w:color w:val="auto"/>
        </w:rPr>
        <w:t xml:space="preserve">% </w:t>
      </w:r>
      <w:r w:rsidRPr="009E3649">
        <w:rPr>
          <w:color w:val="auto"/>
        </w:rPr>
        <w:t>based on IEEE 519 standards</w:t>
      </w:r>
      <w:r w:rsidR="006C04AA">
        <w:rPr>
          <w:color w:val="auto"/>
        </w:rPr>
        <w:fldChar w:fldCharType="begin"/>
      </w:r>
      <w:r w:rsidR="006C04AA">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6C04AA">
        <w:rPr>
          <w:color w:val="auto"/>
        </w:rPr>
        <w:fldChar w:fldCharType="separate"/>
      </w:r>
      <w:r w:rsidR="006C04AA" w:rsidRPr="006C04AA">
        <w:t>[22]</w:t>
      </w:r>
      <w:r w:rsidR="006C04AA">
        <w:rPr>
          <w:color w:val="auto"/>
        </w:rPr>
        <w:fldChar w:fldCharType="end"/>
      </w:r>
      <w:r w:rsidRPr="009E3649">
        <w:rPr>
          <w:color w:val="auto"/>
        </w:rPr>
        <w:t xml:space="preserve">. </w:t>
      </w:r>
      <w:r w:rsidR="00D746B6">
        <w:rPr>
          <w:szCs w:val="24"/>
        </w:rPr>
        <w:t>The addition of inverter-based renewable energy sources introduces additional harmonic sources, requiring careful design of filtering and power conditioning systems to maintain compliance with power quality standards.</w:t>
      </w:r>
    </w:p>
    <w:p w14:paraId="19CB40B7" w14:textId="1ADE3C9E" w:rsidR="009E3649" w:rsidRDefault="009E3649" w:rsidP="002E2886">
      <w:pPr>
        <w:pStyle w:val="Text"/>
        <w:rPr>
          <w:color w:val="auto"/>
        </w:rPr>
      </w:pPr>
      <w:r w:rsidRPr="009E3649">
        <w:rPr>
          <w:color w:val="auto"/>
        </w:rPr>
        <w:t xml:space="preserve">More complex grid interconnection is an enormous hindrance to deployment. However, for congested grid areas like those currently experiencing queues of 3-5 years for studies with $50,000 to $500,000 and grid upgrades potentially running into the $10 million range, as is currently the case with </w:t>
      </w:r>
      <w:r w:rsidR="00C6437B">
        <w:rPr>
          <w:color w:val="auto"/>
        </w:rPr>
        <w:t xml:space="preserve">(California ISO) </w:t>
      </w:r>
      <w:r w:rsidRPr="009E3649">
        <w:rPr>
          <w:color w:val="auto"/>
        </w:rPr>
        <w:t xml:space="preserve">CAISO and </w:t>
      </w:r>
      <w:r w:rsidR="00531B55" w:rsidRPr="00531B55">
        <w:rPr>
          <w:color w:val="auto"/>
        </w:rPr>
        <w:t xml:space="preserve">Pennsylvania-New Jersey-Maryland Interconnection </w:t>
      </w:r>
      <w:r w:rsidR="00531B55">
        <w:rPr>
          <w:color w:val="auto"/>
        </w:rPr>
        <w:t xml:space="preserve">(PJM) </w:t>
      </w:r>
      <w:r w:rsidRPr="009E3649">
        <w:rPr>
          <w:color w:val="auto"/>
        </w:rPr>
        <w:t>in the United States</w:t>
      </w:r>
      <w:r w:rsidR="00D233EF">
        <w:rPr>
          <w:color w:val="auto"/>
        </w:rPr>
        <w:fldChar w:fldCharType="begin"/>
      </w:r>
      <w:r w:rsidR="00D233EF">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Questions","author":[{"family":"Offutt","given":"Martin C"},{"family":"Zhu","given":"Ling"}]}}],"schema":"https://github.com/citation-style-language/schema/raw/master/csl-citation.json"} </w:instrText>
      </w:r>
      <w:r w:rsidR="00D233EF">
        <w:rPr>
          <w:color w:val="auto"/>
        </w:rPr>
        <w:fldChar w:fldCharType="separate"/>
      </w:r>
      <w:r w:rsidR="00D233EF" w:rsidRPr="00D233EF">
        <w:t>[23]</w:t>
      </w:r>
      <w:r w:rsidR="00D233EF">
        <w:rPr>
          <w:color w:val="auto"/>
        </w:rPr>
        <w:fldChar w:fldCharType="end"/>
      </w:r>
      <w:r w:rsidRPr="009E3649">
        <w:rPr>
          <w:color w:val="auto"/>
        </w:rPr>
        <w:t xml:space="preserve">. In July 2023, </w:t>
      </w:r>
      <w:r w:rsidR="00531B55" w:rsidRPr="00531B55">
        <w:rPr>
          <w:color w:val="auto"/>
        </w:rPr>
        <w:t xml:space="preserve">Federal Energy Regulatory Commission </w:t>
      </w:r>
      <w:r w:rsidR="00531B55">
        <w:rPr>
          <w:color w:val="auto"/>
        </w:rPr>
        <w:t>(</w:t>
      </w:r>
      <w:r w:rsidRPr="009E3649">
        <w:rPr>
          <w:color w:val="auto"/>
        </w:rPr>
        <w:t>FERC</w:t>
      </w:r>
      <w:r w:rsidR="00531B55">
        <w:rPr>
          <w:color w:val="auto"/>
        </w:rPr>
        <w:t>)</w:t>
      </w:r>
      <w:r w:rsidRPr="009E3649">
        <w:rPr>
          <w:color w:val="auto"/>
        </w:rPr>
        <w:t xml:space="preserve"> issued Order 2023 to streamline the interconnection process for inverter-based resources by establishing standardized procedures and timelines for </w:t>
      </w:r>
      <w:r w:rsidRPr="009E3649">
        <w:rPr>
          <w:color w:val="auto"/>
        </w:rPr>
        <w:lastRenderedPageBreak/>
        <w:t xml:space="preserve">interconnection </w:t>
      </w:r>
      <w:r w:rsidR="00363AE3" w:rsidRPr="009E3649">
        <w:rPr>
          <w:color w:val="auto"/>
        </w:rPr>
        <w:t xml:space="preserve">applications </w:t>
      </w:r>
      <w:r w:rsidR="002E2886">
        <w:rPr>
          <w:color w:val="auto"/>
        </w:rPr>
        <w:fldChar w:fldCharType="begin"/>
      </w:r>
      <w:r w:rsidR="00E342F7">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E2886">
        <w:rPr>
          <w:color w:val="auto"/>
        </w:rPr>
        <w:fldChar w:fldCharType="separate"/>
      </w:r>
      <w:r w:rsidR="002E2886" w:rsidRPr="002E2886">
        <w:t>[24]</w:t>
      </w:r>
      <w:r w:rsidR="002E2886">
        <w:rPr>
          <w:color w:val="auto"/>
        </w:rPr>
        <w:fldChar w:fldCharType="end"/>
      </w:r>
      <w:r w:rsidR="003B1D88">
        <w:rPr>
          <w:color w:val="auto"/>
        </w:rPr>
        <w:t xml:space="preserve"> </w:t>
      </w:r>
      <w:r w:rsidR="00363AE3">
        <w:rPr>
          <w:color w:val="auto"/>
        </w:rPr>
        <w:t>where</w:t>
      </w:r>
      <w:r w:rsidR="00A1253B">
        <w:rPr>
          <w:color w:val="auto"/>
        </w:rPr>
        <w:t xml:space="preserve"> its i</w:t>
      </w:r>
      <w:r w:rsidRPr="009E3649">
        <w:rPr>
          <w:color w:val="auto"/>
        </w:rPr>
        <w:t>mplementation of the Order will take several years.</w:t>
      </w:r>
    </w:p>
    <w:p w14:paraId="5277EAED" w14:textId="2A2A9E78" w:rsidR="003B1D88" w:rsidRDefault="003B1D88" w:rsidP="003B1D88">
      <w:pPr>
        <w:pStyle w:val="Heading20"/>
        <w:rPr>
          <w:color w:val="auto"/>
          <w:lang w:val="en-CA"/>
        </w:rPr>
      </w:pPr>
      <w:r w:rsidRPr="00962BDF">
        <w:rPr>
          <w:color w:val="auto"/>
          <w:lang w:val="en-CA"/>
        </w:rPr>
        <w:t>1.</w:t>
      </w:r>
      <w:r w:rsidR="00E342F7">
        <w:rPr>
          <w:color w:val="auto"/>
          <w:lang w:val="en-CA"/>
        </w:rPr>
        <w:t>5</w:t>
      </w:r>
      <w:r w:rsidRPr="00962BDF">
        <w:rPr>
          <w:color w:val="auto"/>
          <w:lang w:val="en-CA"/>
        </w:rPr>
        <w:t xml:space="preserve">. </w:t>
      </w:r>
      <w:r>
        <w:rPr>
          <w:color w:val="auto"/>
          <w:lang w:val="en-CA"/>
        </w:rPr>
        <w:t>Research Gap and Paper Statement</w:t>
      </w:r>
    </w:p>
    <w:p w14:paraId="4C9220B6" w14:textId="63115662" w:rsidR="00070841" w:rsidRPr="00070841" w:rsidRDefault="00070841" w:rsidP="00B856CD">
      <w:pPr>
        <w:pStyle w:val="Text"/>
        <w:rPr>
          <w:color w:val="auto"/>
        </w:rPr>
      </w:pPr>
      <w:r w:rsidRPr="00070841">
        <w:rPr>
          <w:color w:val="auto"/>
        </w:rPr>
        <w:t xml:space="preserve">Although there are numerous works on individual aspects of renewable electricity integration, in practical terms, a considerable lack of comprehensive studies exists that account for all aspects of the process of designing and operating a data center with renewable power. </w:t>
      </w:r>
      <w:r w:rsidR="00E342F7" w:rsidRPr="00070841">
        <w:rPr>
          <w:color w:val="auto"/>
        </w:rPr>
        <w:t>Most of the</w:t>
      </w:r>
      <w:r w:rsidRPr="00070841">
        <w:rPr>
          <w:color w:val="auto"/>
        </w:rPr>
        <w:t xml:space="preserve"> published literature has concentrated in one of two ways: either on the technical side of power systems or the economic side of energy procurement with no attempt to integrate both </w:t>
      </w:r>
      <w:r w:rsidR="00B856CD" w:rsidRPr="00B856CD">
        <w:rPr>
          <w:color w:val="auto"/>
        </w:rPr>
        <w:t>leaving a critical gap where technical and economic dimensions are not integrated</w:t>
      </w:r>
      <w:r w:rsidR="00B856CD" w:rsidRPr="00B856CD" w:rsidDel="00B856CD">
        <w:rPr>
          <w:color w:val="auto"/>
        </w:rPr>
        <w:t xml:space="preserve"> </w:t>
      </w:r>
      <w:r w:rsidR="00E342F7">
        <w:rPr>
          <w:color w:val="auto"/>
        </w:rPr>
        <w:fldChar w:fldCharType="begin"/>
      </w:r>
      <w:r w:rsidR="00E342F7">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sidR="00E342F7">
        <w:rPr>
          <w:color w:val="auto"/>
        </w:rPr>
        <w:fldChar w:fldCharType="separate"/>
      </w:r>
      <w:r w:rsidR="00E342F7" w:rsidRPr="00E342F7">
        <w:t>[25]</w:t>
      </w:r>
      <w:r w:rsidR="00E342F7">
        <w:rPr>
          <w:color w:val="auto"/>
        </w:rPr>
        <w:fldChar w:fldCharType="end"/>
      </w:r>
      <w:r w:rsidRPr="00070841">
        <w:rPr>
          <w:color w:val="auto"/>
        </w:rPr>
        <w:t>. Further, the dynamic nature of AI workloads, with small shifts to ever more power dense accelerators, necessitates analysis that is in line with the latest hardware capabilities and their impact on creating effective infrastructure implementations</w:t>
      </w:r>
      <w:r w:rsidR="00A8646E">
        <w:rPr>
          <w:color w:val="auto"/>
        </w:rPr>
        <w:fldChar w:fldCharType="begin"/>
      </w:r>
      <w:r w:rsidR="00A8646E">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sidR="00A8646E">
        <w:rPr>
          <w:color w:val="auto"/>
        </w:rPr>
        <w:fldChar w:fldCharType="separate"/>
      </w:r>
      <w:r w:rsidR="00A8646E" w:rsidRPr="00A8646E">
        <w:t>[26]</w:t>
      </w:r>
      <w:r w:rsidR="00A8646E">
        <w:rPr>
          <w:color w:val="auto"/>
        </w:rPr>
        <w:fldChar w:fldCharType="end"/>
      </w:r>
      <w:r w:rsidRPr="00070841">
        <w:rPr>
          <w:color w:val="auto"/>
        </w:rPr>
        <w:t>.</w:t>
      </w:r>
    </w:p>
    <w:p w14:paraId="75673E3A" w14:textId="562E7E01" w:rsidR="00332576" w:rsidRDefault="00070841" w:rsidP="00070841">
      <w:pPr>
        <w:pStyle w:val="Text"/>
        <w:rPr>
          <w:color w:val="auto"/>
        </w:rPr>
      </w:pPr>
      <w:r w:rsidRPr="00070841">
        <w:rPr>
          <w:color w:val="auto"/>
        </w:rPr>
        <w:t xml:space="preserve">The gap mentioned above is addressed in this paper by </w:t>
      </w:r>
      <w:r w:rsidR="00BE113B" w:rsidRPr="00BE113B">
        <w:rPr>
          <w:color w:val="auto"/>
        </w:rPr>
        <w:t>proposing a seven-component framework for designing and deploying</w:t>
      </w:r>
      <w:r w:rsidR="00BE113B">
        <w:rPr>
          <w:color w:val="auto"/>
        </w:rPr>
        <w:t xml:space="preserve"> </w:t>
      </w:r>
      <w:r w:rsidRPr="00070841">
        <w:rPr>
          <w:color w:val="auto"/>
        </w:rPr>
        <w:t xml:space="preserve">renewable powered AI data centers. The framework covers the following: </w:t>
      </w:r>
    </w:p>
    <w:p w14:paraId="51F4D71C" w14:textId="77777777" w:rsidR="00332576" w:rsidRDefault="00070841" w:rsidP="00070841">
      <w:pPr>
        <w:pStyle w:val="Text"/>
        <w:rPr>
          <w:color w:val="auto"/>
        </w:rPr>
      </w:pPr>
      <w:r w:rsidRPr="00070841">
        <w:rPr>
          <w:color w:val="auto"/>
        </w:rPr>
        <w:t xml:space="preserve">(1) Site assessment and resource evaluation, </w:t>
      </w:r>
    </w:p>
    <w:p w14:paraId="7C7D1594" w14:textId="77777777" w:rsidR="00332576" w:rsidRDefault="00070841" w:rsidP="00070841">
      <w:pPr>
        <w:pStyle w:val="Text"/>
        <w:rPr>
          <w:color w:val="auto"/>
        </w:rPr>
      </w:pPr>
      <w:r w:rsidRPr="00070841">
        <w:rPr>
          <w:color w:val="auto"/>
        </w:rPr>
        <w:t xml:space="preserve">(2) Technology mix optimization, </w:t>
      </w:r>
    </w:p>
    <w:p w14:paraId="70583D88" w14:textId="77777777" w:rsidR="00332576" w:rsidRDefault="00070841" w:rsidP="00070841">
      <w:pPr>
        <w:pStyle w:val="Text"/>
        <w:rPr>
          <w:color w:val="auto"/>
        </w:rPr>
      </w:pPr>
      <w:r w:rsidRPr="00070841">
        <w:rPr>
          <w:color w:val="auto"/>
        </w:rPr>
        <w:t xml:space="preserve">(3) Electrical architecture and integration design, </w:t>
      </w:r>
    </w:p>
    <w:p w14:paraId="469F8424" w14:textId="77777777" w:rsidR="00332576" w:rsidRDefault="00070841" w:rsidP="00070841">
      <w:pPr>
        <w:pStyle w:val="Text"/>
        <w:rPr>
          <w:color w:val="auto"/>
        </w:rPr>
      </w:pPr>
      <w:r w:rsidRPr="00070841">
        <w:rPr>
          <w:color w:val="auto"/>
        </w:rPr>
        <w:t xml:space="preserve">(4) Hierarchical control and dispatch strategies, </w:t>
      </w:r>
    </w:p>
    <w:p w14:paraId="5BB9BBE4" w14:textId="77777777" w:rsidR="00332576" w:rsidRDefault="00070841" w:rsidP="00070841">
      <w:pPr>
        <w:pStyle w:val="Text"/>
        <w:rPr>
          <w:color w:val="auto"/>
        </w:rPr>
      </w:pPr>
      <w:r w:rsidRPr="00070841">
        <w:rPr>
          <w:color w:val="auto"/>
        </w:rPr>
        <w:t xml:space="preserve">(5) Demand-side workload flexibility, </w:t>
      </w:r>
    </w:p>
    <w:p w14:paraId="2316C65C" w14:textId="77777777" w:rsidR="00332576" w:rsidRDefault="00070841" w:rsidP="00070841">
      <w:pPr>
        <w:pStyle w:val="Text"/>
        <w:rPr>
          <w:color w:val="auto"/>
        </w:rPr>
      </w:pPr>
      <w:r w:rsidRPr="00070841">
        <w:rPr>
          <w:color w:val="auto"/>
        </w:rPr>
        <w:t xml:space="preserve">(6) Economic viability modelling, and </w:t>
      </w:r>
    </w:p>
    <w:p w14:paraId="79CFC504" w14:textId="77777777" w:rsidR="00332576" w:rsidRDefault="00070841" w:rsidP="00070841">
      <w:pPr>
        <w:pStyle w:val="Text"/>
        <w:rPr>
          <w:color w:val="auto"/>
        </w:rPr>
      </w:pPr>
      <w:r w:rsidRPr="00070841">
        <w:rPr>
          <w:color w:val="auto"/>
        </w:rPr>
        <w:t xml:space="preserve">(7) Resilience and sustainability compliance. </w:t>
      </w:r>
    </w:p>
    <w:p w14:paraId="1CFDCC8C" w14:textId="3BC46E7F" w:rsidR="00070841" w:rsidRPr="00070841" w:rsidRDefault="00070841" w:rsidP="00070841">
      <w:pPr>
        <w:pStyle w:val="Text"/>
        <w:rPr>
          <w:color w:val="auto"/>
        </w:rPr>
      </w:pPr>
      <w:r w:rsidRPr="00070841">
        <w:rPr>
          <w:color w:val="auto"/>
        </w:rPr>
        <w:t>The main argument is that hybrid systems integrating renewable energy generation, energy storage, power grid interconnection, and demand-side flexibility can enable economically sustainable, environmentally friendly, and highly reliable operation of AI data centres in various geographical and climatic settings.</w:t>
      </w:r>
    </w:p>
    <w:p w14:paraId="25A18BF4" w14:textId="423A5961" w:rsidR="003B1D88" w:rsidRPr="00070841" w:rsidRDefault="002068F4" w:rsidP="00070841">
      <w:pPr>
        <w:pStyle w:val="Text"/>
        <w:rPr>
          <w:color w:val="auto"/>
        </w:rPr>
      </w:pPr>
      <w:r>
        <w:rPr>
          <w:color w:val="auto"/>
        </w:rPr>
        <w:t>section</w:t>
      </w:r>
      <w:r w:rsidRPr="00070841">
        <w:rPr>
          <w:color w:val="auto"/>
        </w:rPr>
        <w:t xml:space="preserve"> </w:t>
      </w:r>
      <w:r w:rsidR="00070841" w:rsidRPr="00070841">
        <w:rPr>
          <w:color w:val="auto"/>
        </w:rPr>
        <w:t xml:space="preserve">2 includes a detailed review of the state of the art, Chapter 3 covers the fundamentals of electricity, </w:t>
      </w:r>
      <w:r>
        <w:rPr>
          <w:color w:val="auto"/>
        </w:rPr>
        <w:t>section</w:t>
      </w:r>
      <w:r w:rsidRPr="00070841">
        <w:rPr>
          <w:color w:val="auto"/>
        </w:rPr>
        <w:t xml:space="preserve"> </w:t>
      </w:r>
      <w:r w:rsidR="00070841" w:rsidRPr="00070841">
        <w:rPr>
          <w:color w:val="auto"/>
        </w:rPr>
        <w:t xml:space="preserve">4 covers the </w:t>
      </w:r>
      <w:r w:rsidRPr="00070841">
        <w:rPr>
          <w:color w:val="auto"/>
        </w:rPr>
        <w:t>characterization</w:t>
      </w:r>
      <w:r w:rsidR="00070841" w:rsidRPr="00070841">
        <w:rPr>
          <w:color w:val="auto"/>
        </w:rPr>
        <w:t xml:space="preserve"> of renewable energy resources, </w:t>
      </w:r>
      <w:r>
        <w:rPr>
          <w:color w:val="auto"/>
        </w:rPr>
        <w:t>section</w:t>
      </w:r>
      <w:r w:rsidRPr="00070841">
        <w:rPr>
          <w:color w:val="auto"/>
        </w:rPr>
        <w:t xml:space="preserve"> </w:t>
      </w:r>
      <w:r w:rsidR="00070841" w:rsidRPr="00070841">
        <w:rPr>
          <w:color w:val="auto"/>
        </w:rPr>
        <w:t xml:space="preserve">5 deals with energy storage technologies, </w:t>
      </w:r>
      <w:r>
        <w:rPr>
          <w:color w:val="auto"/>
        </w:rPr>
        <w:t>section</w:t>
      </w:r>
      <w:r w:rsidRPr="00070841">
        <w:rPr>
          <w:color w:val="auto"/>
        </w:rPr>
        <w:t xml:space="preserve"> </w:t>
      </w:r>
      <w:r w:rsidR="00070841" w:rsidRPr="00070841">
        <w:rPr>
          <w:color w:val="auto"/>
        </w:rPr>
        <w:t xml:space="preserve">6 with power system modeling and simulation, </w:t>
      </w:r>
      <w:r>
        <w:rPr>
          <w:color w:val="auto"/>
        </w:rPr>
        <w:t>s</w:t>
      </w:r>
      <w:r w:rsidRPr="00070841">
        <w:rPr>
          <w:color w:val="auto"/>
        </w:rPr>
        <w:t xml:space="preserve"> </w:t>
      </w:r>
      <w:r w:rsidR="00070841" w:rsidRPr="00070841">
        <w:rPr>
          <w:color w:val="auto"/>
        </w:rPr>
        <w:t xml:space="preserve">8 with case studies, </w:t>
      </w:r>
      <w:r>
        <w:rPr>
          <w:color w:val="auto"/>
        </w:rPr>
        <w:t>section</w:t>
      </w:r>
      <w:r w:rsidRPr="00070841">
        <w:rPr>
          <w:color w:val="auto"/>
        </w:rPr>
        <w:t xml:space="preserve"> </w:t>
      </w:r>
      <w:r w:rsidR="00070841" w:rsidRPr="00070841">
        <w:rPr>
          <w:color w:val="auto"/>
        </w:rPr>
        <w:t xml:space="preserve">9 with technical challenges and </w:t>
      </w:r>
      <w:r>
        <w:rPr>
          <w:color w:val="auto"/>
        </w:rPr>
        <w:t>section</w:t>
      </w:r>
      <w:r w:rsidRPr="00070841">
        <w:rPr>
          <w:color w:val="auto"/>
        </w:rPr>
        <w:t xml:space="preserve"> </w:t>
      </w:r>
      <w:r w:rsidR="00070841" w:rsidRPr="00070841">
        <w:rPr>
          <w:color w:val="auto"/>
        </w:rPr>
        <w:t xml:space="preserve">10 with economics analysis, </w:t>
      </w:r>
      <w:r>
        <w:rPr>
          <w:color w:val="auto"/>
        </w:rPr>
        <w:t>section</w:t>
      </w:r>
      <w:r w:rsidRPr="00070841">
        <w:rPr>
          <w:color w:val="auto"/>
        </w:rPr>
        <w:t xml:space="preserve"> </w:t>
      </w:r>
      <w:r w:rsidR="00070841" w:rsidRPr="00070841">
        <w:rPr>
          <w:color w:val="auto"/>
        </w:rPr>
        <w:t xml:space="preserve">11 with operational strategies and </w:t>
      </w:r>
      <w:r>
        <w:rPr>
          <w:color w:val="auto"/>
        </w:rPr>
        <w:t>section</w:t>
      </w:r>
      <w:r w:rsidRPr="00070841">
        <w:rPr>
          <w:color w:val="auto"/>
        </w:rPr>
        <w:t xml:space="preserve"> </w:t>
      </w:r>
      <w:r w:rsidR="00070841" w:rsidRPr="00070841">
        <w:rPr>
          <w:color w:val="auto"/>
        </w:rPr>
        <w:t xml:space="preserve">12 with regulatory considerations, </w:t>
      </w:r>
      <w:r>
        <w:rPr>
          <w:color w:val="auto"/>
        </w:rPr>
        <w:t>section</w:t>
      </w:r>
      <w:r w:rsidRPr="00070841">
        <w:rPr>
          <w:color w:val="auto"/>
        </w:rPr>
        <w:t xml:space="preserve"> </w:t>
      </w:r>
      <w:r w:rsidR="00070841" w:rsidRPr="00070841">
        <w:rPr>
          <w:color w:val="auto"/>
        </w:rPr>
        <w:t xml:space="preserve">13 with future research directions and </w:t>
      </w:r>
      <w:r>
        <w:rPr>
          <w:color w:val="auto"/>
        </w:rPr>
        <w:t>section</w:t>
      </w:r>
      <w:r w:rsidRPr="00070841">
        <w:rPr>
          <w:color w:val="auto"/>
        </w:rPr>
        <w:t xml:space="preserve"> </w:t>
      </w:r>
      <w:r w:rsidR="00070841" w:rsidRPr="00070841">
        <w:rPr>
          <w:color w:val="auto"/>
        </w:rPr>
        <w:t xml:space="preserve">14 </w:t>
      </w:r>
      <w:r w:rsidRPr="00070841">
        <w:rPr>
          <w:color w:val="auto"/>
        </w:rPr>
        <w:t>summarizes</w:t>
      </w:r>
      <w:r w:rsidR="00070841" w:rsidRPr="00070841">
        <w:rPr>
          <w:color w:val="auto"/>
        </w:rPr>
        <w:t xml:space="preserve"> the conclusions and recommendations.</w:t>
      </w:r>
    </w:p>
    <w:p w14:paraId="46046574" w14:textId="70D2A6D0" w:rsidR="0062701F" w:rsidRDefault="008E6F28">
      <w:pPr>
        <w:pStyle w:val="Heading10"/>
        <w:rPr>
          <w:color w:val="auto"/>
        </w:rPr>
      </w:pPr>
      <w:r>
        <w:rPr>
          <w:color w:val="auto"/>
          <w:lang w:eastAsia="zh-CN"/>
        </w:rPr>
        <w:t xml:space="preserve">2. </w:t>
      </w:r>
      <w:r w:rsidR="00AB2163">
        <w:rPr>
          <w:color w:val="auto"/>
        </w:rPr>
        <w:t>Literature Review and State-of-the-Art</w:t>
      </w:r>
    </w:p>
    <w:p w14:paraId="6DB18E50" w14:textId="5383C5B7" w:rsidR="00367A03" w:rsidRDefault="00367A03" w:rsidP="00367A03">
      <w:pPr>
        <w:spacing w:after="120"/>
        <w:ind w:firstLine="480"/>
      </w:pPr>
      <w:r>
        <w:rPr>
          <w:szCs w:val="24"/>
        </w:rPr>
        <w:t xml:space="preserve">This </w:t>
      </w:r>
      <w:r w:rsidR="002068F4">
        <w:rPr>
          <w:szCs w:val="24"/>
        </w:rPr>
        <w:t>section</w:t>
      </w:r>
      <w:r>
        <w:rPr>
          <w:szCs w:val="24"/>
        </w:rPr>
        <w:t xml:space="preserve"> synthesizes the existing body of knowledge across five domains critical to renewable-powered AI data centers: data center power consumption, renewable energy technologies, energy storage systems, microgrid and grid integration, and industry case </w:t>
      </w:r>
      <w:r>
        <w:rPr>
          <w:szCs w:val="24"/>
        </w:rPr>
        <w:lastRenderedPageBreak/>
        <w:t>studies. The review draws upon over 160 sources published between 2015 and 2025, with emphasis on the most recent and impactful contributions.</w:t>
      </w:r>
    </w:p>
    <w:p w14:paraId="071660AC" w14:textId="2E11A46D" w:rsidR="0062701F" w:rsidRDefault="008E6F28">
      <w:pPr>
        <w:pStyle w:val="Heading20"/>
        <w:rPr>
          <w:color w:val="auto"/>
        </w:rPr>
      </w:pPr>
      <w:r>
        <w:rPr>
          <w:color w:val="auto"/>
        </w:rPr>
        <w:t xml:space="preserve">2.1. </w:t>
      </w:r>
      <w:r w:rsidR="00367A03">
        <w:rPr>
          <w:color w:val="auto"/>
        </w:rPr>
        <w:t>AI Data Center Power Consumption</w:t>
      </w:r>
    </w:p>
    <w:p w14:paraId="57C69CD7" w14:textId="0144D168" w:rsidR="00684620" w:rsidRPr="00684620" w:rsidRDefault="00684620" w:rsidP="00A47543">
      <w:pPr>
        <w:spacing w:after="120"/>
        <w:ind w:firstLine="480"/>
        <w:rPr>
          <w:szCs w:val="24"/>
        </w:rPr>
      </w:pPr>
      <w:r w:rsidRPr="00684620">
        <w:rPr>
          <w:szCs w:val="24"/>
        </w:rPr>
        <w:t xml:space="preserve">Unlike traditional enterprise data centers, AI data centers have different power consumption characteristics because the workloads on GPUs and TPUs are of a high intensity and concentrated nature. Unlike older AI accelerators, such as the NVIDIA H100 Tensor Core GPU, which come in a variety of thermal envelope sizes, ranging from 350W to 700W per unit, the SXM is significantly more power-hungry than the PCIe version </w:t>
      </w:r>
      <w:r w:rsidR="00D546F1">
        <w:rPr>
          <w:szCs w:val="24"/>
        </w:rPr>
        <w:fldChar w:fldCharType="begin"/>
      </w:r>
      <w:r w:rsidR="00B56A24">
        <w:rPr>
          <w:szCs w:val="24"/>
        </w:rPr>
        <w:instrText xml:space="preserve"> ADDIN ZOTERO_ITEM CSL_CITATION {"citationID":"ZFTw5Hk5","properties":{"formattedCitation":"[10], [27]","plainCitation":"[10], [27]","noteIndex":0},"citationItems":[{"id":1914,"uris":["http://zotero.org/users/9870935/items/MRD83LE5"],"itemData":{"id":1914,"type":"article-journal","language":"en","source":"Zotero","title":"NVIDIA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00D546F1">
        <w:rPr>
          <w:szCs w:val="24"/>
        </w:rPr>
        <w:fldChar w:fldCharType="separate"/>
      </w:r>
      <w:r w:rsidR="00B56A24" w:rsidRPr="00B56A24">
        <w:t>[10], [27]</w:t>
      </w:r>
      <w:r w:rsidR="00D546F1">
        <w:rPr>
          <w:szCs w:val="24"/>
        </w:rPr>
        <w:fldChar w:fldCharType="end"/>
      </w:r>
      <w:r w:rsidR="008B1FE8">
        <w:rPr>
          <w:szCs w:val="24"/>
        </w:rPr>
        <w:t xml:space="preserve">. </w:t>
      </w:r>
      <w:r w:rsidRPr="00684620">
        <w:rPr>
          <w:szCs w:val="24"/>
        </w:rPr>
        <w:t>Power densities can reach 30 kW on the rack with eight GPUs per server and multiple servers per rack, whereas typical enterprise computing rack power densities are 5 to 10 kW</w:t>
      </w:r>
      <w:r w:rsidR="00A47543">
        <w:rPr>
          <w:szCs w:val="24"/>
        </w:rPr>
        <w:fldChar w:fldCharType="begin"/>
      </w:r>
      <w:r w:rsidR="00A47543">
        <w:rPr>
          <w:szCs w:val="24"/>
        </w:rPr>
        <w:instrText xml:space="preserve"> ADDIN ZOTERO_ITEM CSL_CITATION {"citationID":"fI33HUPr","properties":{"formattedCitation":"[28]","plainCitation":"[28]","noteIndex":0},"citationItems":[{"id":1956,"uris":["http://zotero.org/users/9870935/items/LXX5NDM3"],"itemData":{"id":1956,"type":"article-journal","language":"en","source":"Zotero","title":"How 6 AI Attributes Change Data Center Design","author":[{"family":"Avelar","given":"Victor"},{"family":"Donovan","given":"Patrick"}]}}],"schema":"https://github.com/citation-style-language/schema/raw/master/csl-citation.json"} </w:instrText>
      </w:r>
      <w:r w:rsidR="00A47543">
        <w:rPr>
          <w:szCs w:val="24"/>
        </w:rPr>
        <w:fldChar w:fldCharType="separate"/>
      </w:r>
      <w:r w:rsidR="00A47543" w:rsidRPr="00A47543">
        <w:t>[28]</w:t>
      </w:r>
      <w:r w:rsidR="00A47543">
        <w:rPr>
          <w:szCs w:val="24"/>
        </w:rPr>
        <w:fldChar w:fldCharType="end"/>
      </w:r>
      <w:r w:rsidRPr="00684620">
        <w:rPr>
          <w:szCs w:val="24"/>
        </w:rPr>
        <w:t xml:space="preserve">. This significant increase in </w:t>
      </w:r>
      <w:r w:rsidR="00B50B4A" w:rsidRPr="00684620">
        <w:rPr>
          <w:szCs w:val="24"/>
        </w:rPr>
        <w:t>computing</w:t>
      </w:r>
      <w:r w:rsidRPr="00684620">
        <w:rPr>
          <w:szCs w:val="24"/>
        </w:rPr>
        <w:t xml:space="preserve"> density has far-reaching impacts on power delivery infrastructure, cooling system design and facility power usage.</w:t>
      </w:r>
    </w:p>
    <w:p w14:paraId="797BBC98" w14:textId="482220AD" w:rsidR="00684620" w:rsidRPr="00684620" w:rsidRDefault="00684620" w:rsidP="00363763">
      <w:pPr>
        <w:spacing w:after="120"/>
        <w:ind w:firstLine="480"/>
        <w:rPr>
          <w:szCs w:val="24"/>
        </w:rPr>
      </w:pPr>
      <w:r w:rsidRPr="00684620">
        <w:rPr>
          <w:szCs w:val="24"/>
        </w:rPr>
        <w:t xml:space="preserve">The intensity and timing of training </w:t>
      </w:r>
      <w:r w:rsidR="00B50B4A" w:rsidRPr="00684620">
        <w:rPr>
          <w:szCs w:val="24"/>
        </w:rPr>
        <w:t>vary</w:t>
      </w:r>
      <w:r w:rsidRPr="00684620">
        <w:rPr>
          <w:szCs w:val="24"/>
        </w:rPr>
        <w:t xml:space="preserve"> from inference. Training is designed to use high and near maximum power for hours to weeks and has little or no "idle" time between computation cycles</w:t>
      </w:r>
      <w:r w:rsidR="005D66E7">
        <w:rPr>
          <w:szCs w:val="24"/>
        </w:rPr>
        <w:fldChar w:fldCharType="begin"/>
      </w:r>
      <w:r w:rsidR="005B5BA4">
        <w:rPr>
          <w:szCs w:val="24"/>
        </w:rPr>
        <w:instrText xml:space="preserve"> ADDIN ZOTERO_ITEM CSL_CITATION {"citationID":"JIAomyCW","properties":{"formattedCitation":"[4],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1957,"uris":["http://zotero.org/users/9870935/items/93BT8GDX"],"itemData":{"id":1957,"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general.","DOI":"10.48550/ARXIV.2005.14165","license":"arXiv.org perpetual, non-exclusive license","note":"version: 4","publisher":"arXiv","source":"DOI.org (Datacite)","title":"Language Models are Few-Shot Learners","URL":"https://arxiv.org/abs/2005.14165","author":[{"family":"Brown","given":"Tom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5,10]]},"issued":{"date-parts":[["2020"]]}}}],"schema":"https://github.com/citation-style-language/schema/raw/master/csl-citation.json"} </w:instrText>
      </w:r>
      <w:r w:rsidR="005D66E7">
        <w:rPr>
          <w:szCs w:val="24"/>
        </w:rPr>
        <w:fldChar w:fldCharType="separate"/>
      </w:r>
      <w:r w:rsidR="005B5BA4" w:rsidRPr="005B5BA4">
        <w:t>[4], [29]</w:t>
      </w:r>
      <w:r w:rsidR="005D66E7">
        <w:rPr>
          <w:szCs w:val="24"/>
        </w:rPr>
        <w:fldChar w:fldCharType="end"/>
      </w:r>
      <w:r w:rsidR="005D66E7">
        <w:rPr>
          <w:szCs w:val="24"/>
        </w:rPr>
        <w:t xml:space="preserve">. </w:t>
      </w:r>
      <w:r w:rsidRPr="00684620">
        <w:rPr>
          <w:szCs w:val="24"/>
        </w:rPr>
        <w:t xml:space="preserve">Inference workloads are more variable in that power consumption can vary depending on the number of requests, model complexity, and the batch size. Research shows that training loads generally use 80-95% of the peak GPU power, and inferences use 40-70% of the peak GPU power, depending on the application and traffic </w:t>
      </w:r>
      <w:r w:rsidR="00363763">
        <w:rPr>
          <w:szCs w:val="24"/>
        </w:rPr>
        <w:fldChar w:fldCharType="begin"/>
      </w:r>
      <w:r w:rsidR="00363763">
        <w:rPr>
          <w:szCs w:val="24"/>
        </w:rPr>
        <w:instrText xml:space="preserve"> ADDIN ZOTERO_ITEM CSL_CITATION {"citationID":"oHiR4RkN","properties":{"formattedCitation":"[30]","plainCitation":"[30]","noteIndex":0},"citationItems":[{"id":1960,"uris":["http://zotero.org/users/9870935/items/PYZHUHRC"],"itemData":{"id":1960,"type":"article-journal","abstract":"Training large language models (LLMs) consumes vast energy and produces substantial carbon emissions, yet this impact remains largely invisible due to limited transparency. We compile reported and estimated training emissions (2018–2024) for 13 state-of-the-art models and reframe them through human-friendly comparisons, such as trees required for absorption, and per-capita footprints, via our interactive demo. Our findings highlight both the alarming scale of emissions and the lack of standardized reporting. We position this work as a contribution to Creative Practices, advancing public awareness and encouraging model reporting transparency of generative AI (GenAI). Our demo is available: https://neurips-c02-viz.vercel.app/.","language":"en","source":"Zotero","title":"Carbon Literacy for Generative AI: Visualizing Training Emissions Through Human-Scale Equivalents","author":[{"family":"Raza","given":"Mahveen"}]}}],"schema":"https://github.com/citation-style-language/schema/raw/master/csl-citation.json"} </w:instrText>
      </w:r>
      <w:r w:rsidR="00363763">
        <w:rPr>
          <w:szCs w:val="24"/>
        </w:rPr>
        <w:fldChar w:fldCharType="separate"/>
      </w:r>
      <w:r w:rsidR="00363763" w:rsidRPr="00363763">
        <w:t>[30]</w:t>
      </w:r>
      <w:r w:rsidR="00363763">
        <w:rPr>
          <w:szCs w:val="24"/>
        </w:rPr>
        <w:fldChar w:fldCharType="end"/>
      </w:r>
      <w:r w:rsidRPr="00684620">
        <w:rPr>
          <w:szCs w:val="24"/>
        </w:rPr>
        <w:t>. The temporal pattern of load has important implications for integration planning for renewable energy, as the length of time they are stored and dispatched will depend on this.</w:t>
      </w:r>
    </w:p>
    <w:p w14:paraId="1AFF00EB" w14:textId="11D5367B" w:rsidR="00684620" w:rsidRPr="00684620" w:rsidRDefault="00684620" w:rsidP="00436DD1">
      <w:pPr>
        <w:spacing w:after="120"/>
        <w:ind w:firstLine="480"/>
        <w:rPr>
          <w:szCs w:val="24"/>
        </w:rPr>
      </w:pPr>
      <w:r w:rsidRPr="00684620">
        <w:rPr>
          <w:szCs w:val="24"/>
        </w:rPr>
        <w:t>The most widely used measure for the energy efficiency of a data center is called Power Usage Effectiveness (PUE), which is calculated as the ratio of total facility power to IT equipment power. The Uptime Institute 2024 Global Data Center Survey, which drew results from almost 900 operators around the world, found an industry average PUE of 1.56, and facilities with the lowest scores had a PUE of 1.06 [9]. The survey, however, found that there has been little improvement in PUE in the last five years, as the overall average value has not significantly changed since 2019. The plateau is blamed on rising power needs of these accelerators, as efficiency advances in power distribution and cooling have failed to keep up. Generally, Google's plants have been at the forefront of the PUE front, with a trailing 12-month average of 1.10 across the worldwide fleet of the company, thanks to the use of advanced cooling systems, custom server design and AI-based temperature management</w:t>
      </w:r>
      <w:r w:rsidR="00436DD1">
        <w:rPr>
          <w:szCs w:val="24"/>
        </w:rPr>
        <w:fldChar w:fldCharType="begin"/>
      </w:r>
      <w:r w:rsidR="00436DD1">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consumption","URL":"Growing the internet while reducing energy consumption","author":[{"family":"Google","given":""}]}}],"schema":"https://github.com/citation-style-language/schema/raw/master/csl-citation.json"} </w:instrText>
      </w:r>
      <w:r w:rsidR="00436DD1">
        <w:rPr>
          <w:szCs w:val="24"/>
        </w:rPr>
        <w:fldChar w:fldCharType="separate"/>
      </w:r>
      <w:r w:rsidR="00436DD1" w:rsidRPr="00436DD1">
        <w:t>[31]</w:t>
      </w:r>
      <w:r w:rsidR="00436DD1">
        <w:rPr>
          <w:szCs w:val="24"/>
        </w:rPr>
        <w:fldChar w:fldCharType="end"/>
      </w:r>
      <w:r w:rsidRPr="00684620">
        <w:rPr>
          <w:szCs w:val="24"/>
        </w:rPr>
        <w:t>.</w:t>
      </w:r>
    </w:p>
    <w:p w14:paraId="0C1D851F" w14:textId="3608DC06" w:rsidR="00684620" w:rsidRPr="00684620" w:rsidRDefault="00684620" w:rsidP="008A2F4C">
      <w:pPr>
        <w:spacing w:after="120"/>
        <w:ind w:firstLine="480"/>
        <w:rPr>
          <w:szCs w:val="24"/>
        </w:rPr>
      </w:pPr>
      <w:r w:rsidRPr="00684620">
        <w:rPr>
          <w:szCs w:val="24"/>
        </w:rPr>
        <w:t>The second most energy intensive energy consumer in data centres is the cooling system consuming between 30</w:t>
      </w:r>
      <w:r w:rsidR="00EC024C">
        <w:rPr>
          <w:szCs w:val="24"/>
        </w:rPr>
        <w:t xml:space="preserve">-50% </w:t>
      </w:r>
      <w:r w:rsidRPr="00684620">
        <w:rPr>
          <w:szCs w:val="24"/>
        </w:rPr>
        <w:t>of the total energy used by the data centre facility</w:t>
      </w:r>
      <w:r w:rsidR="00A675D8">
        <w:rPr>
          <w:szCs w:val="24"/>
        </w:rPr>
        <w:fldChar w:fldCharType="begin"/>
      </w:r>
      <w:r w:rsidR="00AE143F">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sidR="00A675D8">
        <w:rPr>
          <w:szCs w:val="24"/>
        </w:rPr>
        <w:fldChar w:fldCharType="separate"/>
      </w:r>
      <w:r w:rsidR="00AE143F" w:rsidRPr="00AE143F">
        <w:t>[32], [33]</w:t>
      </w:r>
      <w:r w:rsidR="00A675D8">
        <w:rPr>
          <w:szCs w:val="24"/>
        </w:rPr>
        <w:fldChar w:fldCharType="end"/>
      </w:r>
      <w:r w:rsidRPr="00684620">
        <w:rPr>
          <w:szCs w:val="24"/>
        </w:rPr>
        <w:t xml:space="preserve">. The classic way of cooling has its limitations in high density AI deployments where the heat generation per square meter can surpass what can be achieved by using a conventional computer room air conditioning (CRAC) system. Liquid cooling is a technology that can provide significant efficiency gains, down </w:t>
      </w:r>
      <w:r w:rsidR="004450CF">
        <w:rPr>
          <w:szCs w:val="24"/>
        </w:rPr>
        <w:t>to 40%</w:t>
      </w:r>
      <w:r w:rsidRPr="00684620">
        <w:rPr>
          <w:szCs w:val="24"/>
        </w:rPr>
        <w:t xml:space="preserve"> of cooling energy compared to air-based cooling</w:t>
      </w:r>
      <w:r w:rsidR="001C1DB8">
        <w:rPr>
          <w:szCs w:val="24"/>
        </w:rPr>
        <w:t xml:space="preserve"> </w:t>
      </w:r>
      <w:r w:rsidR="001C1DB8">
        <w:rPr>
          <w:szCs w:val="24"/>
        </w:rPr>
        <w:fldChar w:fldCharType="begin"/>
      </w:r>
      <w:r w:rsidR="001C1DB8">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1C1DB8">
        <w:rPr>
          <w:szCs w:val="24"/>
        </w:rPr>
        <w:fldChar w:fldCharType="separate"/>
      </w:r>
      <w:r w:rsidR="001C1DB8" w:rsidRPr="001C1DB8">
        <w:t>[34]</w:t>
      </w:r>
      <w:r w:rsidR="001C1DB8">
        <w:rPr>
          <w:szCs w:val="24"/>
        </w:rPr>
        <w:fldChar w:fldCharType="end"/>
      </w:r>
      <w:r w:rsidRPr="00684620">
        <w:rPr>
          <w:szCs w:val="24"/>
        </w:rPr>
        <w:t>. The next-generation data center designs by Microsoft use no water to cool the data center, and are at the forefront of cooling technology for AI workloads</w:t>
      </w:r>
      <w:r w:rsidR="008A2F4C">
        <w:rPr>
          <w:szCs w:val="24"/>
        </w:rPr>
        <w:fldChar w:fldCharType="begin"/>
      </w:r>
      <w:r w:rsidR="008A2F4C">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sidR="008A2F4C">
        <w:rPr>
          <w:szCs w:val="24"/>
        </w:rPr>
        <w:fldChar w:fldCharType="separate"/>
      </w:r>
      <w:r w:rsidR="008A2F4C" w:rsidRPr="008A2F4C">
        <w:t>[35]</w:t>
      </w:r>
      <w:r w:rsidR="008A2F4C">
        <w:rPr>
          <w:szCs w:val="24"/>
        </w:rPr>
        <w:fldChar w:fldCharType="end"/>
      </w:r>
      <w:r w:rsidRPr="00684620">
        <w:rPr>
          <w:szCs w:val="24"/>
        </w:rPr>
        <w:t>.</w:t>
      </w:r>
    </w:p>
    <w:p w14:paraId="61E0795B" w14:textId="0AD56A21" w:rsidR="00A32DE7" w:rsidRDefault="00A32DE7" w:rsidP="00A32DE7">
      <w:pPr>
        <w:pStyle w:val="Heading20"/>
        <w:rPr>
          <w:color w:val="auto"/>
        </w:rPr>
      </w:pPr>
      <w:r>
        <w:rPr>
          <w:color w:val="auto"/>
        </w:rPr>
        <w:t>2.</w:t>
      </w:r>
      <w:r w:rsidR="00832BD4">
        <w:rPr>
          <w:color w:val="auto"/>
        </w:rPr>
        <w:t>2</w:t>
      </w:r>
      <w:r>
        <w:rPr>
          <w:color w:val="auto"/>
        </w:rPr>
        <w:t>. Renewable Energy Technologies</w:t>
      </w:r>
    </w:p>
    <w:p w14:paraId="2560C2EB" w14:textId="042EF66F" w:rsidR="005C62D0" w:rsidRPr="005C62D0" w:rsidRDefault="00967457" w:rsidP="005108FD">
      <w:pPr>
        <w:spacing w:after="120"/>
        <w:ind w:firstLine="480"/>
        <w:rPr>
          <w:szCs w:val="24"/>
        </w:rPr>
      </w:pPr>
      <w:r w:rsidRPr="00967457">
        <w:rPr>
          <w:szCs w:val="24"/>
        </w:rPr>
        <w:lastRenderedPageBreak/>
        <w:t xml:space="preserve">In the last 10 years, solar PV technology has experienced an incredible cost and performance shift. The efficiencies of mainstream commercial modules have increased from </w:t>
      </w:r>
      <w:r w:rsidRPr="00571D9E">
        <w:rPr>
          <w:szCs w:val="24"/>
        </w:rPr>
        <w:t>15</w:t>
      </w:r>
      <w:r w:rsidR="00571D9E">
        <w:rPr>
          <w:szCs w:val="24"/>
        </w:rPr>
        <w:t>-</w:t>
      </w:r>
      <w:r w:rsidRPr="00571D9E">
        <w:rPr>
          <w:szCs w:val="24"/>
        </w:rPr>
        <w:t>17</w:t>
      </w:r>
      <w:r w:rsidR="00571D9E">
        <w:rPr>
          <w:szCs w:val="24"/>
        </w:rPr>
        <w:t xml:space="preserve">% </w:t>
      </w:r>
      <w:r w:rsidRPr="00571D9E">
        <w:rPr>
          <w:szCs w:val="24"/>
        </w:rPr>
        <w:t>in 2016</w:t>
      </w:r>
      <w:r w:rsidRPr="00967457">
        <w:rPr>
          <w:szCs w:val="24"/>
        </w:rPr>
        <w:t xml:space="preserve"> to </w:t>
      </w:r>
      <w:r w:rsidRPr="00571D9E">
        <w:rPr>
          <w:szCs w:val="24"/>
        </w:rPr>
        <w:t>21</w:t>
      </w:r>
      <w:r w:rsidR="00571D9E">
        <w:rPr>
          <w:szCs w:val="24"/>
        </w:rPr>
        <w:t>-</w:t>
      </w:r>
      <w:r w:rsidRPr="00571D9E">
        <w:rPr>
          <w:szCs w:val="24"/>
        </w:rPr>
        <w:t>23</w:t>
      </w:r>
      <w:r w:rsidR="00571D9E">
        <w:rPr>
          <w:szCs w:val="24"/>
        </w:rPr>
        <w:t>%</w:t>
      </w:r>
      <w:r w:rsidRPr="00571D9E">
        <w:rPr>
          <w:szCs w:val="24"/>
        </w:rPr>
        <w:t xml:space="preserve"> in 2026</w:t>
      </w:r>
      <w:r w:rsidRPr="00967457">
        <w:rPr>
          <w:szCs w:val="24"/>
        </w:rPr>
        <w:t xml:space="preserve">, with efficiencies of </w:t>
      </w:r>
      <w:r w:rsidRPr="00571D9E">
        <w:rPr>
          <w:szCs w:val="24"/>
        </w:rPr>
        <w:t>24</w:t>
      </w:r>
      <w:r w:rsidR="001C2BF8">
        <w:rPr>
          <w:szCs w:val="24"/>
        </w:rPr>
        <w:t>-</w:t>
      </w:r>
      <w:r w:rsidRPr="00571D9E">
        <w:rPr>
          <w:szCs w:val="24"/>
        </w:rPr>
        <w:t xml:space="preserve"> 25</w:t>
      </w:r>
      <w:r w:rsidR="001C2BF8">
        <w:rPr>
          <w:szCs w:val="24"/>
        </w:rPr>
        <w:t xml:space="preserve">% </w:t>
      </w:r>
      <w:r w:rsidRPr="00571D9E">
        <w:rPr>
          <w:szCs w:val="24"/>
        </w:rPr>
        <w:t>for premium modules</w:t>
      </w:r>
      <w:r w:rsidRPr="00967457">
        <w:rPr>
          <w:szCs w:val="24"/>
        </w:rPr>
        <w:t xml:space="preserve"> achieved by advanced </w:t>
      </w:r>
      <w:r w:rsidRPr="00571D9E">
        <w:rPr>
          <w:szCs w:val="24"/>
        </w:rPr>
        <w:t>TOPCon, Heterojunction (HJT), and Back Contact (BC)</w:t>
      </w:r>
      <w:r w:rsidRPr="00967457">
        <w:rPr>
          <w:szCs w:val="24"/>
        </w:rPr>
        <w:t xml:space="preserve"> cell architectures</w:t>
      </w:r>
      <w:r w:rsidR="001B2A37">
        <w:rPr>
          <w:szCs w:val="24"/>
        </w:rPr>
        <w:fldChar w:fldCharType="begin"/>
      </w:r>
      <w:r w:rsidR="001B2A37">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sidR="001B2A37">
        <w:rPr>
          <w:szCs w:val="24"/>
        </w:rPr>
        <w:fldChar w:fldCharType="separate"/>
      </w:r>
      <w:r w:rsidR="001B2A37" w:rsidRPr="001B2A37">
        <w:t>[36]</w:t>
      </w:r>
      <w:r w:rsidR="001B2A37">
        <w:rPr>
          <w:szCs w:val="24"/>
        </w:rPr>
        <w:fldChar w:fldCharType="end"/>
      </w:r>
      <w:r w:rsidR="005C62D0" w:rsidRPr="005C62D0">
        <w:rPr>
          <w:szCs w:val="24"/>
        </w:rPr>
        <w:t>. The efficiency of the inverter has also improved, and modern string and central inverters can achieve 95-98.5% weighted efficiency under different load conditions</w:t>
      </w:r>
      <w:r w:rsidR="00905B51">
        <w:rPr>
          <w:szCs w:val="24"/>
        </w:rPr>
        <w:fldChar w:fldCharType="begin"/>
      </w:r>
      <w:r w:rsidR="00905B51">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sidR="00905B51">
        <w:rPr>
          <w:szCs w:val="24"/>
        </w:rPr>
        <w:fldChar w:fldCharType="separate"/>
      </w:r>
      <w:r w:rsidR="00905B51" w:rsidRPr="00905B51">
        <w:t>[37]</w:t>
      </w:r>
      <w:r w:rsidR="00905B51">
        <w:rPr>
          <w:szCs w:val="24"/>
        </w:rPr>
        <w:fldChar w:fldCharType="end"/>
      </w:r>
      <w:r w:rsidR="005C62D0" w:rsidRPr="005C62D0">
        <w:rPr>
          <w:szCs w:val="24"/>
        </w:rPr>
        <w:t>. The levelized cost of electricity for utility scale solar PV has dropped to $30 to $50/MWh in high resource areas and is the lowest cost source of new electricity generation in most markets globally</w:t>
      </w:r>
      <w:r w:rsidR="00004098">
        <w:rPr>
          <w:szCs w:val="24"/>
        </w:rPr>
        <w:fldChar w:fldCharType="begin"/>
      </w:r>
      <w:r w:rsidR="005108FD">
        <w:rPr>
          <w:szCs w:val="24"/>
        </w:rPr>
        <w:instrText xml:space="preserve"> ADDIN ZOTERO_ITEM CSL_CITATION {"citationID":"tTrONRbG","properties":{"unsorted":false,"formattedCitation":"[38], [39]","plainCitation":"[38], [39]","noteIndex":0},"citationItems":[{"id":1971,"uris":["http://zotero.org/users/9870935/items/5GP7ICS4"],"itemData":{"id":1971,"type":"article-journal","abstract":"This study analyzes the record electricity consumption in Croatia during the July 2024 heatwave and evaluates how the increased deployment of onshore wind and solar photovoltaics (PV) could mitigate a similar event in the future. Electricity demand and generation patterns under current (2024) and projected (2030) scenarios have been simulated using a sub-hourly power system model. The findings show that during the July 2024 heatwave, Croatia imported 35% of the electricity, with prices exceeding 400 €/MWh during peak hours. By 2030, the expanded wind and solar PV sectors (1.5 GW each) will increase the renewable share from 38.8% in July 2024 to 54.7% in July 2030. On the annual level, renewable energy generation increases from 53.8% in 2024 up to 66.9% in 2030. As result, the carbon intensity of the power sector will reduce from 223 gCO2eq/kWhel in 2024 to 197 gCO2eq/kWhel in 2030. The share of fossil fuel generation will increase slightly, from 19.7% in 2024 to 22% in 2030, but more significantly in the summer to meet the heatwave-induced electricity demand. Besides that, short-term energy storage of 2 GWh (400 MW discharge over 5 h) could effectively manage evening peak demands after solar PV ceases production.","container-title":"Applied Sciences","DOI":"10.3390/app15126440","ISSN":"2076-3417","issue":"12","journalAbbreviation":"Applied Sciences","language":"en","page":"6440","source":"DOI.org (Crossref)","title":"Resilience Under Heatwaves: Croatia’s Power System During the July 2024 Heatwave and the Role of Variable Renewable Energy by 2030","title-short":"Resilience Under Heatwaves","volume":"15","author":[{"family":"Blecich","given":"Paolo"},{"family":"Bonefačić","given":"Igor"},{"family":"Senčić","given":"Tomislav"},{"family":"Wolf","given":"Igor"}],"issued":{"date-parts":[["2025",6,7]]}}},{"id":1972,"uris":["http://zotero.org/users/9870935/items/9RNMIIGK"],"itemData":{"id":1972,"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sidR="00004098">
        <w:rPr>
          <w:szCs w:val="24"/>
        </w:rPr>
        <w:fldChar w:fldCharType="separate"/>
      </w:r>
      <w:r w:rsidR="005108FD" w:rsidRPr="005108FD">
        <w:t>[38], [39]</w:t>
      </w:r>
      <w:r w:rsidR="00004098">
        <w:rPr>
          <w:szCs w:val="24"/>
        </w:rPr>
        <w:fldChar w:fldCharType="end"/>
      </w:r>
      <w:r w:rsidR="005C62D0" w:rsidRPr="005C62D0">
        <w:rPr>
          <w:szCs w:val="24"/>
        </w:rPr>
        <w:t>.</w:t>
      </w:r>
    </w:p>
    <w:p w14:paraId="0C227A81" w14:textId="55CFAC9B" w:rsidR="005C62D0" w:rsidRPr="005C62D0" w:rsidRDefault="005C62D0" w:rsidP="006236BD">
      <w:pPr>
        <w:spacing w:after="120"/>
        <w:ind w:firstLine="480"/>
        <w:rPr>
          <w:szCs w:val="24"/>
        </w:rPr>
      </w:pPr>
      <w:r w:rsidRPr="005C62D0">
        <w:rPr>
          <w:szCs w:val="24"/>
        </w:rPr>
        <w:t>The technology of wind power has progressed greatly and onshore wind turbines can reach capacity factors of 25-40</w:t>
      </w:r>
      <w:r w:rsidR="00DF0C2F">
        <w:rPr>
          <w:szCs w:val="24"/>
        </w:rPr>
        <w:t>%</w:t>
      </w:r>
      <w:r w:rsidRPr="005C62D0">
        <w:rPr>
          <w:szCs w:val="24"/>
        </w:rPr>
        <w:t>, with optimal offshore wind installations reaching 40-50</w:t>
      </w:r>
      <w:r w:rsidR="00DF0C2F">
        <w:rPr>
          <w:szCs w:val="24"/>
        </w:rPr>
        <w:t>%</w:t>
      </w:r>
      <w:r w:rsidR="008E68EC">
        <w:rPr>
          <w:szCs w:val="24"/>
        </w:rPr>
        <w:fldChar w:fldCharType="begin"/>
      </w:r>
      <w:r w:rsidR="008E68EC">
        <w:rPr>
          <w:szCs w:val="24"/>
        </w:rPr>
        <w:instrText xml:space="preserve"> ADDIN ZOTERO_ITEM CSL_CITATION {"citationID":"xiX6SGhq","properties":{"unsorted":false,"formattedCitation":"[40]","plainCitation":"[40]","noteIndex":0},"citationItems":[{"id":1974,"uris":["http://zotero.org/users/9870935/items/63N6BPKB"],"itemData":{"id":1974,"type":"article-journal","language":"en","source":"Zotero","title":"Offshore Wind Market Report: 2024 Edition","author":[{"family":"McCoy","given":"Angel"},{"family":"Musial","given":"Walter"},{"family":"Hammond","given":"Rob"},{"family":"Hernando","given":"Daniel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sidR="008E68EC">
        <w:rPr>
          <w:szCs w:val="24"/>
        </w:rPr>
        <w:fldChar w:fldCharType="separate"/>
      </w:r>
      <w:r w:rsidR="008E68EC" w:rsidRPr="00A02978">
        <w:rPr>
          <w:szCs w:val="24"/>
        </w:rPr>
        <w:t>[40]</w:t>
      </w:r>
      <w:r w:rsidR="008E68EC">
        <w:rPr>
          <w:szCs w:val="24"/>
        </w:rPr>
        <w:fldChar w:fldCharType="end"/>
      </w:r>
      <w:r w:rsidRPr="005C62D0">
        <w:rPr>
          <w:szCs w:val="24"/>
        </w:rPr>
        <w:t xml:space="preserve">. </w:t>
      </w:r>
      <w:r w:rsidR="00642763" w:rsidRPr="00642763">
        <w:rPr>
          <w:szCs w:val="24"/>
        </w:rPr>
        <w:t xml:space="preserve">Onshore wind had a global weighted average LCOE of </w:t>
      </w:r>
      <w:r w:rsidR="00642763" w:rsidRPr="00A02978">
        <w:rPr>
          <w:szCs w:val="24"/>
        </w:rPr>
        <w:t>$0.034 per kWh</w:t>
      </w:r>
      <w:r w:rsidR="00642763" w:rsidRPr="00642763">
        <w:rPr>
          <w:szCs w:val="24"/>
        </w:rPr>
        <w:t xml:space="preserve">, making it the most cost-competitive new power generation technology in the world, according to the </w:t>
      </w:r>
      <w:r w:rsidR="00642763" w:rsidRPr="00A02978">
        <w:rPr>
          <w:szCs w:val="24"/>
        </w:rPr>
        <w:t>IRENA Renewable Power Generation Costs</w:t>
      </w:r>
      <w:r w:rsidR="00642763" w:rsidRPr="00642763">
        <w:rPr>
          <w:szCs w:val="24"/>
        </w:rPr>
        <w:t xml:space="preserve"> report</w:t>
      </w:r>
      <w:r w:rsidR="0002304C">
        <w:rPr>
          <w:szCs w:val="24"/>
        </w:rPr>
        <w:fldChar w:fldCharType="begin"/>
      </w:r>
      <w:r w:rsidR="006236BD">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2304C">
        <w:rPr>
          <w:szCs w:val="24"/>
        </w:rPr>
        <w:fldChar w:fldCharType="separate"/>
      </w:r>
      <w:r w:rsidR="006236BD" w:rsidRPr="006236BD">
        <w:t>[16]</w:t>
      </w:r>
      <w:r w:rsidR="0002304C">
        <w:rPr>
          <w:szCs w:val="24"/>
        </w:rPr>
        <w:fldChar w:fldCharType="end"/>
      </w:r>
      <w:r w:rsidRPr="005C62D0">
        <w:rPr>
          <w:szCs w:val="24"/>
        </w:rPr>
        <w:t>. The use of LiDAR technology and numerical weather prediction has improved wind resource assessment, which allows for better siting decisions and energy yield estimates</w:t>
      </w:r>
      <w:r w:rsidR="00D21173">
        <w:rPr>
          <w:szCs w:val="24"/>
        </w:rPr>
        <w:fldChar w:fldCharType="begin"/>
      </w:r>
      <w:r w:rsidR="00D21173">
        <w:rPr>
          <w:szCs w:val="24"/>
        </w:rPr>
        <w:instrText xml:space="preserve"> ADDIN ZOTERO_ITEM CSL_CITATION {"citationID":"Qawnu7Gv","properties":{"unsorted":false,"formattedCitation":"[41]","plainCitation":"[41]","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sidR="00D21173">
        <w:rPr>
          <w:szCs w:val="24"/>
        </w:rPr>
        <w:fldChar w:fldCharType="separate"/>
      </w:r>
      <w:r w:rsidR="00D21173" w:rsidRPr="00D21173">
        <w:t>[41]</w:t>
      </w:r>
      <w:r w:rsidR="00D21173">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sidR="00533059">
        <w:rPr>
          <w:szCs w:val="24"/>
        </w:rPr>
        <w:fldChar w:fldCharType="begin"/>
      </w:r>
      <w:r w:rsidR="00533059">
        <w:rPr>
          <w:szCs w:val="24"/>
        </w:rPr>
        <w:instrText xml:space="preserve"> ADDIN ZOTERO_ITEM CSL_CITATION {"citationID":"KUWUAQKN","properties":{"unsorted":false,"formattedCitation":"[42]","plainCitation":"[42]","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sidR="00533059">
        <w:rPr>
          <w:szCs w:val="24"/>
        </w:rPr>
        <w:fldChar w:fldCharType="separate"/>
      </w:r>
      <w:r w:rsidR="00533059" w:rsidRPr="00533059">
        <w:t>[42]</w:t>
      </w:r>
      <w:r w:rsidR="00533059">
        <w:rPr>
          <w:szCs w:val="24"/>
        </w:rPr>
        <w:fldChar w:fldCharType="end"/>
      </w:r>
      <w:r w:rsidRPr="005C62D0">
        <w:rPr>
          <w:szCs w:val="24"/>
        </w:rPr>
        <w:t>.</w:t>
      </w:r>
    </w:p>
    <w:p w14:paraId="65772D6A" w14:textId="2A443F0B" w:rsidR="005C62D0" w:rsidRDefault="005C62D0" w:rsidP="000B39AB">
      <w:pPr>
        <w:spacing w:after="120"/>
        <w:ind w:firstLine="480"/>
        <w:rPr>
          <w:szCs w:val="24"/>
        </w:rPr>
      </w:pPr>
      <w:r w:rsidRPr="005C62D0">
        <w:rPr>
          <w:szCs w:val="24"/>
        </w:rPr>
        <w:t>Hydroelectric power, specifically pumped-storage hydropower (PSH), is a vital component in the energy balancing equation at the grid level. PSH makes up about 95% of the world's electricity storage capacity and offers gigawatt hours of storage at much lower costs than battery systems</w:t>
      </w:r>
      <w:r w:rsidR="007B720C">
        <w:rPr>
          <w:szCs w:val="24"/>
        </w:rPr>
        <w:fldChar w:fldCharType="begin"/>
      </w:r>
      <w:r w:rsidR="007B720C">
        <w:rPr>
          <w:szCs w:val="24"/>
        </w:rPr>
        <w:instrText xml:space="preserve"> ADDIN ZOTERO_ITEM CSL_CITATION {"citationID":"jSwEnIfV","properties":{"unsorted":false,"formattedCitation":"[43]","plainCitation":"[43]","noteIndex":0},"citationItems":[{"id":1977,"uris":["http://zotero.org/users/9870935/items/F2FF39J5"],"itemData":{"id":1977,"type":"article-journal","abstract":"Energy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sidR="007B720C">
        <w:rPr>
          <w:szCs w:val="24"/>
        </w:rPr>
        <w:fldChar w:fldCharType="separate"/>
      </w:r>
      <w:r w:rsidR="007B720C" w:rsidRPr="007B720C">
        <w:t>[43]</w:t>
      </w:r>
      <w:r w:rsidR="007B720C">
        <w:rPr>
          <w:szCs w:val="24"/>
        </w:rPr>
        <w:fldChar w:fldCharType="end"/>
      </w:r>
      <w:r w:rsidRPr="005C62D0">
        <w:rPr>
          <w:szCs w:val="24"/>
        </w:rPr>
        <w:t>. Run-of-river hydroelectric schemes are well suited to baseload generation, with relatively low environmental impacts, whereas reservoir systems enable storage for periods of a few weeks, which is necessary to account for the variability of renewable energy over the course of a year</w:t>
      </w:r>
      <w:r w:rsidR="000B39AB">
        <w:rPr>
          <w:szCs w:val="24"/>
        </w:rPr>
        <w:fldChar w:fldCharType="begin"/>
      </w:r>
      <w:r w:rsidR="000B39AB">
        <w:rPr>
          <w:szCs w:val="24"/>
        </w:rPr>
        <w:instrText xml:space="preserve"> ADDIN ZOTERO_ITEM CSL_CITATION {"citationID":"3nXsAAsS","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sidR="000B39AB">
        <w:rPr>
          <w:szCs w:val="24"/>
        </w:rPr>
        <w:fldChar w:fldCharType="separate"/>
      </w:r>
      <w:r w:rsidR="000B39AB" w:rsidRPr="000B39AB">
        <w:t>[44]</w:t>
      </w:r>
      <w:r w:rsidR="000B39AB">
        <w:rPr>
          <w:szCs w:val="24"/>
        </w:rPr>
        <w:fldChar w:fldCharType="end"/>
      </w:r>
      <w:r w:rsidRPr="005C62D0">
        <w:rPr>
          <w:szCs w:val="24"/>
        </w:rPr>
        <w:t>. New hydroelectric development is however constrained by geography and environmental permitting in many regions, limiting scalability.</w:t>
      </w:r>
    </w:p>
    <w:p w14:paraId="56B23934" w14:textId="1373BAF6" w:rsidR="00832BD4" w:rsidRDefault="00832BD4" w:rsidP="00832BD4">
      <w:pPr>
        <w:pStyle w:val="Heading20"/>
        <w:rPr>
          <w:color w:val="auto"/>
        </w:rPr>
      </w:pPr>
      <w:r>
        <w:rPr>
          <w:color w:val="auto"/>
        </w:rPr>
        <w:t>2.3. Energy Storage Technologies</w:t>
      </w:r>
    </w:p>
    <w:p w14:paraId="2751B46F" w14:textId="1D87927A" w:rsidR="00286D4E" w:rsidRPr="00286D4E" w:rsidRDefault="00286D4E" w:rsidP="00965B5C">
      <w:pPr>
        <w:spacing w:after="120"/>
        <w:ind w:firstLine="480"/>
        <w:rPr>
          <w:szCs w:val="24"/>
        </w:rPr>
      </w:pPr>
      <w:r w:rsidRPr="00286D4E">
        <w:rPr>
          <w:szCs w:val="24"/>
        </w:rPr>
        <w:t>The stationary storage market is dominated by lithium-ion battery technology, which is expected to drop from about $300/kWh in 2020 to $108/kWh in 2025 as reported by BloombergNEF's annual survey</w:t>
      </w:r>
      <w:r w:rsidR="006512AA">
        <w:rPr>
          <w:szCs w:val="24"/>
        </w:rPr>
        <w:fldChar w:fldCharType="begin"/>
      </w:r>
      <w:r w:rsidR="006512AA">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6512AA">
        <w:rPr>
          <w:szCs w:val="24"/>
        </w:rPr>
        <w:fldChar w:fldCharType="separate"/>
      </w:r>
      <w:r w:rsidR="006512AA" w:rsidRPr="006512AA">
        <w:t>[17]</w:t>
      </w:r>
      <w:r w:rsidR="006512AA">
        <w:rPr>
          <w:szCs w:val="24"/>
        </w:rPr>
        <w:fldChar w:fldCharType="end"/>
      </w:r>
      <w:r w:rsidRPr="00286D4E">
        <w:rPr>
          <w:szCs w:val="24"/>
        </w:rPr>
        <w:t>. The low cost, higher cycle life (more than 4,000 cycles at 80</w:t>
      </w:r>
      <w:r w:rsidR="00392B15">
        <w:rPr>
          <w:szCs w:val="24"/>
        </w:rPr>
        <w:t xml:space="preserve">% </w:t>
      </w:r>
      <w:r w:rsidRPr="00286D4E">
        <w:rPr>
          <w:szCs w:val="24"/>
        </w:rPr>
        <w:t>depth of discharge) and the safer safety profile of LFP chemistry (lithium iron phosphate) make it the most preferred chemistry for stationary applications, as compared to NMC (nickel manganese cobalt) chemistry and NCA (nickel cobalt aluminum) chemistry</w:t>
      </w:r>
      <w:r w:rsidR="00116D36">
        <w:rPr>
          <w:szCs w:val="24"/>
        </w:rPr>
        <w:fldChar w:fldCharType="begin"/>
      </w:r>
      <w:r w:rsidR="00965B5C">
        <w:rPr>
          <w:szCs w:val="24"/>
        </w:rPr>
        <w:instrText xml:space="preserve"> ADDIN ZOTERO_ITEM CSL_CITATION {"citationID":"rUFBjQZm","properties":{"unsorted":false,"formattedCitation":"[45], [46]","plainCitation":"[45], [46]","noteIndex":0},"citationItems":[{"id":1982,"uris":["http://zotero.org/users/9870935/items/GEX9B6EX"],"itemData":{"id":1982,"type":"article-journal","container-title":"Future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116D36">
        <w:rPr>
          <w:szCs w:val="24"/>
        </w:rPr>
        <w:fldChar w:fldCharType="separate"/>
      </w:r>
      <w:r w:rsidR="00965B5C" w:rsidRPr="00965B5C">
        <w:t>[45], [46]</w:t>
      </w:r>
      <w:r w:rsidR="00116D36">
        <w:rPr>
          <w:szCs w:val="24"/>
        </w:rPr>
        <w:fldChar w:fldCharType="end"/>
      </w:r>
      <w:r w:rsidRPr="00286D4E">
        <w:rPr>
          <w:szCs w:val="24"/>
        </w:rPr>
        <w:t xml:space="preserve">. The round-trip efficiency of lithium-ion systems </w:t>
      </w:r>
      <w:r w:rsidR="008051DD" w:rsidRPr="00286D4E">
        <w:rPr>
          <w:szCs w:val="24"/>
        </w:rPr>
        <w:t>is</w:t>
      </w:r>
      <w:r w:rsidRPr="00286D4E">
        <w:rPr>
          <w:szCs w:val="24"/>
        </w:rPr>
        <w:t xml:space="preserve"> 85-95</w:t>
      </w:r>
      <w:r w:rsidR="00874C62">
        <w:rPr>
          <w:szCs w:val="24"/>
        </w:rPr>
        <w:t>%</w:t>
      </w:r>
      <w:r w:rsidRPr="00286D4E">
        <w:rPr>
          <w:szCs w:val="24"/>
        </w:rPr>
        <w:t>, and thermal management systems are needed to ensure optimal operating temperatures and to maximize calendar life.</w:t>
      </w:r>
    </w:p>
    <w:p w14:paraId="0483DDC5" w14:textId="2CF1CE6E" w:rsidR="00286D4E" w:rsidRPr="00286D4E" w:rsidRDefault="00286D4E" w:rsidP="00FC638D">
      <w:pPr>
        <w:spacing w:after="120"/>
        <w:ind w:firstLine="480"/>
        <w:rPr>
          <w:szCs w:val="24"/>
        </w:rPr>
      </w:pPr>
      <w:r w:rsidRPr="00286D4E">
        <w:rPr>
          <w:szCs w:val="24"/>
        </w:rPr>
        <w:t xml:space="preserve">With greater storage times than 8 hours, long-duration energy storage (LDES) technologies are gaining traction. Vanadium Redox Flow Batteries (VRFBs) have high cycle </w:t>
      </w:r>
      <w:r w:rsidRPr="00286D4E">
        <w:rPr>
          <w:szCs w:val="24"/>
        </w:rPr>
        <w:lastRenderedPageBreak/>
        <w:t>life (20,000+ cycles) and can be highly scalable in terms of duration with independent power and energy sizing, but with higher initial costs</w:t>
      </w:r>
      <w:r w:rsidR="008130CA">
        <w:rPr>
          <w:szCs w:val="24"/>
        </w:rPr>
        <w:fldChar w:fldCharType="begin"/>
      </w:r>
      <w:r w:rsidR="008130CA">
        <w:rPr>
          <w:szCs w:val="24"/>
        </w:rPr>
        <w:instrText xml:space="preserve"> ADDIN ZOTERO_ITEM CSL_CITATION {"citationID":"YCICZ6dN","properties":{"unsorted":false,"formattedCitation":"[47]","plainCitation":"[47]","noteIndex":0},"citationItems":[{"id":1984,"uris":["http://zotero.org/users/9870935/items/M6SVEFZJ"],"itemData":{"id":1984,"type":"article-journal","container-title":"Next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8130CA">
        <w:rPr>
          <w:szCs w:val="24"/>
        </w:rPr>
        <w:fldChar w:fldCharType="separate"/>
      </w:r>
      <w:r w:rsidR="008130CA" w:rsidRPr="008130CA">
        <w:t>[47]</w:t>
      </w:r>
      <w:r w:rsidR="008130CA">
        <w:rPr>
          <w:szCs w:val="24"/>
        </w:rPr>
        <w:fldChar w:fldCharType="end"/>
      </w:r>
      <w:r w:rsidRPr="00286D4E">
        <w:rPr>
          <w:szCs w:val="24"/>
        </w:rPr>
        <w:t>. The iron-air battery technology developed by Form Energy is being deployed in multi-GWh projects, aiming for storage costs of $20/kWh and durations longer than 100 hours, which could mark a paradigm shift for seasonal energy storage</w:t>
      </w:r>
      <w:r w:rsidR="00D04786">
        <w:rPr>
          <w:szCs w:val="24"/>
        </w:rPr>
        <w:fldChar w:fldCharType="begin"/>
      </w:r>
      <w:r w:rsidR="00D04786">
        <w:rPr>
          <w:szCs w:val="24"/>
        </w:rPr>
        <w:instrText xml:space="preserve"> ADDIN ZOTERO_ITEM CSL_CITATION {"citationID":"iW2VDiVI","properties":{"unsorted":false,"formattedCitation":"[48]","plainCitation":"[48]","noteIndex":0},"citationItems":[{"id":1985,"uris":["http://zotero.org/users/9870935/items/58URKSK2"],"itemData":{"id":1985,"type":"book","abstract":"This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D04786">
        <w:rPr>
          <w:szCs w:val="24"/>
        </w:rPr>
        <w:fldChar w:fldCharType="separate"/>
      </w:r>
      <w:r w:rsidR="00D04786" w:rsidRPr="00D04786">
        <w:t>[48]</w:t>
      </w:r>
      <w:r w:rsidR="00D04786">
        <w:rPr>
          <w:szCs w:val="24"/>
        </w:rPr>
        <w:fldChar w:fldCharType="end"/>
      </w:r>
      <w:r w:rsidRPr="00286D4E">
        <w:rPr>
          <w:szCs w:val="24"/>
        </w:rPr>
        <w:t>. The storage period of green hydrogen is weeks to months, but with a round trip efficiency of 50-60</w:t>
      </w:r>
      <w:r w:rsidR="00D04786">
        <w:rPr>
          <w:szCs w:val="24"/>
        </w:rPr>
        <w:t xml:space="preserve">% </w:t>
      </w:r>
      <w:r w:rsidRPr="00286D4E">
        <w:rPr>
          <w:szCs w:val="24"/>
        </w:rPr>
        <w:t>and current costs ranging from $150 to $250/MWh</w:t>
      </w:r>
      <w:r w:rsidR="00FC638D">
        <w:rPr>
          <w:szCs w:val="24"/>
        </w:rPr>
        <w:fldChar w:fldCharType="begin"/>
      </w:r>
      <w:r w:rsidR="00FC638D">
        <w:rPr>
          <w:szCs w:val="24"/>
        </w:rPr>
        <w:instrText xml:space="preserve"> ADDIN ZOTERO_ITEM CSL_CITATION {"citationID":"HjvoKOxq","properties":{"unsorted":false,"formattedCitation":"[49]","plainCitation":"[49]","noteIndex":0},"citationItems":[{"id":1987,"uris":["http://zotero.org/users/9870935/items/2TYM8STM"],"itemData":{"id":1987,"type":"article-journal","abstract":"The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FC638D">
        <w:rPr>
          <w:szCs w:val="24"/>
        </w:rPr>
        <w:fldChar w:fldCharType="separate"/>
      </w:r>
      <w:r w:rsidR="00FC638D" w:rsidRPr="00FC638D">
        <w:t>[49]</w:t>
      </w:r>
      <w:r w:rsidR="00FC638D">
        <w:rPr>
          <w:szCs w:val="24"/>
        </w:rPr>
        <w:fldChar w:fldCharType="end"/>
      </w:r>
      <w:r w:rsidRPr="00286D4E">
        <w:rPr>
          <w:szCs w:val="24"/>
        </w:rPr>
        <w:t>.</w:t>
      </w:r>
    </w:p>
    <w:p w14:paraId="45A1CB6E" w14:textId="096402D3" w:rsidR="00373B58" w:rsidRPr="00286D4E" w:rsidRDefault="00286D4E" w:rsidP="00194936">
      <w:pPr>
        <w:spacing w:after="120"/>
        <w:ind w:firstLine="480"/>
        <w:rPr>
          <w:szCs w:val="24"/>
        </w:rPr>
      </w:pPr>
      <w:r w:rsidRPr="00286D4E">
        <w:rPr>
          <w:szCs w:val="24"/>
        </w:rPr>
        <w:t>Energy storage sizing methodologies have evolved from simple deterministic approaches based on worst-case scenarios to sophisticated probabilistic and optimization-based frameworks. The probabilistic approach uses metrics such as Loss of Load Expectation (LOLE) to quantify reliability, where LOLE represents the expected number of hours per year that available generation is insufficient to meet demand</w:t>
      </w:r>
      <w:r w:rsidR="00383E7D">
        <w:rPr>
          <w:szCs w:val="24"/>
        </w:rPr>
        <w:t xml:space="preserve"> </w:t>
      </w:r>
      <w:r w:rsidR="00383E7D">
        <w:rPr>
          <w:szCs w:val="24"/>
        </w:rPr>
        <w:fldChar w:fldCharType="begin"/>
      </w:r>
      <w:r w:rsidR="00383E7D">
        <w:rPr>
          <w:szCs w:val="24"/>
        </w:rPr>
        <w:instrText xml:space="preserve"> ADDIN ZOTERO_ITEM CSL_CITATION {"citationID":"QwfviUwV","properties":{"unsorted":false,"formattedCitation":"[50]","plainCitation":"[50]","noteIndex":0},"citationItems":[{"id":1988,"uris":["http://zotero.org/users/9870935/items/9LH8YF5V"],"itemData":{"id":1988,"type":"article-journal","container-title":"Future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383E7D">
        <w:rPr>
          <w:szCs w:val="24"/>
        </w:rPr>
        <w:fldChar w:fldCharType="separate"/>
      </w:r>
      <w:r w:rsidR="00383E7D" w:rsidRPr="00383E7D">
        <w:t>[50]</w:t>
      </w:r>
      <w:r w:rsidR="00383E7D">
        <w:rPr>
          <w:szCs w:val="24"/>
        </w:rPr>
        <w:fldChar w:fldCharType="end"/>
      </w:r>
      <w:r w:rsidRPr="00286D4E">
        <w:rPr>
          <w:szCs w:val="24"/>
        </w:rPr>
        <w:t>. Optimization-based approaches solve the sizing problem as a mixed-integer linear program (MILP) to minimize the total system cost while satisfying reliability constraints, carbon emission limits and capacity constraints for interconnection</w:t>
      </w:r>
      <w:r w:rsidR="00194936">
        <w:rPr>
          <w:szCs w:val="24"/>
        </w:rPr>
        <w:fldChar w:fldCharType="begin"/>
      </w:r>
      <w:r w:rsidR="00194936">
        <w:rPr>
          <w:szCs w:val="24"/>
        </w:rPr>
        <w:instrText xml:space="preserve"> ADDIN ZOTERO_ITEM CSL_CITATION {"citationID":"9gclYoSe","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194936">
        <w:rPr>
          <w:szCs w:val="24"/>
        </w:rPr>
        <w:fldChar w:fldCharType="separate"/>
      </w:r>
      <w:r w:rsidR="00194936" w:rsidRPr="00194936">
        <w:t>[51]</w:t>
      </w:r>
      <w:r w:rsidR="00194936">
        <w:rPr>
          <w:szCs w:val="24"/>
        </w:rPr>
        <w:fldChar w:fldCharType="end"/>
      </w:r>
      <w:r w:rsidRPr="00286D4E">
        <w:rPr>
          <w:szCs w:val="24"/>
        </w:rPr>
        <w:t>.</w:t>
      </w:r>
    </w:p>
    <w:p w14:paraId="068A52E8" w14:textId="622DFD05" w:rsidR="00194936" w:rsidRDefault="00194936" w:rsidP="00194936">
      <w:pPr>
        <w:pStyle w:val="Heading20"/>
        <w:rPr>
          <w:color w:val="auto"/>
        </w:rPr>
      </w:pPr>
      <w:r>
        <w:rPr>
          <w:color w:val="auto"/>
        </w:rPr>
        <w:t>2.4. Microgrids and Grid Integration</w:t>
      </w:r>
    </w:p>
    <w:p w14:paraId="6969D1D5" w14:textId="7942F17E" w:rsidR="00D0205A" w:rsidRPr="00D0205A" w:rsidRDefault="00D0205A" w:rsidP="00F0303A">
      <w:pPr>
        <w:spacing w:after="120"/>
        <w:ind w:firstLine="480"/>
        <w:rPr>
          <w:szCs w:val="24"/>
        </w:rPr>
      </w:pPr>
      <w:r w:rsidRPr="00D0205A">
        <w:rPr>
          <w:szCs w:val="24"/>
        </w:rPr>
        <w:t>With the growing inverter-based resource</w:t>
      </w:r>
      <w:r>
        <w:rPr>
          <w:szCs w:val="24"/>
        </w:rPr>
        <w:t xml:space="preserve"> (IBRs)</w:t>
      </w:r>
      <w:r w:rsidRPr="00D0205A">
        <w:rPr>
          <w:szCs w:val="24"/>
        </w:rPr>
        <w:t xml:space="preserve"> penetration, microgrid control strategies have progressed considerably. The concept of grid-forming inverters is a paradigm shift from grid-following designs that use phase-locked loops (PLLs) to synchronize with the grid frequency</w:t>
      </w:r>
      <w:r w:rsidR="00AD7BFD">
        <w:rPr>
          <w:szCs w:val="24"/>
        </w:rPr>
        <w:fldChar w:fldCharType="begin"/>
      </w:r>
      <w:r w:rsidR="00AD7BFD">
        <w:rPr>
          <w:szCs w:val="24"/>
        </w:rPr>
        <w:instrText xml:space="preserve"> ADDIN ZOTERO_ITEM CSL_CITATION {"citationID":"GRPOjuAH","properties":{"unsorted":false,"formattedCitation":"[52]","plainCitation":"[52]","noteIndex":0},"citationItems":[{"id":1991,"uris":["http://zotero.org/users/9870935/items/TCP3MAYA"],"itemData":{"id":1991,"type":"article-journal","abstract":"With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sidR="00AD7BFD">
        <w:rPr>
          <w:szCs w:val="24"/>
        </w:rPr>
        <w:fldChar w:fldCharType="separate"/>
      </w:r>
      <w:r w:rsidR="00AD7BFD" w:rsidRPr="00AD7BFD">
        <w:t>[52]</w:t>
      </w:r>
      <w:r w:rsidR="00AD7BFD">
        <w:rPr>
          <w:szCs w:val="24"/>
        </w:rPr>
        <w:fldChar w:fldCharType="end"/>
      </w:r>
      <w:r w:rsidRPr="00D0205A">
        <w:rPr>
          <w:szCs w:val="24"/>
        </w:rPr>
        <w:t>. The IEEE 2800-2022 standard was developed specifically for inverter-based resources and defines performance criteria for frequency response, voltage support and ride-through that allow for reliable operation at high levels of renewable penetration</w:t>
      </w:r>
      <w:r w:rsidR="002C3CD7">
        <w:rPr>
          <w:szCs w:val="24"/>
        </w:rPr>
        <w:fldChar w:fldCharType="begin"/>
      </w:r>
      <w:r w:rsidR="00AD7BFD">
        <w:rPr>
          <w:szCs w:val="24"/>
        </w:rPr>
        <w:instrText xml:space="preserve"> ADDIN ZOTERO_ITEM CSL_CITATION {"citationID":"yvSCoOuc","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2C3CD7">
        <w:rPr>
          <w:szCs w:val="24"/>
        </w:rPr>
        <w:fldChar w:fldCharType="separate"/>
      </w:r>
      <w:r w:rsidR="00AD7BFD" w:rsidRPr="00AD7BFD">
        <w:t>[53]</w:t>
      </w:r>
      <w:r w:rsidR="002C3CD7">
        <w:rPr>
          <w:szCs w:val="24"/>
        </w:rPr>
        <w:fldChar w:fldCharType="end"/>
      </w:r>
      <w:r w:rsidRPr="00D0205A">
        <w:rPr>
          <w:szCs w:val="24"/>
        </w:rPr>
        <w:t>. FERC Order 2023 also clarifies the interconnection process, providing streamlined timelines and pre-certification routes to mitigate delays in the queue</w:t>
      </w:r>
      <w:r w:rsidR="00F0303A">
        <w:rPr>
          <w:szCs w:val="24"/>
        </w:rPr>
        <w:fldChar w:fldCharType="begin"/>
      </w:r>
      <w:r w:rsidR="00F0303A">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0303A">
        <w:rPr>
          <w:szCs w:val="24"/>
        </w:rPr>
        <w:fldChar w:fldCharType="separate"/>
      </w:r>
      <w:r w:rsidR="00F0303A" w:rsidRPr="00F0303A">
        <w:t>[24]</w:t>
      </w:r>
      <w:r w:rsidR="00F0303A">
        <w:rPr>
          <w:szCs w:val="24"/>
        </w:rPr>
        <w:fldChar w:fldCharType="end"/>
      </w:r>
      <w:r w:rsidRPr="00D0205A">
        <w:rPr>
          <w:szCs w:val="24"/>
        </w:rPr>
        <w:t>.</w:t>
      </w:r>
    </w:p>
    <w:p w14:paraId="43EFF354" w14:textId="20C3C732" w:rsidR="00194936" w:rsidRPr="00D0205A" w:rsidRDefault="00D0205A" w:rsidP="00654C5B">
      <w:pPr>
        <w:spacing w:after="120"/>
        <w:ind w:firstLine="480"/>
        <w:rPr>
          <w:szCs w:val="24"/>
        </w:rPr>
      </w:pPr>
      <w:r w:rsidRPr="00D0205A">
        <w:rPr>
          <w:szCs w:val="24"/>
        </w:rPr>
        <w:t>In data center microgrids, harmonic distortion, power factor correction, and voltage regulation are important considerations for power quality management. The IEEE 519 specifies a THD limit of less than 5</w:t>
      </w:r>
      <w:r w:rsidR="00D70EF1">
        <w:rPr>
          <w:szCs w:val="24"/>
        </w:rPr>
        <w:t xml:space="preserve">% </w:t>
      </w:r>
      <w:r w:rsidRPr="00D0205A">
        <w:rPr>
          <w:szCs w:val="24"/>
        </w:rPr>
        <w:t>at the point of common coupling (PCC), and individual harmonic limits of 3</w:t>
      </w:r>
      <w:r w:rsidR="00D70EF1">
        <w:rPr>
          <w:szCs w:val="24"/>
        </w:rPr>
        <w:t xml:space="preserve">% </w:t>
      </w:r>
      <w:r w:rsidRPr="00D0205A">
        <w:rPr>
          <w:szCs w:val="24"/>
        </w:rPr>
        <w:t>for characteristic harmonics</w:t>
      </w:r>
      <w:r w:rsidR="004C48CC">
        <w:rPr>
          <w:szCs w:val="24"/>
        </w:rPr>
        <w:fldChar w:fldCharType="begin"/>
      </w:r>
      <w:r w:rsidR="004C48CC">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4C48CC">
        <w:rPr>
          <w:szCs w:val="24"/>
        </w:rPr>
        <w:fldChar w:fldCharType="separate"/>
      </w:r>
      <w:r w:rsidR="004C48CC" w:rsidRPr="004C48CC">
        <w:t>[22]</w:t>
      </w:r>
      <w:r w:rsidR="004C48CC">
        <w:rPr>
          <w:szCs w:val="24"/>
        </w:rPr>
        <w:fldChar w:fldCharType="end"/>
      </w:r>
      <w:r w:rsidRPr="00D0205A">
        <w:rPr>
          <w:szCs w:val="24"/>
        </w:rPr>
        <w:t>. SMPSs, VFDs, and LED drivers are examples of nonlinear loads in today's data centers that can produce substantial harmonic currents resulting in transformer overheating, capacitor bank damage, and overload of the neutral conductor if left unchecked</w:t>
      </w:r>
      <w:r w:rsidR="00654C5B">
        <w:rPr>
          <w:szCs w:val="24"/>
        </w:rPr>
        <w:fldChar w:fldCharType="begin"/>
      </w:r>
      <w:r w:rsidR="00654C5B">
        <w:rPr>
          <w:szCs w:val="24"/>
        </w:rPr>
        <w:instrText xml:space="preserve"> ADDIN ZOTERO_ITEM CSL_CITATION {"citationID":"jj4vX417","properties":{"unsorted":false,"formattedCitation":"[54]","plainCitation":"[54]","noteIndex":0},"citationItems":[{"id":1993,"uris":["http://zotero.org/users/9870935/items/2D54TKGT"],"itemData":{"id":1993,"type":"paper-conference","container-title":"2024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654C5B">
        <w:rPr>
          <w:szCs w:val="24"/>
        </w:rPr>
        <w:fldChar w:fldCharType="separate"/>
      </w:r>
      <w:r w:rsidR="00654C5B" w:rsidRPr="00654C5B">
        <w:t>[54]</w:t>
      </w:r>
      <w:r w:rsidR="00654C5B">
        <w:rPr>
          <w:szCs w:val="24"/>
        </w:rPr>
        <w:fldChar w:fldCharType="end"/>
      </w:r>
      <w:r w:rsidRPr="00D0205A">
        <w:rPr>
          <w:szCs w:val="24"/>
        </w:rPr>
        <w:t>. In high-density computing, active power filter and multi-pulse rectifier topologies are effective solutions for harmonic compliance.</w:t>
      </w:r>
    </w:p>
    <w:p w14:paraId="760F8B8C" w14:textId="637FF876" w:rsidR="00215994" w:rsidRDefault="00215994" w:rsidP="00215994">
      <w:pPr>
        <w:pStyle w:val="Heading20"/>
        <w:rPr>
          <w:color w:val="auto"/>
        </w:rPr>
      </w:pPr>
      <w:r>
        <w:rPr>
          <w:color w:val="auto"/>
        </w:rPr>
        <w:t>2.5. Industry Case Studies</w:t>
      </w:r>
    </w:p>
    <w:p w14:paraId="7BDAB997" w14:textId="38096719" w:rsidR="00215994" w:rsidRPr="00215994" w:rsidRDefault="00215994" w:rsidP="007D5C38">
      <w:pPr>
        <w:spacing w:after="120"/>
        <w:ind w:firstLine="480"/>
        <w:rPr>
          <w:szCs w:val="24"/>
        </w:rPr>
      </w:pPr>
      <w:r w:rsidRPr="00215994">
        <w:rPr>
          <w:szCs w:val="24"/>
        </w:rPr>
        <w:t>Google has become an industry leader in buying renewable energy. The company has recently increased its contracting activities, resulting in a portfolio of more than 30 GW of total clean energy capacity worldwide from over 170 power purchase agreements (PPAs)</w:t>
      </w:r>
      <w:r w:rsidR="00114F15">
        <w:rPr>
          <w:szCs w:val="24"/>
        </w:rPr>
        <w:fldChar w:fldCharType="begin"/>
      </w:r>
      <w:r w:rsidR="00114F15">
        <w:rPr>
          <w:szCs w:val="24"/>
        </w:rPr>
        <w:instrText xml:space="preserve"> ADDIN ZOTERO_ITEM CSL_CITATION {"citationID":"hR3obl5V","properties":{"unsorted":false,"formattedCitation":"[55]","plainCitation":"[55]","noteIndex":0},"citationItems":[{"id":1995,"uris":["http://zotero.org/users/9870935/items/ZZ4BDIPH"],"itemData":{"id":1995,"type":"post-weblog","title":"Google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114F15">
        <w:rPr>
          <w:szCs w:val="24"/>
        </w:rPr>
        <w:fldChar w:fldCharType="separate"/>
      </w:r>
      <w:r w:rsidR="00114F15" w:rsidRPr="00114F15">
        <w:t>[55]</w:t>
      </w:r>
      <w:r w:rsidR="00114F15">
        <w:rPr>
          <w:szCs w:val="24"/>
        </w:rPr>
        <w:fldChar w:fldCharType="end"/>
      </w:r>
      <w:r w:rsidRPr="00215994">
        <w:rPr>
          <w:szCs w:val="24"/>
        </w:rPr>
        <w:t>. Google met its hourly carbon-free energy (CFE) matching metric at 64</w:t>
      </w:r>
      <w:r w:rsidR="00BC59F2">
        <w:rPr>
          <w:szCs w:val="24"/>
        </w:rPr>
        <w:t xml:space="preserve">% </w:t>
      </w:r>
      <w:r w:rsidRPr="00215994">
        <w:rPr>
          <w:szCs w:val="24"/>
        </w:rPr>
        <w:t>on a worldwide basis, and continues on its path toward achieving its structural target of 100</w:t>
      </w:r>
      <w:r w:rsidR="00BC59F2">
        <w:rPr>
          <w:szCs w:val="24"/>
        </w:rPr>
        <w:t xml:space="preserve">% </w:t>
      </w:r>
      <w:r w:rsidRPr="00215994">
        <w:rPr>
          <w:szCs w:val="24"/>
        </w:rPr>
        <w:t>CFE operation on all regional grids by 2030</w:t>
      </w:r>
      <w:r w:rsidR="00361F8B">
        <w:rPr>
          <w:szCs w:val="24"/>
        </w:rPr>
        <w:fldChar w:fldCharType="begin"/>
      </w:r>
      <w:r w:rsidR="00361F8B">
        <w:rPr>
          <w:szCs w:val="24"/>
        </w:rPr>
        <w:instrText xml:space="preserve"> ADDIN ZOTERO_ITEM CSL_CITATION {"citationID":"CKrzWUpd","properties":{"unsorted":false,"formattedCitation":"[55], [56]","plainCitation":"[55], [56]","noteIndex":0},"citationItems":[{"id":1995,"uris":["http://zotero.org/users/9870935/items/ZZ4BDIPH"],"itemData":{"id":1995,"type":"post-weblog","title":"Google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361F8B">
        <w:rPr>
          <w:szCs w:val="24"/>
        </w:rPr>
        <w:fldChar w:fldCharType="separate"/>
      </w:r>
      <w:r w:rsidR="00361F8B" w:rsidRPr="00361F8B">
        <w:t>[55], [56]</w:t>
      </w:r>
      <w:r w:rsidR="00361F8B">
        <w:rPr>
          <w:szCs w:val="24"/>
        </w:rPr>
        <w:fldChar w:fldCharType="end"/>
      </w:r>
      <w:r w:rsidRPr="00215994">
        <w:rPr>
          <w:szCs w:val="24"/>
        </w:rPr>
        <w:t xml:space="preserve">. This approach involves the deployment of a 50 MW on-site wind generation framework at its data center cluster in Iowa, </w:t>
      </w:r>
      <w:r w:rsidRPr="00215994">
        <w:rPr>
          <w:szCs w:val="24"/>
        </w:rPr>
        <w:lastRenderedPageBreak/>
        <w:t>along with more than 200 MW of wind and solar PPAs in Chile. The strategy of Google's architecture is to spread out their architecture geographically, taking advantage of the anti-correlated, complementary nature of wind assets in the U.S. Midwest and solar assets in the Southwest to significantly reduce the overall variability of the grid they are tied to</w:t>
      </w:r>
      <w:r w:rsidR="007D5C38">
        <w:rPr>
          <w:szCs w:val="24"/>
        </w:rPr>
        <w:fldChar w:fldCharType="begin"/>
      </w:r>
      <w:r w:rsidR="007D5C38">
        <w:rPr>
          <w:szCs w:val="24"/>
        </w:rPr>
        <w:instrText xml:space="preserve"> ADDIN ZOTERO_ITEM CSL_CITATION {"citationID":"qNnagB7S","properties":{"unsorted":false,"formattedCitation":"[56]","plainCitation":"[56]","noteIndex":0},"citationItems":[{"id":1996,"uris":["http://zotero.org/users/9870935/items/JWXMITAD"],"itemData":{"id":1996,"type":"article-journal","abstract":"The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7D5C38">
        <w:rPr>
          <w:szCs w:val="24"/>
        </w:rPr>
        <w:fldChar w:fldCharType="separate"/>
      </w:r>
      <w:r w:rsidR="007D5C38" w:rsidRPr="007D5C38">
        <w:t>[56]</w:t>
      </w:r>
      <w:r w:rsidR="007D5C38">
        <w:rPr>
          <w:szCs w:val="24"/>
        </w:rPr>
        <w:fldChar w:fldCharType="end"/>
      </w:r>
      <w:r w:rsidRPr="00215994">
        <w:rPr>
          <w:szCs w:val="24"/>
        </w:rPr>
        <w:t xml:space="preserve">.  </w:t>
      </w:r>
    </w:p>
    <w:p w14:paraId="015C2D72" w14:textId="6A2888B9" w:rsidR="00215994" w:rsidRPr="00215994" w:rsidRDefault="00215994" w:rsidP="00B768DA">
      <w:pPr>
        <w:spacing w:after="120"/>
        <w:ind w:firstLine="480"/>
        <w:rPr>
          <w:szCs w:val="24"/>
        </w:rPr>
      </w:pPr>
      <w:r w:rsidRPr="00215994">
        <w:rPr>
          <w:szCs w:val="24"/>
        </w:rPr>
        <w:t>Meta has taken a differentiated approach, focusing on localized fuel cell deployment and extensive grid additionality. Meta has installed 5 MW of SOFCs at its Prineville, OR data center campus to supply stable primary baseload power</w:t>
      </w:r>
      <w:r w:rsidR="003B53B0">
        <w:rPr>
          <w:szCs w:val="24"/>
        </w:rPr>
        <w:fldChar w:fldCharType="begin"/>
      </w:r>
      <w:r w:rsidR="003B53B0">
        <w:rPr>
          <w:szCs w:val="24"/>
        </w:rPr>
        <w:instrText xml:space="preserve"> ADDIN ZOTERO_ITEM CSL_CITATION {"citationID":"yI9ZUW0O","properties":{"unsorted":false,"formattedCitation":"[56]","plainCitation":"[56]","noteIndex":0},"citationItems":[{"id":1996,"uris":["http://zotero.org/users/9870935/items/JWXMITAD"],"itemData":{"id":1996,"type":"article-journal","abstract":"The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3B53B0">
        <w:rPr>
          <w:szCs w:val="24"/>
        </w:rPr>
        <w:fldChar w:fldCharType="separate"/>
      </w:r>
      <w:r w:rsidR="003B53B0" w:rsidRPr="003B53B0">
        <w:t>[56]</w:t>
      </w:r>
      <w:r w:rsidR="003B53B0">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on a global basis </w:t>
      </w:r>
      <w:r w:rsidR="00B55BC9">
        <w:rPr>
          <w:szCs w:val="24"/>
        </w:rPr>
        <w:fldChar w:fldCharType="begin"/>
      </w:r>
      <w:r w:rsidR="00760EDA">
        <w:rPr>
          <w:szCs w:val="24"/>
        </w:rPr>
        <w:instrText xml:space="preserve"> ADDIN ZOTERO_ITEM CSL_CITATION {"citationID":"Zg4mrp1i","properties":{"unsorted":false,"formattedCitation":"[57], [58]","plainCitation":"[57], [58]","noteIndex":0},"citationItems":[{"id":1998,"uris":["http://zotero.org/users/9870935/items/3PR5HCM7"],"itemData":{"id":1998,"type":"post-weblog","title":"2025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Growth","author":[{"family":"BloombergNEF","given":""}]}}],"schema":"https://github.com/citation-style-language/schema/raw/master/csl-citation.json"} </w:instrText>
      </w:r>
      <w:r w:rsidR="00B55BC9">
        <w:rPr>
          <w:szCs w:val="24"/>
        </w:rPr>
        <w:fldChar w:fldCharType="separate"/>
      </w:r>
      <w:r w:rsidR="00760EDA" w:rsidRPr="00760EDA">
        <w:t>[57], [58]</w:t>
      </w:r>
      <w:r w:rsidR="00B55BC9">
        <w:rPr>
          <w:szCs w:val="24"/>
        </w:rPr>
        <w:fldChar w:fldCharType="end"/>
      </w:r>
      <w:r w:rsidRPr="00215994">
        <w:rPr>
          <w:szCs w:val="24"/>
        </w:rPr>
        <w:t xml:space="preserve">.  </w:t>
      </w:r>
    </w:p>
    <w:p w14:paraId="0FF03489" w14:textId="676B76DB" w:rsidR="00215994" w:rsidRPr="00215994" w:rsidRDefault="00215994" w:rsidP="00866BB5">
      <w:pPr>
        <w:spacing w:after="120"/>
        <w:ind w:firstLine="480"/>
        <w:rPr>
          <w:szCs w:val="24"/>
        </w:rPr>
      </w:pPr>
      <w:r w:rsidRPr="00215994">
        <w:rPr>
          <w:szCs w:val="24"/>
        </w:rPr>
        <w:t>At the same time, Microsoft has been leading the way with very decentralized baseload ideas. This includes Project Natick, an underwater data centre deployment that achieved a 99.9</w:t>
      </w:r>
      <w:r w:rsidR="00760EDA">
        <w:rPr>
          <w:szCs w:val="24"/>
        </w:rPr>
        <w:t xml:space="preserve">% </w:t>
      </w:r>
      <w:r w:rsidRPr="00215994">
        <w:rPr>
          <w:szCs w:val="24"/>
        </w:rPr>
        <w:t xml:space="preserve">uptime reliability factor and an eight-fold reduction in hardware failure rates compared with traditional land-based data </w:t>
      </w:r>
      <w:r w:rsidR="008E6980" w:rsidRPr="00215994">
        <w:rPr>
          <w:szCs w:val="24"/>
        </w:rPr>
        <w:t>centers</w:t>
      </w:r>
      <w:r w:rsidR="00670E8A">
        <w:rPr>
          <w:szCs w:val="24"/>
        </w:rPr>
        <w:fldChar w:fldCharType="begin"/>
      </w:r>
      <w:r w:rsidR="00866BB5">
        <w:rPr>
          <w:szCs w:val="24"/>
        </w:rPr>
        <w:instrText xml:space="preserve"> ADDIN ZOTERO_ITEM CSL_CITATION {"citationID":"8st61XpZ","properties":{"unsorted":false,"formattedCitation":"[59], [60]","plainCitation":"[59], [60]","noteIndex":0},"citationItems":[{"id":2005,"uris":["http://zotero.org/users/9870935/items/GPXLWD7A"],"itemData":{"id":2005,"type":"article-journal","abstract":"This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id":2001,"uris":["http://zotero.org/users/9870935/items/2FD7ZXSC"],"itemData":{"id":2001,"type":"article-journal","language":"en","source":"Zotero","title":"Project Natick — Microsoft's Self-sufficient Underwater Datacenters","author":[{"family":"Simon","given":"Kevin"}]}}],"schema":"https://github.com/citation-style-language/schema/raw/master/csl-citation.json"} </w:instrText>
      </w:r>
      <w:r w:rsidR="00670E8A">
        <w:rPr>
          <w:szCs w:val="24"/>
        </w:rPr>
        <w:fldChar w:fldCharType="separate"/>
      </w:r>
      <w:r w:rsidR="00866BB5" w:rsidRPr="00866BB5">
        <w:t>[59], [60]</w:t>
      </w:r>
      <w:r w:rsidR="00670E8A">
        <w:rPr>
          <w:szCs w:val="24"/>
        </w:rPr>
        <w:fldChar w:fldCharType="end"/>
      </w:r>
      <w:r w:rsidRPr="00215994">
        <w:rPr>
          <w:szCs w:val="24"/>
        </w:rPr>
        <w:t>. In order to support the very large workloads of AI, Microsoft has transitioned to the nuclear energy frameworks, with direct, long-term power supply relationships that provide stable, non-intermittent baseload power that is carbon-free</w:t>
      </w:r>
      <w:r w:rsidR="00337DE9">
        <w:rPr>
          <w:szCs w:val="24"/>
        </w:rPr>
        <w:fldChar w:fldCharType="begin"/>
      </w:r>
      <w:r w:rsidR="00866BB5">
        <w:rPr>
          <w:szCs w:val="24"/>
        </w:rPr>
        <w:instrText xml:space="preserve"> ADDIN ZOTERO_ITEM CSL_CITATION {"citationID":"XDrsuJcP","properties":{"unsorted":false,"formattedCitation":"[61]","plainCitation":"[61]","noteIndex":0},"citationItems":[{"id":2006,"uris":["http://zotero.org/users/9870935/items/X97WKK42"],"itemData":{"id":2006,"type":"article-journal","abstract":"Societies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sidR="00337DE9">
        <w:rPr>
          <w:szCs w:val="24"/>
        </w:rPr>
        <w:fldChar w:fldCharType="separate"/>
      </w:r>
      <w:r w:rsidR="00866BB5" w:rsidRPr="00866BB5">
        <w:t>[61]</w:t>
      </w:r>
      <w:r w:rsidR="00337DE9">
        <w:rPr>
          <w:szCs w:val="24"/>
        </w:rPr>
        <w:fldChar w:fldCharType="end"/>
      </w:r>
      <w:r w:rsidRPr="00215994">
        <w:rPr>
          <w:szCs w:val="24"/>
        </w:rPr>
        <w:t>.</w:t>
      </w:r>
    </w:p>
    <w:p w14:paraId="096656E4" w14:textId="0FE88046" w:rsidR="00215994" w:rsidRPr="00215994" w:rsidRDefault="00215994" w:rsidP="00866BB5">
      <w:pPr>
        <w:spacing w:after="120"/>
        <w:ind w:firstLine="480"/>
        <w:rPr>
          <w:szCs w:val="24"/>
        </w:rPr>
      </w:pPr>
      <w:r w:rsidRPr="00215994">
        <w:rPr>
          <w:szCs w:val="24"/>
        </w:rPr>
        <w:t>Equinix is the world's largest colocation data center provider with a presence in more than 260 facilities, which manages a very decentralized clean energy procurement architecture</w:t>
      </w:r>
      <w:r w:rsidR="00FF26BE">
        <w:rPr>
          <w:szCs w:val="24"/>
        </w:rPr>
        <w:fldChar w:fldCharType="begin"/>
      </w:r>
      <w:r w:rsidR="00866BB5">
        <w:rPr>
          <w:szCs w:val="24"/>
        </w:rPr>
        <w:instrText xml:space="preserve"> ADDIN ZOTERO_ITEM CSL_CITATION {"citationID":"55g5vk6s","properties":{"unsorted":false,"formattedCitation":"[62]","plainCitation":"[62]","noteIndex":0},"citationItems":[{"id":2007,"uris":["http://zotero.org/users/9870935/items/KHWRQFNN"],"itemData":{"id":2007,"type":"post-weblog","title":"Sustainability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FF26BE">
        <w:rPr>
          <w:szCs w:val="24"/>
        </w:rPr>
        <w:fldChar w:fldCharType="separate"/>
      </w:r>
      <w:r w:rsidR="00866BB5" w:rsidRPr="00866BB5">
        <w:t>[62]</w:t>
      </w:r>
      <w:r w:rsidR="00FF26BE">
        <w:rPr>
          <w:szCs w:val="24"/>
        </w:rPr>
        <w:fldChar w:fldCharType="end"/>
      </w:r>
      <w:r w:rsidRPr="00215994">
        <w:rPr>
          <w:szCs w:val="24"/>
        </w:rPr>
        <w:t>. Equinix has established a 96</w:t>
      </w:r>
      <w:r w:rsidR="009B372B">
        <w:rPr>
          <w:szCs w:val="24"/>
        </w:rPr>
        <w:t xml:space="preserve">% </w:t>
      </w:r>
      <w:r w:rsidRPr="00215994">
        <w:rPr>
          <w:szCs w:val="24"/>
        </w:rPr>
        <w:t>global renewable energy coverage metric for its retail data center portfolio, with multiple hundreds of megawatts of solar and wind capacity across California, Arizona, Texas, and Europe</w:t>
      </w:r>
      <w:r w:rsidR="00253CAD">
        <w:rPr>
          <w:szCs w:val="24"/>
        </w:rPr>
        <w:fldChar w:fldCharType="begin"/>
      </w:r>
      <w:r w:rsidR="00866BB5">
        <w:rPr>
          <w:szCs w:val="24"/>
        </w:rPr>
        <w:instrText xml:space="preserve"> ADDIN ZOTERO_ITEM CSL_CITATION {"citationID":"VdbmAADr","properties":{"unsorted":false,"formattedCitation":"[63]","plainCitation":"[63]","noteIndex":0},"citationItems":[{"id":2009,"uris":["http://zotero.org/users/9870935/items/QBYC38N3"],"itemData":{"id":2009,"type":"article-journal","abstract":"As Europe progresses toward a greener future, the years ahead bring expectations of widespread, large-scale photovoltaic (PV) deployment. Presently, mainstream silicon PV is transitioning away from the passivated emitter rear cell (PERC) architecture towards higher efﬁciency cell designs: tunnel oxide passivated contact (TOPCon) and silicon heterojunction (SHJ). With net-zero deadlines looming, there is an urgent need for comprehensive sustainability investigations into minimizing the environmental impact of large-scale actions before suffering avoidable consequences. Using life cycle assessment, these three silicon technologies are investigated and compared, ﬁnding SHJ to have the lowest global impact, closely followed by TOPCon. Both have lower impacts than PERC for 15 of 16 investigated environmental impact categories, including climate change ( 9.9% and 12.1%, respectively), but increased metal use (+29.5% and +13.0%, respectively). A hotspot analysis identiﬁes research opportunities for reducing environmental impacts such as material innovation through substituting silver (metallization) and ethylene vinyl acetate (encapsulant), or, more broadly, improving process efﬁciency and integrating more renewables into the electricity mix. The environmental impact is further evaluated to consider technological developments and evolving electricity mixes to the year 2034, showing the impacts of SHJ and TOPCon are reduced by &gt;10% for all six identiﬁed highvalue impact categories. These are then used to model European PV deployment between 2023 and 2034, considering various manufacturing scenarios, which show that this could result in climate change emissions of &lt;0.41 Gt CO2 eq., though implementation of the Net-Zero Industry Act could reduce this to 0.31 Gt CO2 eq. Finally, sensitivity analysis is conducted to investigate uncertainty associated with modeling future impacts, comparing the 2024 and 2025 International Technology Roadmap for Photovoltaics. The sensitivity analysis results provide additional conﬁdence in the ﬁndings of the initial comparison and support the conclusion that SHJ technology has, and will continue to have, the lowest environmental impact of the three investigated technologies.","container-title":"EPJ Photovoltaics","DOI":"10.1051/epjpv/2026009","ISSN":"2105-0716","journalAbbreviation":"EPJ Photovolt.","language":"en","license":"https://creativecommons.org/licenses/by/4.0","page":"16","source":"DOI.org (Crossref)","title":"Sustainability outlook for leading silicon photovoltaic technologies from 2023–2034 in Europe","volume":"17","author":[{"family":"Willis","given":"Bethany L."},{"family":"Rigby","given":"Oliver M."},{"family":"Pain","given":"Sophie L."},{"family":"Grant","given":"Nicholas E."},{"family":"Murphy","given":"John D."},{"family":"Bonilla","given":"Ruy S."},{"family":"Beattie","given":"Neil S."}],"issued":{"date-parts":[["2026"]]}}}],"schema":"https://github.com/citation-style-language/schema/raw/master/csl-citation.json"} </w:instrText>
      </w:r>
      <w:r w:rsidR="00253CAD">
        <w:rPr>
          <w:szCs w:val="24"/>
        </w:rPr>
        <w:fldChar w:fldCharType="separate"/>
      </w:r>
      <w:r w:rsidR="00866BB5" w:rsidRPr="00866BB5">
        <w:t>[63]</w:t>
      </w:r>
      <w:r w:rsidR="00253CAD">
        <w:rPr>
          <w:szCs w:val="24"/>
        </w:rPr>
        <w:fldChar w:fldCharType="end"/>
      </w:r>
      <w:r w:rsidRPr="00215994">
        <w:rPr>
          <w:szCs w:val="24"/>
        </w:rPr>
        <w:t>.</w:t>
      </w:r>
    </w:p>
    <w:p w14:paraId="2392FCCB" w14:textId="13BB3588" w:rsidR="00215994" w:rsidRDefault="00215994" w:rsidP="00866BB5">
      <w:pPr>
        <w:spacing w:after="120"/>
        <w:ind w:firstLine="480"/>
        <w:rPr>
          <w:szCs w:val="24"/>
        </w:rPr>
      </w:pPr>
      <w:r w:rsidRPr="00215994">
        <w:rPr>
          <w:szCs w:val="24"/>
        </w:rPr>
        <w:t>Likewise, Apple has removed its operating footprint and matched 100</w:t>
      </w:r>
      <w:r w:rsidR="00253CAD">
        <w:rPr>
          <w:szCs w:val="24"/>
        </w:rPr>
        <w:t xml:space="preserve">% </w:t>
      </w:r>
      <w:r w:rsidRPr="00215994">
        <w:rPr>
          <w:szCs w:val="24"/>
        </w:rPr>
        <w:t>renewable energy at its corporate operations and upstream manufacturing supply chain. This setup includes a specialized 10 MW solid oxide fuel cell array at its Maiden, North Carolina data center, running in parallel with significant onsite solar power generation</w:t>
      </w:r>
      <w:r w:rsidR="00C71CA7">
        <w:rPr>
          <w:szCs w:val="24"/>
        </w:rPr>
        <w:t xml:space="preserve">. </w:t>
      </w:r>
      <w:r w:rsidRPr="00215994">
        <w:rPr>
          <w:szCs w:val="24"/>
        </w:rPr>
        <w:t>These are clearly public-facing corporate efforts to prove that although perfect, real-time 24/7 CFE matching is a continuing challenge on the grid, utility-scale renewable-powered data center configurations are technically stable and economically better options for hyperscale infrastructure</w:t>
      </w:r>
      <w:r w:rsidR="00D41ABC">
        <w:rPr>
          <w:szCs w:val="24"/>
        </w:rPr>
        <w:fldChar w:fldCharType="begin"/>
      </w:r>
      <w:r w:rsidR="00866BB5">
        <w:rPr>
          <w:szCs w:val="24"/>
        </w:rPr>
        <w:instrText xml:space="preserve"> ADDIN ZOTERO_ITEM CSL_CITATION {"citationID":"aW9zBp1f","properties":{"unsorted":false,"formattedCitation":"[64]","plainCitation":"[64]","noteIndex":0},"citationItems":[{"id":2010,"uris":["http://zotero.org/users/9870935/items/36ZP5SVZ"],"itemData":{"id":2010,"type":"post-weblog","title":"Environmental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D41ABC">
        <w:rPr>
          <w:szCs w:val="24"/>
        </w:rPr>
        <w:fldChar w:fldCharType="separate"/>
      </w:r>
      <w:r w:rsidR="00866BB5" w:rsidRPr="00866BB5">
        <w:t>[64]</w:t>
      </w:r>
      <w:r w:rsidR="00D41ABC">
        <w:rPr>
          <w:szCs w:val="24"/>
        </w:rPr>
        <w:fldChar w:fldCharType="end"/>
      </w:r>
      <w:r w:rsidRPr="00215994">
        <w:rPr>
          <w:szCs w:val="24"/>
        </w:rPr>
        <w:t>.</w:t>
      </w:r>
    </w:p>
    <w:p w14:paraId="526822D0" w14:textId="678D48F0" w:rsidR="00B768DA" w:rsidRDefault="00B768DA" w:rsidP="00B768DA">
      <w:pPr>
        <w:pStyle w:val="Heading20"/>
        <w:rPr>
          <w:color w:val="auto"/>
        </w:rPr>
      </w:pPr>
      <w:r>
        <w:rPr>
          <w:color w:val="auto"/>
        </w:rPr>
        <w:t>2.</w:t>
      </w:r>
      <w:r>
        <w:rPr>
          <w:color w:val="auto"/>
        </w:rPr>
        <w:t>6</w:t>
      </w:r>
      <w:r>
        <w:rPr>
          <w:color w:val="auto"/>
        </w:rPr>
        <w:t xml:space="preserve">. </w:t>
      </w:r>
      <w:r w:rsidRPr="00B768DA">
        <w:rPr>
          <w:color w:val="auto"/>
        </w:rPr>
        <w:t>Critical Comparative Analysis of Renewable Integration Frameworks</w:t>
      </w:r>
    </w:p>
    <w:p w14:paraId="1946F66B" w14:textId="5AF03DE9" w:rsidR="00B768DA" w:rsidRDefault="00B768DA" w:rsidP="00B768DA">
      <w:pPr>
        <w:spacing w:after="120"/>
        <w:ind w:firstLine="480"/>
        <w:rPr>
          <w:szCs w:val="24"/>
        </w:rPr>
      </w:pPr>
      <w:r w:rsidRPr="00B768DA">
        <w:rPr>
          <w:szCs w:val="24"/>
        </w:rPr>
        <w:t>Previous studies on renewable energy integration for data centers fall into three categories, each with distinct limitations that motivate this work:</w:t>
      </w:r>
    </w:p>
    <w:p w14:paraId="256B28D8" w14:textId="78FC9C6B" w:rsidR="00FF5DCC" w:rsidRDefault="00FF5DCC" w:rsidP="00FF5DCC">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Pr="008B20D6">
        <w:t>Comparative Analysis of Renewable Integration Approaches for Data Centers</w:t>
      </w:r>
    </w:p>
    <w:tbl>
      <w:tblPr>
        <w:tblStyle w:val="Mdeck5tablebodythreelines"/>
        <w:tblW w:w="0" w:type="auto"/>
        <w:tblLayout w:type="fixed"/>
        <w:tblLook w:val="04A0" w:firstRow="1" w:lastRow="0" w:firstColumn="1" w:lastColumn="0" w:noHBand="0" w:noVBand="1"/>
      </w:tblPr>
      <w:tblGrid>
        <w:gridCol w:w="1678"/>
        <w:gridCol w:w="1695"/>
        <w:gridCol w:w="1695"/>
        <w:gridCol w:w="1947"/>
        <w:gridCol w:w="1829"/>
      </w:tblGrid>
      <w:tr w:rsidR="00B768DA" w:rsidRPr="00B768DA" w14:paraId="031A7D55" w14:textId="77777777" w:rsidTr="00103F18">
        <w:trPr>
          <w:cnfStyle w:val="100000000000" w:firstRow="1" w:lastRow="0" w:firstColumn="0" w:lastColumn="0" w:oddVBand="0" w:evenVBand="0" w:oddHBand="0" w:evenHBand="0" w:firstRowFirstColumn="0" w:firstRowLastColumn="0" w:lastRowFirstColumn="0" w:lastRowLastColumn="0"/>
        </w:trPr>
        <w:tc>
          <w:tcPr>
            <w:tcW w:w="1678" w:type="dxa"/>
            <w:hideMark/>
          </w:tcPr>
          <w:p w14:paraId="0A899865" w14:textId="77777777" w:rsidR="00B768DA" w:rsidRPr="00B768DA" w:rsidRDefault="00B768DA" w:rsidP="00B768DA">
            <w:pPr>
              <w:pStyle w:val="TableBody"/>
              <w:rPr>
                <w:b/>
                <w:bCs/>
                <w:color w:val="auto"/>
                <w:lang w:val="en-US"/>
              </w:rPr>
            </w:pPr>
            <w:r w:rsidRPr="00B768DA">
              <w:rPr>
                <w:b/>
                <w:bCs/>
                <w:color w:val="auto"/>
                <w:lang w:val="en-US"/>
              </w:rPr>
              <w:t>Approach</w:t>
            </w:r>
          </w:p>
        </w:tc>
        <w:tc>
          <w:tcPr>
            <w:tcW w:w="1695" w:type="dxa"/>
            <w:hideMark/>
          </w:tcPr>
          <w:p w14:paraId="5BA7FFDB" w14:textId="77777777" w:rsidR="00B768DA" w:rsidRPr="00B768DA" w:rsidRDefault="00B768DA" w:rsidP="00B768DA">
            <w:pPr>
              <w:pStyle w:val="TableBody"/>
              <w:rPr>
                <w:b/>
                <w:bCs/>
                <w:color w:val="auto"/>
                <w:lang w:val="en-US"/>
              </w:rPr>
            </w:pPr>
            <w:r w:rsidRPr="00B768DA">
              <w:rPr>
                <w:b/>
                <w:bCs/>
                <w:color w:val="auto"/>
                <w:lang w:val="en-US"/>
              </w:rPr>
              <w:t>Technical Strengths</w:t>
            </w:r>
          </w:p>
        </w:tc>
        <w:tc>
          <w:tcPr>
            <w:tcW w:w="1695" w:type="dxa"/>
            <w:hideMark/>
          </w:tcPr>
          <w:p w14:paraId="570F51FE" w14:textId="77777777" w:rsidR="00B768DA" w:rsidRPr="00B768DA" w:rsidRDefault="00B768DA" w:rsidP="00B768DA">
            <w:pPr>
              <w:pStyle w:val="TableBody"/>
              <w:rPr>
                <w:b/>
                <w:bCs/>
                <w:color w:val="auto"/>
                <w:lang w:val="en-US"/>
              </w:rPr>
            </w:pPr>
            <w:r w:rsidRPr="00B768DA">
              <w:rPr>
                <w:b/>
                <w:bCs/>
                <w:color w:val="auto"/>
                <w:lang w:val="en-US"/>
              </w:rPr>
              <w:t>Economic Blind Spots</w:t>
            </w:r>
          </w:p>
        </w:tc>
        <w:tc>
          <w:tcPr>
            <w:tcW w:w="1947" w:type="dxa"/>
            <w:hideMark/>
          </w:tcPr>
          <w:p w14:paraId="01C96A86" w14:textId="77777777" w:rsidR="00B768DA" w:rsidRPr="00B768DA" w:rsidRDefault="00B768DA" w:rsidP="00B768DA">
            <w:pPr>
              <w:pStyle w:val="TableBody"/>
              <w:rPr>
                <w:b/>
                <w:bCs/>
                <w:color w:val="auto"/>
                <w:lang w:val="en-US"/>
              </w:rPr>
            </w:pPr>
            <w:r w:rsidRPr="00B768DA">
              <w:rPr>
                <w:b/>
                <w:bCs/>
                <w:color w:val="auto"/>
                <w:lang w:val="en-US"/>
              </w:rPr>
              <w:t>Implementation Barriers</w:t>
            </w:r>
          </w:p>
        </w:tc>
        <w:tc>
          <w:tcPr>
            <w:tcW w:w="1829" w:type="dxa"/>
            <w:hideMark/>
          </w:tcPr>
          <w:p w14:paraId="270843B7" w14:textId="77777777" w:rsidR="00B768DA" w:rsidRPr="00B768DA" w:rsidRDefault="00B768DA" w:rsidP="00B768DA">
            <w:pPr>
              <w:pStyle w:val="TableBody"/>
              <w:rPr>
                <w:b/>
                <w:bCs/>
                <w:color w:val="auto"/>
                <w:lang w:val="en-US"/>
              </w:rPr>
            </w:pPr>
            <w:r w:rsidRPr="00B768DA">
              <w:rPr>
                <w:b/>
                <w:bCs/>
                <w:color w:val="auto"/>
                <w:lang w:val="en-US"/>
              </w:rPr>
              <w:t>Gap Addressed by This Framework</w:t>
            </w:r>
          </w:p>
        </w:tc>
      </w:tr>
      <w:tr w:rsidR="00B768DA" w:rsidRPr="00B768DA" w14:paraId="16AC3797" w14:textId="77777777" w:rsidTr="00103F18">
        <w:tc>
          <w:tcPr>
            <w:tcW w:w="1678" w:type="dxa"/>
            <w:hideMark/>
          </w:tcPr>
          <w:p w14:paraId="2A46D2B0" w14:textId="77777777" w:rsidR="00B768DA" w:rsidRPr="00B768DA" w:rsidRDefault="00B768DA" w:rsidP="00B768DA">
            <w:pPr>
              <w:pStyle w:val="TableBody"/>
              <w:rPr>
                <w:bCs/>
                <w:color w:val="auto"/>
                <w:lang w:val="en-US"/>
              </w:rPr>
            </w:pPr>
            <w:r w:rsidRPr="00B768DA">
              <w:rPr>
                <w:b/>
                <w:bCs/>
                <w:color w:val="auto"/>
                <w:lang w:val="en-US"/>
              </w:rPr>
              <w:t>Technical-Only (Grid Studies)</w:t>
            </w:r>
          </w:p>
        </w:tc>
        <w:tc>
          <w:tcPr>
            <w:tcW w:w="1695" w:type="dxa"/>
            <w:hideMark/>
          </w:tcPr>
          <w:p w14:paraId="7A0D753D" w14:textId="77777777" w:rsidR="00B768DA" w:rsidRPr="00B768DA" w:rsidRDefault="00B768DA" w:rsidP="00B768DA">
            <w:pPr>
              <w:pStyle w:val="TableBody"/>
              <w:rPr>
                <w:bCs/>
                <w:color w:val="auto"/>
                <w:lang w:val="en-US"/>
              </w:rPr>
            </w:pPr>
            <w:r w:rsidRPr="00B768DA">
              <w:rPr>
                <w:bCs/>
                <w:color w:val="auto"/>
                <w:lang w:val="en-US"/>
              </w:rPr>
              <w:t xml:space="preserve">Strong harmonic and stability analysis (IEEE </w:t>
            </w:r>
            <w:r w:rsidRPr="00B768DA">
              <w:rPr>
                <w:bCs/>
                <w:color w:val="auto"/>
                <w:lang w:val="en-US"/>
              </w:rPr>
              <w:lastRenderedPageBreak/>
              <w:t>519, IEC 62351 compliance); detailed EMT simulation</w:t>
            </w:r>
          </w:p>
        </w:tc>
        <w:tc>
          <w:tcPr>
            <w:tcW w:w="1695" w:type="dxa"/>
            <w:hideMark/>
          </w:tcPr>
          <w:p w14:paraId="7157AB0E" w14:textId="77777777" w:rsidR="00B768DA" w:rsidRPr="00B768DA" w:rsidRDefault="00B768DA" w:rsidP="00B768DA">
            <w:pPr>
              <w:pStyle w:val="TableBody"/>
              <w:rPr>
                <w:bCs/>
                <w:color w:val="auto"/>
                <w:lang w:val="en-US"/>
              </w:rPr>
            </w:pPr>
            <w:r w:rsidRPr="00B768DA">
              <w:rPr>
                <w:bCs/>
                <w:color w:val="auto"/>
                <w:lang w:val="en-US"/>
              </w:rPr>
              <w:lastRenderedPageBreak/>
              <w:t xml:space="preserve">No cost-benefit analysis; no integration with </w:t>
            </w:r>
            <w:r w:rsidRPr="00B768DA">
              <w:rPr>
                <w:bCs/>
                <w:color w:val="auto"/>
                <w:lang w:val="en-US"/>
              </w:rPr>
              <w:lastRenderedPageBreak/>
              <w:t>workload flexibility or PPA strategy</w:t>
            </w:r>
          </w:p>
        </w:tc>
        <w:tc>
          <w:tcPr>
            <w:tcW w:w="1947" w:type="dxa"/>
            <w:hideMark/>
          </w:tcPr>
          <w:p w14:paraId="4B4A28B4" w14:textId="77777777" w:rsidR="00B768DA" w:rsidRPr="00B768DA" w:rsidRDefault="00B768DA" w:rsidP="00B768DA">
            <w:pPr>
              <w:pStyle w:val="TableBody"/>
              <w:rPr>
                <w:bCs/>
                <w:color w:val="auto"/>
                <w:lang w:val="en-US"/>
              </w:rPr>
            </w:pPr>
            <w:r w:rsidRPr="00B768DA">
              <w:rPr>
                <w:bCs/>
                <w:color w:val="auto"/>
                <w:lang w:val="en-US"/>
              </w:rPr>
              <w:lastRenderedPageBreak/>
              <w:t xml:space="preserve">Assumes infinite budget; ignores capital constraints </w:t>
            </w:r>
            <w:r w:rsidRPr="00B768DA">
              <w:rPr>
                <w:bCs/>
                <w:color w:val="auto"/>
                <w:lang w:val="en-US"/>
              </w:rPr>
              <w:lastRenderedPageBreak/>
              <w:t>and OpEx optimization</w:t>
            </w:r>
          </w:p>
        </w:tc>
        <w:tc>
          <w:tcPr>
            <w:tcW w:w="1829" w:type="dxa"/>
            <w:hideMark/>
          </w:tcPr>
          <w:p w14:paraId="77085B87" w14:textId="77777777" w:rsidR="00B768DA" w:rsidRPr="00B768DA" w:rsidRDefault="00B768DA" w:rsidP="00B768DA">
            <w:pPr>
              <w:pStyle w:val="TableBody"/>
              <w:rPr>
                <w:bCs/>
                <w:color w:val="auto"/>
                <w:lang w:val="en-US"/>
              </w:rPr>
            </w:pPr>
            <w:r w:rsidRPr="00B768DA">
              <w:rPr>
                <w:bCs/>
                <w:color w:val="auto"/>
                <w:lang w:val="en-US"/>
              </w:rPr>
              <w:lastRenderedPageBreak/>
              <w:t xml:space="preserve">Adds </w:t>
            </w:r>
            <w:r w:rsidRPr="00B768DA">
              <w:rPr>
                <w:b/>
                <w:bCs/>
                <w:color w:val="auto"/>
                <w:lang w:val="en-US"/>
              </w:rPr>
              <w:t>Section 10</w:t>
            </w:r>
            <w:r w:rsidRPr="00B768DA">
              <w:rPr>
                <w:bCs/>
                <w:color w:val="auto"/>
                <w:lang w:val="en-US"/>
              </w:rPr>
              <w:t xml:space="preserve"> (economic modeling with </w:t>
            </w:r>
            <w:r w:rsidRPr="00B768DA">
              <w:rPr>
                <w:bCs/>
                <w:color w:val="auto"/>
                <w:lang w:val="en-US"/>
              </w:rPr>
              <w:lastRenderedPageBreak/>
              <w:t>NPV, LCOE, and sensitivity analysis) and links results to workload scheduling (</w:t>
            </w:r>
            <w:r w:rsidRPr="00B768DA">
              <w:rPr>
                <w:b/>
                <w:bCs/>
                <w:color w:val="auto"/>
                <w:lang w:val="en-US"/>
              </w:rPr>
              <w:t>Section 5</w:t>
            </w:r>
            <w:r w:rsidRPr="00B768DA">
              <w:rPr>
                <w:bCs/>
                <w:color w:val="auto"/>
                <w:lang w:val="en-US"/>
              </w:rPr>
              <w:t>)</w:t>
            </w:r>
          </w:p>
        </w:tc>
      </w:tr>
      <w:tr w:rsidR="00B768DA" w:rsidRPr="00B768DA" w14:paraId="7F5217BF" w14:textId="77777777" w:rsidTr="00103F18">
        <w:tc>
          <w:tcPr>
            <w:tcW w:w="1678" w:type="dxa"/>
            <w:hideMark/>
          </w:tcPr>
          <w:p w14:paraId="67DD64E9" w14:textId="77777777" w:rsidR="00B768DA" w:rsidRPr="00B768DA" w:rsidRDefault="00B768DA" w:rsidP="00B768DA">
            <w:pPr>
              <w:pStyle w:val="TableBody"/>
              <w:rPr>
                <w:bCs/>
                <w:color w:val="auto"/>
                <w:lang w:val="en-US"/>
              </w:rPr>
            </w:pPr>
            <w:r w:rsidRPr="00B768DA">
              <w:rPr>
                <w:b/>
                <w:bCs/>
                <w:color w:val="auto"/>
                <w:lang w:val="en-US"/>
              </w:rPr>
              <w:lastRenderedPageBreak/>
              <w:t>Economic-Only (Procurement)</w:t>
            </w:r>
          </w:p>
        </w:tc>
        <w:tc>
          <w:tcPr>
            <w:tcW w:w="1695" w:type="dxa"/>
            <w:hideMark/>
          </w:tcPr>
          <w:p w14:paraId="33751C4E" w14:textId="77777777" w:rsidR="00B768DA" w:rsidRPr="00B768DA" w:rsidRDefault="00B768DA" w:rsidP="00B768DA">
            <w:pPr>
              <w:pStyle w:val="TableBody"/>
              <w:rPr>
                <w:bCs/>
                <w:color w:val="auto"/>
                <w:lang w:val="en-US"/>
              </w:rPr>
            </w:pPr>
            <w:r w:rsidRPr="00B768DA">
              <w:rPr>
                <w:bCs/>
                <w:color w:val="auto"/>
                <w:lang w:val="en-US"/>
              </w:rPr>
              <w:t>Optimizes PPA rates ($25–50/MWh wind, $30–50/MWh solar); models energy costs independently</w:t>
            </w:r>
          </w:p>
        </w:tc>
        <w:tc>
          <w:tcPr>
            <w:tcW w:w="1695" w:type="dxa"/>
            <w:hideMark/>
          </w:tcPr>
          <w:p w14:paraId="2ECBB820" w14:textId="77777777" w:rsidR="00B768DA" w:rsidRPr="00B768DA" w:rsidRDefault="00B768DA" w:rsidP="00B768DA">
            <w:pPr>
              <w:pStyle w:val="TableBody"/>
              <w:rPr>
                <w:bCs/>
                <w:color w:val="auto"/>
                <w:lang w:val="en-US"/>
              </w:rPr>
            </w:pPr>
            <w:r w:rsidRPr="00B768DA">
              <w:rPr>
                <w:bCs/>
                <w:color w:val="auto"/>
                <w:lang w:val="en-US"/>
              </w:rPr>
              <w:t>Ignores power quality, harmonic distortion, and system stability; assumes the grid can accommodate arbitrary generation profiles</w:t>
            </w:r>
          </w:p>
        </w:tc>
        <w:tc>
          <w:tcPr>
            <w:tcW w:w="1947" w:type="dxa"/>
            <w:hideMark/>
          </w:tcPr>
          <w:p w14:paraId="58636AA8" w14:textId="77777777" w:rsidR="00B768DA" w:rsidRPr="00B768DA" w:rsidRDefault="00B768DA" w:rsidP="00B768DA">
            <w:pPr>
              <w:pStyle w:val="TableBody"/>
              <w:rPr>
                <w:bCs/>
                <w:color w:val="auto"/>
                <w:lang w:val="en-US"/>
              </w:rPr>
            </w:pPr>
            <w:r w:rsidRPr="00B768DA">
              <w:rPr>
                <w:bCs/>
                <w:color w:val="auto"/>
                <w:lang w:val="en-US"/>
              </w:rPr>
              <w:t>May result in renewable energy purchases that grid interconnection and protection systems cannot safely dispatch</w:t>
            </w:r>
          </w:p>
        </w:tc>
        <w:tc>
          <w:tcPr>
            <w:tcW w:w="1829" w:type="dxa"/>
            <w:hideMark/>
          </w:tcPr>
          <w:p w14:paraId="78FF905C" w14:textId="77777777" w:rsidR="00B768DA" w:rsidRPr="00B768DA" w:rsidRDefault="00B768DA" w:rsidP="00B768DA">
            <w:pPr>
              <w:pStyle w:val="TableBody"/>
              <w:rPr>
                <w:bCs/>
                <w:color w:val="auto"/>
                <w:lang w:val="en-US"/>
              </w:rPr>
            </w:pPr>
            <w:r w:rsidRPr="00B768DA">
              <w:rPr>
                <w:bCs/>
                <w:color w:val="auto"/>
                <w:lang w:val="en-US"/>
              </w:rPr>
              <w:t xml:space="preserve">Adds </w:t>
            </w:r>
            <w:r w:rsidRPr="00B768DA">
              <w:rPr>
                <w:b/>
                <w:bCs/>
                <w:color w:val="auto"/>
                <w:lang w:val="en-US"/>
              </w:rPr>
              <w:t>Section 6</w:t>
            </w:r>
            <w:r w:rsidRPr="00B768DA">
              <w:rPr>
                <w:bCs/>
                <w:color w:val="auto"/>
                <w:lang w:val="en-US"/>
              </w:rPr>
              <w:t xml:space="preserve"> (power flow analysis), </w:t>
            </w:r>
            <w:r w:rsidRPr="00B768DA">
              <w:rPr>
                <w:b/>
                <w:bCs/>
                <w:color w:val="auto"/>
                <w:lang w:val="en-US"/>
              </w:rPr>
              <w:t>Section 6.3</w:t>
            </w:r>
            <w:r w:rsidRPr="00B768DA">
              <w:rPr>
                <w:bCs/>
                <w:color w:val="auto"/>
                <w:lang w:val="en-US"/>
              </w:rPr>
              <w:t xml:space="preserve"> (harmonic mitigation sizing), and a comprehensive grid integration strategy</w:t>
            </w:r>
          </w:p>
        </w:tc>
      </w:tr>
      <w:tr w:rsidR="00B768DA" w:rsidRPr="00B768DA" w14:paraId="32302231" w14:textId="77777777" w:rsidTr="00103F18">
        <w:tc>
          <w:tcPr>
            <w:tcW w:w="1678" w:type="dxa"/>
            <w:hideMark/>
          </w:tcPr>
          <w:p w14:paraId="0B66042F" w14:textId="77777777" w:rsidR="00B768DA" w:rsidRPr="00B768DA" w:rsidRDefault="00B768DA" w:rsidP="00B768DA">
            <w:pPr>
              <w:pStyle w:val="TableBody"/>
              <w:rPr>
                <w:bCs/>
                <w:color w:val="auto"/>
                <w:lang w:val="en-US"/>
              </w:rPr>
            </w:pPr>
            <w:r w:rsidRPr="00B768DA">
              <w:rPr>
                <w:b/>
                <w:bCs/>
                <w:color w:val="auto"/>
                <w:lang w:val="en-US"/>
              </w:rPr>
              <w:t>Company Case Studies (Google, Meta, Microsoft)</w:t>
            </w:r>
          </w:p>
        </w:tc>
        <w:tc>
          <w:tcPr>
            <w:tcW w:w="1695" w:type="dxa"/>
            <w:hideMark/>
          </w:tcPr>
          <w:p w14:paraId="63BB340C" w14:textId="77777777" w:rsidR="00B768DA" w:rsidRPr="00B768DA" w:rsidRDefault="00B768DA" w:rsidP="00B768DA">
            <w:pPr>
              <w:pStyle w:val="TableBody"/>
              <w:rPr>
                <w:bCs/>
                <w:color w:val="auto"/>
                <w:lang w:val="en-US"/>
              </w:rPr>
            </w:pPr>
            <w:r w:rsidRPr="00B768DA">
              <w:rPr>
                <w:bCs/>
                <w:color w:val="auto"/>
                <w:lang w:val="en-US"/>
              </w:rPr>
              <w:t>Provides real-world deployment data; demonstrates 64–99.9% CFE performance and scalability across portfolios exceeding 30 GW</w:t>
            </w:r>
          </w:p>
        </w:tc>
        <w:tc>
          <w:tcPr>
            <w:tcW w:w="1695" w:type="dxa"/>
            <w:hideMark/>
          </w:tcPr>
          <w:p w14:paraId="1FC89A4F" w14:textId="77777777" w:rsidR="00B768DA" w:rsidRPr="00B768DA" w:rsidRDefault="00B768DA" w:rsidP="00B768DA">
            <w:pPr>
              <w:pStyle w:val="TableBody"/>
              <w:rPr>
                <w:bCs/>
                <w:color w:val="auto"/>
                <w:lang w:val="en-US"/>
              </w:rPr>
            </w:pPr>
            <w:r w:rsidRPr="00B768DA">
              <w:rPr>
                <w:bCs/>
                <w:color w:val="auto"/>
                <w:lang w:val="en-US"/>
              </w:rPr>
              <w:t>Lacks a systematic methodology; highly geography-dependent; limited applicability for non-hyperscale operators; insufficient transparency on cost drivers</w:t>
            </w:r>
          </w:p>
        </w:tc>
        <w:tc>
          <w:tcPr>
            <w:tcW w:w="1947" w:type="dxa"/>
            <w:hideMark/>
          </w:tcPr>
          <w:p w14:paraId="6DD49C64" w14:textId="77777777" w:rsidR="00B768DA" w:rsidRPr="00B768DA" w:rsidRDefault="00B768DA" w:rsidP="00B768DA">
            <w:pPr>
              <w:pStyle w:val="TableBody"/>
              <w:rPr>
                <w:bCs/>
                <w:color w:val="auto"/>
                <w:lang w:val="en-US"/>
              </w:rPr>
            </w:pPr>
            <w:r w:rsidRPr="00B768DA">
              <w:rPr>
                <w:bCs/>
                <w:color w:val="auto"/>
                <w:lang w:val="en-US"/>
              </w:rPr>
              <w:t>Solutions are often hyperscale-specific (e.g., nuclear procurement, fuel-cell deployment) and not directly transferable to 10–100 MW facilities</w:t>
            </w:r>
          </w:p>
        </w:tc>
        <w:tc>
          <w:tcPr>
            <w:tcW w:w="1829" w:type="dxa"/>
            <w:hideMark/>
          </w:tcPr>
          <w:p w14:paraId="1080A46A" w14:textId="77777777" w:rsidR="00B768DA" w:rsidRPr="00B768DA" w:rsidRDefault="00B768DA" w:rsidP="00B768DA">
            <w:pPr>
              <w:pStyle w:val="TableBody"/>
              <w:rPr>
                <w:bCs/>
                <w:color w:val="auto"/>
                <w:lang w:val="en-US"/>
              </w:rPr>
            </w:pPr>
            <w:r w:rsidRPr="00B768DA">
              <w:rPr>
                <w:bCs/>
                <w:color w:val="auto"/>
                <w:lang w:val="en-US"/>
              </w:rPr>
              <w:t xml:space="preserve">Delivers a scalable framework for </w:t>
            </w:r>
            <w:r w:rsidRPr="00B768DA">
              <w:rPr>
                <w:b/>
                <w:bCs/>
                <w:color w:val="auto"/>
                <w:lang w:val="en-US"/>
              </w:rPr>
              <w:t>10–1000 MW</w:t>
            </w:r>
            <w:r w:rsidRPr="00B768DA">
              <w:rPr>
                <w:bCs/>
                <w:color w:val="auto"/>
                <w:lang w:val="en-US"/>
              </w:rPr>
              <w:t xml:space="preserve"> facilities, incorporating explicit cost–reliability trade-offs (</w:t>
            </w:r>
            <w:r w:rsidRPr="00B768DA">
              <w:rPr>
                <w:b/>
                <w:bCs/>
                <w:color w:val="auto"/>
                <w:lang w:val="en-US"/>
              </w:rPr>
              <w:t>Section 10</w:t>
            </w:r>
            <w:r w:rsidRPr="00B768DA">
              <w:rPr>
                <w:bCs/>
                <w:color w:val="auto"/>
                <w:lang w:val="en-US"/>
              </w:rPr>
              <w:t>) and geographic flexibility (</w:t>
            </w:r>
            <w:r w:rsidRPr="00B768DA">
              <w:rPr>
                <w:b/>
                <w:bCs/>
                <w:color w:val="auto"/>
                <w:lang w:val="en-US"/>
              </w:rPr>
              <w:t>Sections 4 and 8</w:t>
            </w:r>
            <w:r w:rsidRPr="00B768DA">
              <w:rPr>
                <w:bCs/>
                <w:color w:val="auto"/>
                <w:lang w:val="en-US"/>
              </w:rPr>
              <w:t>)</w:t>
            </w:r>
          </w:p>
        </w:tc>
      </w:tr>
      <w:tr w:rsidR="00B768DA" w:rsidRPr="00B768DA" w14:paraId="576E21FE" w14:textId="77777777" w:rsidTr="00103F18">
        <w:tc>
          <w:tcPr>
            <w:tcW w:w="1678" w:type="dxa"/>
            <w:hideMark/>
          </w:tcPr>
          <w:p w14:paraId="7B9C87AA" w14:textId="77777777" w:rsidR="00B768DA" w:rsidRPr="00B768DA" w:rsidRDefault="00B768DA" w:rsidP="00B768DA">
            <w:pPr>
              <w:pStyle w:val="TableBody"/>
              <w:rPr>
                <w:bCs/>
                <w:color w:val="auto"/>
                <w:lang w:val="en-US"/>
              </w:rPr>
            </w:pPr>
            <w:r w:rsidRPr="00B768DA">
              <w:rPr>
                <w:b/>
                <w:bCs/>
                <w:color w:val="auto"/>
                <w:lang w:val="en-US"/>
              </w:rPr>
              <w:t>Equipment-Centric (Battery, Inverter, Cooling Vendors)</w:t>
            </w:r>
          </w:p>
        </w:tc>
        <w:tc>
          <w:tcPr>
            <w:tcW w:w="1695" w:type="dxa"/>
            <w:hideMark/>
          </w:tcPr>
          <w:p w14:paraId="3F0D8B1B" w14:textId="77777777" w:rsidR="00B768DA" w:rsidRPr="00B768DA" w:rsidRDefault="00B768DA" w:rsidP="00B768DA">
            <w:pPr>
              <w:pStyle w:val="TableBody"/>
              <w:rPr>
                <w:bCs/>
                <w:color w:val="auto"/>
                <w:lang w:val="en-US"/>
              </w:rPr>
            </w:pPr>
            <w:r w:rsidRPr="00B768DA">
              <w:rPr>
                <w:bCs/>
                <w:color w:val="auto"/>
                <w:lang w:val="en-US"/>
              </w:rPr>
              <w:t>Detailed component specifications, thermal management guidance, and efficiency performance curves</w:t>
            </w:r>
          </w:p>
        </w:tc>
        <w:tc>
          <w:tcPr>
            <w:tcW w:w="1695" w:type="dxa"/>
            <w:hideMark/>
          </w:tcPr>
          <w:p w14:paraId="059E5883" w14:textId="77777777" w:rsidR="00B768DA" w:rsidRPr="00B768DA" w:rsidRDefault="00B768DA" w:rsidP="00B768DA">
            <w:pPr>
              <w:pStyle w:val="TableBody"/>
              <w:rPr>
                <w:bCs/>
                <w:color w:val="auto"/>
                <w:lang w:val="en-US"/>
              </w:rPr>
            </w:pPr>
            <w:r w:rsidRPr="00B768DA">
              <w:rPr>
                <w:bCs/>
                <w:color w:val="auto"/>
                <w:lang w:val="en-US"/>
              </w:rPr>
              <w:t>No pathway for system-level integration; neglects interactions among storage, load flexibility, and dispatch optimization</w:t>
            </w:r>
          </w:p>
        </w:tc>
        <w:tc>
          <w:tcPr>
            <w:tcW w:w="1947" w:type="dxa"/>
            <w:hideMark/>
          </w:tcPr>
          <w:p w14:paraId="26B65AEE" w14:textId="77777777" w:rsidR="00B768DA" w:rsidRPr="00B768DA" w:rsidRDefault="00B768DA" w:rsidP="00B768DA">
            <w:pPr>
              <w:pStyle w:val="TableBody"/>
              <w:rPr>
                <w:bCs/>
                <w:color w:val="auto"/>
                <w:lang w:val="en-US"/>
              </w:rPr>
            </w:pPr>
            <w:r w:rsidRPr="00B768DA">
              <w:rPr>
                <w:bCs/>
                <w:color w:val="auto"/>
                <w:lang w:val="en-US"/>
              </w:rPr>
              <w:t>Risk of over-sizing (excess capital expenditure) or under-sizing (reliability failures); lacks dispatch and coordination strategy</w:t>
            </w:r>
          </w:p>
        </w:tc>
        <w:tc>
          <w:tcPr>
            <w:tcW w:w="1829" w:type="dxa"/>
            <w:hideMark/>
          </w:tcPr>
          <w:p w14:paraId="3CCB1EEC" w14:textId="77777777" w:rsidR="00B768DA" w:rsidRPr="00B768DA" w:rsidRDefault="00B768DA" w:rsidP="00B768DA">
            <w:pPr>
              <w:pStyle w:val="TableBody"/>
              <w:rPr>
                <w:bCs/>
                <w:color w:val="auto"/>
                <w:lang w:val="en-US"/>
              </w:rPr>
            </w:pPr>
            <w:r w:rsidRPr="00B768DA">
              <w:rPr>
                <w:bCs/>
                <w:color w:val="auto"/>
                <w:lang w:val="en-US"/>
              </w:rPr>
              <w:t xml:space="preserve">Adds integrated energy management through </w:t>
            </w:r>
            <w:r w:rsidRPr="00B768DA">
              <w:rPr>
                <w:b/>
                <w:bCs/>
                <w:color w:val="auto"/>
                <w:lang w:val="en-US"/>
              </w:rPr>
              <w:t>Section 5.5 (MPC Control)</w:t>
            </w:r>
            <w:r w:rsidRPr="00B768DA">
              <w:rPr>
                <w:bCs/>
                <w:color w:val="auto"/>
                <w:lang w:val="en-US"/>
              </w:rPr>
              <w:t xml:space="preserve"> and probabilistic sizing in </w:t>
            </w:r>
            <w:r w:rsidRPr="00B768DA">
              <w:rPr>
                <w:b/>
                <w:bCs/>
                <w:color w:val="auto"/>
                <w:lang w:val="en-US"/>
              </w:rPr>
              <w:t>Section 5.3</w:t>
            </w:r>
            <w:r w:rsidRPr="00B768DA">
              <w:rPr>
                <w:bCs/>
                <w:color w:val="auto"/>
                <w:lang w:val="en-US"/>
              </w:rPr>
              <w:t>, linking component selection to overall system outcomes</w:t>
            </w:r>
          </w:p>
        </w:tc>
      </w:tr>
    </w:tbl>
    <w:p w14:paraId="2C7FD0C2" w14:textId="77777777" w:rsidR="00B768DA" w:rsidRPr="00B768DA" w:rsidRDefault="00B768DA" w:rsidP="00B768DA">
      <w:pPr>
        <w:spacing w:after="120"/>
        <w:ind w:firstLine="480"/>
        <w:rPr>
          <w:szCs w:val="24"/>
          <w:lang w:val="en-CA"/>
        </w:rPr>
      </w:pPr>
    </w:p>
    <w:p w14:paraId="3F59D031" w14:textId="77777777" w:rsidR="00B768DA" w:rsidRPr="00215994" w:rsidRDefault="00B768DA" w:rsidP="00866BB5">
      <w:pPr>
        <w:spacing w:after="120"/>
        <w:ind w:firstLine="480"/>
        <w:rPr>
          <w:szCs w:val="24"/>
        </w:rPr>
      </w:pPr>
    </w:p>
    <w:p w14:paraId="6518F5D3" w14:textId="1A7F474E" w:rsidR="005F1307" w:rsidRDefault="005F1307" w:rsidP="005F1307">
      <w:pPr>
        <w:pStyle w:val="Heading20"/>
        <w:rPr>
          <w:color w:val="auto"/>
        </w:rPr>
      </w:pPr>
      <w:r>
        <w:rPr>
          <w:color w:val="auto"/>
        </w:rPr>
        <w:lastRenderedPageBreak/>
        <w:t>2.6.</w:t>
      </w:r>
      <w:r>
        <w:rPr>
          <w:color w:val="auto"/>
        </w:rPr>
        <w:t>1</w:t>
      </w:r>
      <w:r>
        <w:rPr>
          <w:color w:val="auto"/>
        </w:rPr>
        <w:t xml:space="preserve"> </w:t>
      </w:r>
      <w:r w:rsidRPr="005F1307">
        <w:rPr>
          <w:color w:val="auto"/>
        </w:rPr>
        <w:t>Key Gaps Identified in Prior Work</w:t>
      </w:r>
    </w:p>
    <w:p w14:paraId="3D775102" w14:textId="7570ACD1" w:rsidR="004F362B" w:rsidRDefault="004F362B" w:rsidP="004F362B">
      <w:pPr>
        <w:pStyle w:val="Heading20"/>
        <w:rPr>
          <w:color w:val="auto"/>
        </w:rPr>
      </w:pPr>
      <w:r>
        <w:rPr>
          <w:color w:val="auto"/>
        </w:rPr>
        <w:t>2.6.1</w:t>
      </w:r>
      <w:r>
        <w:rPr>
          <w:color w:val="auto"/>
        </w:rPr>
        <w:t>.1</w:t>
      </w:r>
      <w:r>
        <w:rPr>
          <w:color w:val="auto"/>
        </w:rPr>
        <w:t xml:space="preserve"> </w:t>
      </w:r>
      <w:r w:rsidRPr="004F362B">
        <w:rPr>
          <w:color w:val="auto"/>
        </w:rPr>
        <w:t>Integration Failure</w:t>
      </w:r>
    </w:p>
    <w:p w14:paraId="3B2D6228" w14:textId="77777777" w:rsidR="004F362B" w:rsidRPr="004F362B" w:rsidRDefault="004F362B" w:rsidP="00B27D63">
      <w:pPr>
        <w:pStyle w:val="Heading10"/>
        <w:numPr>
          <w:ilvl w:val="0"/>
          <w:numId w:val="10"/>
        </w:numPr>
        <w:spacing w:before="0" w:after="0"/>
        <w:rPr>
          <w:b w:val="0"/>
          <w:color w:val="auto"/>
          <w:lang w:val="en-CA" w:eastAsia="zh-CN"/>
        </w:rPr>
      </w:pPr>
      <w:r w:rsidRPr="007B470D">
        <w:rPr>
          <w:bCs/>
          <w:color w:val="auto"/>
          <w:lang w:val="en-CA" w:eastAsia="zh-CN"/>
        </w:rPr>
        <w:t>Problem:</w:t>
      </w:r>
      <w:r w:rsidRPr="004F362B">
        <w:rPr>
          <w:b w:val="0"/>
          <w:color w:val="auto"/>
          <w:lang w:val="en-CA" w:eastAsia="zh-CN"/>
        </w:rPr>
        <w:t xml:space="preserve"> Technical literature (Sections 6.1–6.3) and economic literature (LCOE, PPA pricing) are siloed. </w:t>
      </w:r>
    </w:p>
    <w:p w14:paraId="522DA1A0" w14:textId="77777777" w:rsidR="004F362B" w:rsidRPr="004F362B" w:rsidRDefault="004F362B" w:rsidP="00B27D63">
      <w:pPr>
        <w:pStyle w:val="Heading10"/>
        <w:numPr>
          <w:ilvl w:val="0"/>
          <w:numId w:val="10"/>
        </w:numPr>
        <w:spacing w:before="0" w:after="0"/>
        <w:rPr>
          <w:b w:val="0"/>
          <w:color w:val="auto"/>
          <w:lang w:val="en-CA" w:eastAsia="zh-CN"/>
        </w:rPr>
      </w:pPr>
      <w:r w:rsidRPr="007B470D">
        <w:rPr>
          <w:bCs/>
          <w:color w:val="auto"/>
          <w:lang w:val="en-CA" w:eastAsia="zh-CN"/>
        </w:rPr>
        <w:t>Consequence:</w:t>
      </w:r>
      <w:r w:rsidRPr="004F362B">
        <w:rPr>
          <w:b w:val="0"/>
          <w:color w:val="auto"/>
          <w:lang w:val="en-CA" w:eastAsia="zh-CN"/>
        </w:rPr>
        <w:t xml:space="preserve"> A $50/MWh wind PPA is economically attractive until grid interconnection costs ($10M+) and harmonic mitigation (active filter costs: $500k–$2M) are added—total cost can exceed $75/MWh. </w:t>
      </w:r>
    </w:p>
    <w:p w14:paraId="5A498021" w14:textId="571B6CE6" w:rsidR="004F362B" w:rsidRDefault="004F362B" w:rsidP="00B27D63">
      <w:pPr>
        <w:pStyle w:val="Heading10"/>
        <w:numPr>
          <w:ilvl w:val="0"/>
          <w:numId w:val="10"/>
        </w:numPr>
        <w:spacing w:before="0" w:after="0"/>
        <w:rPr>
          <w:b w:val="0"/>
          <w:color w:val="auto"/>
          <w:lang w:val="en-CA" w:eastAsia="zh-CN"/>
        </w:rPr>
      </w:pPr>
      <w:r w:rsidRPr="007B470D">
        <w:rPr>
          <w:bCs/>
          <w:color w:val="auto"/>
          <w:lang w:val="en-CA" w:eastAsia="zh-CN"/>
        </w:rPr>
        <w:t>This Framework's Solution:</w:t>
      </w:r>
      <w:r w:rsidRPr="004F362B">
        <w:rPr>
          <w:b w:val="0"/>
          <w:color w:val="auto"/>
          <w:lang w:val="en-CA" w:eastAsia="zh-CN"/>
        </w:rPr>
        <w:t xml:space="preserve"> Section 10 integrates full system cost including grid interconnection delay premiums, protection upgrades, and harmonic mitigation into NPV analysis.</w:t>
      </w:r>
    </w:p>
    <w:p w14:paraId="0691C4E4" w14:textId="114D077B" w:rsidR="00FF620A" w:rsidRDefault="00FF620A" w:rsidP="00FF620A">
      <w:pPr>
        <w:pStyle w:val="Heading20"/>
        <w:rPr>
          <w:color w:val="auto"/>
        </w:rPr>
      </w:pPr>
      <w:r>
        <w:rPr>
          <w:color w:val="auto"/>
        </w:rPr>
        <w:t>2.6.1.</w:t>
      </w:r>
      <w:r>
        <w:rPr>
          <w:color w:val="auto"/>
        </w:rPr>
        <w:t xml:space="preserve">2 </w:t>
      </w:r>
      <w:r w:rsidRPr="00FF620A">
        <w:rPr>
          <w:color w:val="auto"/>
        </w:rPr>
        <w:t>Geographic Non-Transferability</w:t>
      </w:r>
    </w:p>
    <w:p w14:paraId="3FA10BA8" w14:textId="77777777" w:rsidR="004F362B" w:rsidRPr="00367469" w:rsidRDefault="004F362B" w:rsidP="00367469">
      <w:pPr>
        <w:pStyle w:val="Heading10"/>
        <w:numPr>
          <w:ilvl w:val="0"/>
          <w:numId w:val="10"/>
        </w:numPr>
        <w:spacing w:before="0" w:after="0"/>
        <w:rPr>
          <w:b w:val="0"/>
          <w:color w:val="auto"/>
          <w:lang w:val="en-CA" w:eastAsia="zh-CN"/>
        </w:rPr>
      </w:pPr>
      <w:r w:rsidRPr="008344F0">
        <w:rPr>
          <w:bCs/>
          <w:color w:val="auto"/>
          <w:lang w:val="en-CA" w:eastAsia="zh-CN"/>
        </w:rPr>
        <w:t>Problem:</w:t>
      </w:r>
      <w:r w:rsidRPr="00367469">
        <w:rPr>
          <w:b w:val="0"/>
          <w:color w:val="auto"/>
          <w:lang w:val="en-CA" w:eastAsia="zh-CN"/>
        </w:rPr>
        <w:t xml:space="preserve"> Google's Iowa wind + Southwest solar strategy works due to:</w:t>
      </w:r>
    </w:p>
    <w:p w14:paraId="204908CB" w14:textId="77777777" w:rsidR="004F362B" w:rsidRPr="00367469" w:rsidRDefault="004F362B" w:rsidP="00367469">
      <w:pPr>
        <w:pStyle w:val="Heading10"/>
        <w:numPr>
          <w:ilvl w:val="1"/>
          <w:numId w:val="10"/>
        </w:numPr>
        <w:spacing w:before="0" w:after="0"/>
        <w:rPr>
          <w:b w:val="0"/>
          <w:color w:val="auto"/>
          <w:lang w:val="en-CA" w:eastAsia="zh-CN"/>
        </w:rPr>
      </w:pPr>
      <w:r w:rsidRPr="00367469">
        <w:rPr>
          <w:b w:val="0"/>
          <w:color w:val="auto"/>
          <w:lang w:val="en-CA" w:eastAsia="zh-CN"/>
        </w:rPr>
        <w:t>Access to &gt;30 GW contracting portfolio (cost leverage)</w:t>
      </w:r>
    </w:p>
    <w:p w14:paraId="2CE328A4" w14:textId="77777777" w:rsidR="004F362B" w:rsidRPr="00367469" w:rsidRDefault="004F362B" w:rsidP="00367469">
      <w:pPr>
        <w:pStyle w:val="Heading10"/>
        <w:numPr>
          <w:ilvl w:val="1"/>
          <w:numId w:val="10"/>
        </w:numPr>
        <w:spacing w:before="0" w:after="0"/>
        <w:rPr>
          <w:b w:val="0"/>
          <w:color w:val="auto"/>
          <w:lang w:val="en-CA" w:eastAsia="zh-CN"/>
        </w:rPr>
      </w:pPr>
      <w:r w:rsidRPr="00367469">
        <w:rPr>
          <w:b w:val="0"/>
          <w:color w:val="auto"/>
          <w:lang w:val="en-CA" w:eastAsia="zh-CN"/>
        </w:rPr>
        <w:t>Multi-regional load balancing (capital intensive)</w:t>
      </w:r>
    </w:p>
    <w:p w14:paraId="219AEDB4" w14:textId="77777777" w:rsidR="004F362B" w:rsidRPr="00367469" w:rsidRDefault="004F362B" w:rsidP="00367469">
      <w:pPr>
        <w:pStyle w:val="Heading10"/>
        <w:numPr>
          <w:ilvl w:val="1"/>
          <w:numId w:val="10"/>
        </w:numPr>
        <w:spacing w:before="0" w:after="0"/>
        <w:rPr>
          <w:b w:val="0"/>
          <w:color w:val="auto"/>
          <w:lang w:val="en-CA" w:eastAsia="zh-CN"/>
        </w:rPr>
      </w:pPr>
      <w:r w:rsidRPr="00367469">
        <w:rPr>
          <w:b w:val="0"/>
          <w:color w:val="auto"/>
          <w:lang w:val="en-CA" w:eastAsia="zh-CN"/>
        </w:rPr>
        <w:t>24/7 CFE target (different from reliability-first optimization)</w:t>
      </w:r>
    </w:p>
    <w:p w14:paraId="225C1061" w14:textId="77777777" w:rsidR="00EE168C" w:rsidRDefault="004F362B" w:rsidP="00367469">
      <w:pPr>
        <w:pStyle w:val="Heading10"/>
        <w:numPr>
          <w:ilvl w:val="0"/>
          <w:numId w:val="10"/>
        </w:numPr>
        <w:spacing w:before="0" w:after="0"/>
        <w:rPr>
          <w:b w:val="0"/>
          <w:color w:val="auto"/>
          <w:lang w:val="en-CA" w:eastAsia="zh-CN"/>
        </w:rPr>
      </w:pPr>
      <w:r w:rsidRPr="00EE168C">
        <w:rPr>
          <w:bCs/>
          <w:color w:val="auto"/>
          <w:lang w:val="en-CA" w:eastAsia="zh-CN"/>
        </w:rPr>
        <w:t>Consequence:</w:t>
      </w:r>
      <w:r w:rsidRPr="00367469">
        <w:rPr>
          <w:b w:val="0"/>
          <w:color w:val="auto"/>
          <w:lang w:val="en-CA" w:eastAsia="zh-CN"/>
        </w:rPr>
        <w:t xml:space="preserve"> Smaller operators cannot replicate this; no guidance on site-specific optimization. </w:t>
      </w:r>
    </w:p>
    <w:p w14:paraId="3B15F9FD" w14:textId="4E6591E4" w:rsidR="009E0D53" w:rsidRPr="009E0D53" w:rsidRDefault="004F362B" w:rsidP="009E0D53">
      <w:pPr>
        <w:pStyle w:val="Heading10"/>
        <w:numPr>
          <w:ilvl w:val="0"/>
          <w:numId w:val="10"/>
        </w:numPr>
        <w:spacing w:before="0" w:after="0"/>
        <w:rPr>
          <w:b w:val="0"/>
          <w:color w:val="auto"/>
          <w:lang w:val="en-CA" w:eastAsia="zh-CN"/>
        </w:rPr>
      </w:pPr>
      <w:r w:rsidRPr="00EE168C">
        <w:rPr>
          <w:bCs/>
          <w:color w:val="auto"/>
          <w:lang w:val="en-CA" w:eastAsia="zh-CN"/>
        </w:rPr>
        <w:t>This Framework's Solution:</w:t>
      </w:r>
      <w:r w:rsidRPr="00367469">
        <w:rPr>
          <w:b w:val="0"/>
          <w:color w:val="auto"/>
          <w:lang w:val="en-CA" w:eastAsia="zh-CN"/>
        </w:rPr>
        <w:t xml:space="preserve"> Section 4 provides site assessment methodology (GIS, resource variability, seasonal complementarity) and Section 8 case studies across diverse geographies (temperate, arid, seasonal).</w:t>
      </w:r>
    </w:p>
    <w:p w14:paraId="51960736" w14:textId="72911BDF" w:rsidR="009E0D53" w:rsidRDefault="009E0D53" w:rsidP="009E0D53">
      <w:pPr>
        <w:pStyle w:val="Heading20"/>
        <w:rPr>
          <w:color w:val="auto"/>
        </w:rPr>
      </w:pPr>
      <w:r>
        <w:rPr>
          <w:color w:val="auto"/>
        </w:rPr>
        <w:t>2.6.1.</w:t>
      </w:r>
      <w:r w:rsidR="000C26DB">
        <w:rPr>
          <w:color w:val="auto"/>
        </w:rPr>
        <w:t>3</w:t>
      </w:r>
      <w:r>
        <w:rPr>
          <w:color w:val="auto"/>
        </w:rPr>
        <w:t xml:space="preserve"> </w:t>
      </w:r>
      <w:r w:rsidR="000C26DB" w:rsidRPr="000C26DB">
        <w:rPr>
          <w:color w:val="auto"/>
        </w:rPr>
        <w:t>Workload Rigidity Assumption</w:t>
      </w:r>
    </w:p>
    <w:p w14:paraId="2D582F39" w14:textId="77777777" w:rsidR="00C3424F" w:rsidRDefault="004F362B" w:rsidP="000C26DB">
      <w:pPr>
        <w:pStyle w:val="Heading10"/>
        <w:numPr>
          <w:ilvl w:val="0"/>
          <w:numId w:val="10"/>
        </w:numPr>
        <w:spacing w:before="0" w:after="0"/>
        <w:rPr>
          <w:b w:val="0"/>
          <w:color w:val="auto"/>
          <w:lang w:val="en-CA" w:eastAsia="zh-CN"/>
        </w:rPr>
      </w:pPr>
      <w:r w:rsidRPr="00C3424F">
        <w:rPr>
          <w:bCs/>
          <w:color w:val="auto"/>
          <w:lang w:val="en-CA" w:eastAsia="zh-CN"/>
        </w:rPr>
        <w:t>Problem:</w:t>
      </w:r>
      <w:r w:rsidRPr="000C26DB">
        <w:rPr>
          <w:b w:val="0"/>
          <w:color w:val="auto"/>
          <w:lang w:val="en-CA" w:eastAsia="zh-CN"/>
        </w:rPr>
        <w:t xml:space="preserve"> Prior power system studies assume fixed load. AI workload scheduling (training vs. inference, batch deferral, model complexity) is highly flexible but not integrated into control strategies. </w:t>
      </w:r>
    </w:p>
    <w:p w14:paraId="5FEC3E5D" w14:textId="77777777" w:rsidR="00C3424F" w:rsidRDefault="004F362B" w:rsidP="000C26DB">
      <w:pPr>
        <w:pStyle w:val="Heading10"/>
        <w:numPr>
          <w:ilvl w:val="0"/>
          <w:numId w:val="10"/>
        </w:numPr>
        <w:spacing w:before="0" w:after="0"/>
        <w:rPr>
          <w:b w:val="0"/>
          <w:color w:val="auto"/>
          <w:lang w:val="en-CA" w:eastAsia="zh-CN"/>
        </w:rPr>
      </w:pPr>
      <w:r w:rsidRPr="00C3424F">
        <w:rPr>
          <w:bCs/>
          <w:color w:val="auto"/>
          <w:lang w:val="en-CA" w:eastAsia="zh-CN"/>
        </w:rPr>
        <w:t xml:space="preserve">Consequence: </w:t>
      </w:r>
      <w:r w:rsidRPr="000C26DB">
        <w:rPr>
          <w:b w:val="0"/>
          <w:color w:val="auto"/>
          <w:lang w:val="en-CA" w:eastAsia="zh-CN"/>
        </w:rPr>
        <w:t xml:space="preserve">Over-sizing storage and generating capacity (40–60% more than necessary with flexibility). </w:t>
      </w:r>
    </w:p>
    <w:p w14:paraId="582F2947" w14:textId="281F43C5" w:rsidR="00C3424F" w:rsidRPr="00C3424F" w:rsidRDefault="004F362B" w:rsidP="00C3424F">
      <w:pPr>
        <w:pStyle w:val="Heading10"/>
        <w:numPr>
          <w:ilvl w:val="0"/>
          <w:numId w:val="10"/>
        </w:numPr>
        <w:spacing w:before="0" w:after="0"/>
        <w:rPr>
          <w:b w:val="0"/>
          <w:color w:val="auto"/>
          <w:lang w:val="en-CA" w:eastAsia="zh-CN"/>
        </w:rPr>
      </w:pPr>
      <w:r w:rsidRPr="00C3424F">
        <w:rPr>
          <w:bCs/>
          <w:color w:val="auto"/>
          <w:lang w:val="en-CA" w:eastAsia="zh-CN"/>
        </w:rPr>
        <w:t>This Framework's Solution:</w:t>
      </w:r>
      <w:r w:rsidRPr="000C26DB">
        <w:rPr>
          <w:b w:val="0"/>
          <w:color w:val="auto"/>
          <w:lang w:val="en-CA" w:eastAsia="zh-CN"/>
        </w:rPr>
        <w:t xml:space="preserve"> Section 5 integrates demand-side workload flexibility into storage sizing (Section 5.3) and MPC dispatch (Section 5.5).</w:t>
      </w:r>
    </w:p>
    <w:p w14:paraId="52ADE16A" w14:textId="2859446A" w:rsidR="00C3424F" w:rsidRDefault="00C3424F" w:rsidP="00C3424F">
      <w:pPr>
        <w:pStyle w:val="Heading20"/>
        <w:rPr>
          <w:color w:val="auto"/>
        </w:rPr>
      </w:pPr>
      <w:r>
        <w:rPr>
          <w:color w:val="auto"/>
        </w:rPr>
        <w:t>2.6.1.</w:t>
      </w:r>
      <w:r w:rsidR="00392EA5">
        <w:rPr>
          <w:color w:val="auto"/>
        </w:rPr>
        <w:t>4</w:t>
      </w:r>
      <w:r>
        <w:rPr>
          <w:color w:val="auto"/>
        </w:rPr>
        <w:t xml:space="preserve"> </w:t>
      </w:r>
      <w:r w:rsidR="00B55492" w:rsidRPr="00B55492">
        <w:rPr>
          <w:color w:val="auto"/>
        </w:rPr>
        <w:t>Lack of Reproducible Economics</w:t>
      </w:r>
    </w:p>
    <w:p w14:paraId="434F87EA" w14:textId="77777777" w:rsidR="00B55492" w:rsidRPr="00B55492" w:rsidRDefault="004F362B" w:rsidP="00B55492">
      <w:pPr>
        <w:pStyle w:val="Heading10"/>
        <w:numPr>
          <w:ilvl w:val="0"/>
          <w:numId w:val="10"/>
        </w:numPr>
        <w:spacing w:before="0" w:after="0"/>
        <w:rPr>
          <w:b w:val="0"/>
          <w:color w:val="auto"/>
          <w:lang w:val="en-CA" w:eastAsia="zh-CN"/>
        </w:rPr>
      </w:pPr>
      <w:r w:rsidRPr="00B55492">
        <w:rPr>
          <w:bCs/>
          <w:color w:val="auto"/>
          <w:lang w:val="en-CA" w:eastAsia="zh-CN"/>
        </w:rPr>
        <w:t>Problem:</w:t>
      </w:r>
      <w:r w:rsidRPr="00B55492">
        <w:rPr>
          <w:b w:val="0"/>
          <w:color w:val="auto"/>
          <w:lang w:val="en-CA" w:eastAsia="zh-CN"/>
        </w:rPr>
        <w:t xml:space="preserve"> Industry case studies report metrics (% CFE, $35–100/MWh) but not cost breakdowns or sensitivity to parameters (interest rate, tech costs, grid delays). </w:t>
      </w:r>
    </w:p>
    <w:p w14:paraId="5E8D789C" w14:textId="77777777" w:rsidR="00B55492" w:rsidRPr="00B55492" w:rsidRDefault="004F362B" w:rsidP="00B55492">
      <w:pPr>
        <w:pStyle w:val="Heading10"/>
        <w:numPr>
          <w:ilvl w:val="0"/>
          <w:numId w:val="10"/>
        </w:numPr>
        <w:spacing w:before="0" w:after="0"/>
        <w:rPr>
          <w:b w:val="0"/>
          <w:color w:val="auto"/>
          <w:lang w:val="en-CA" w:eastAsia="zh-CN"/>
        </w:rPr>
      </w:pPr>
      <w:r w:rsidRPr="00B55492">
        <w:rPr>
          <w:bCs/>
          <w:color w:val="auto"/>
          <w:lang w:val="en-CA" w:eastAsia="zh-CN"/>
        </w:rPr>
        <w:t>Consequence:</w:t>
      </w:r>
      <w:r w:rsidRPr="00B55492">
        <w:rPr>
          <w:b w:val="0"/>
          <w:color w:val="auto"/>
          <w:lang w:val="en-CA" w:eastAsia="zh-CN"/>
        </w:rPr>
        <w:t xml:space="preserve"> Operators cannot assess feasibility for their context. </w:t>
      </w:r>
    </w:p>
    <w:p w14:paraId="1EA3B193" w14:textId="5D1DE2AA" w:rsidR="004F362B" w:rsidRDefault="004F362B" w:rsidP="00B55492">
      <w:pPr>
        <w:pStyle w:val="Heading10"/>
        <w:numPr>
          <w:ilvl w:val="0"/>
          <w:numId w:val="10"/>
        </w:numPr>
        <w:spacing w:before="0" w:after="0"/>
        <w:rPr>
          <w:b w:val="0"/>
          <w:color w:val="auto"/>
          <w:lang w:val="en-CA" w:eastAsia="zh-CN"/>
        </w:rPr>
      </w:pPr>
      <w:r w:rsidRPr="00B55492">
        <w:rPr>
          <w:bCs/>
          <w:color w:val="auto"/>
          <w:lang w:val="en-CA" w:eastAsia="zh-CN"/>
        </w:rPr>
        <w:t>This Framework's Solution:</w:t>
      </w:r>
      <w:r w:rsidRPr="00B55492">
        <w:rPr>
          <w:b w:val="0"/>
          <w:color w:val="auto"/>
          <w:lang w:val="en-CA" w:eastAsia="zh-CN"/>
        </w:rPr>
        <w:t xml:space="preserve"> Section 10 provides transparent LCOE, NPV, and sensitivity analysis with published data (NREL, IRENA, BloombergNEF) and Python-ready formulas.</w:t>
      </w:r>
    </w:p>
    <w:p w14:paraId="30AF9A9A" w14:textId="4E4CC171" w:rsidR="00915220" w:rsidRDefault="00915220" w:rsidP="00915220">
      <w:pPr>
        <w:pStyle w:val="Heading20"/>
        <w:rPr>
          <w:color w:val="auto"/>
        </w:rPr>
      </w:pPr>
      <w:r>
        <w:rPr>
          <w:color w:val="auto"/>
        </w:rPr>
        <w:t>2.6.</w:t>
      </w:r>
      <w:r>
        <w:rPr>
          <w:color w:val="auto"/>
        </w:rPr>
        <w:t>2</w:t>
      </w:r>
      <w:r>
        <w:rPr>
          <w:color w:val="auto"/>
        </w:rPr>
        <w:t xml:space="preserve"> </w:t>
      </w:r>
      <w:r w:rsidRPr="00915220">
        <w:rPr>
          <w:color w:val="auto"/>
        </w:rPr>
        <w:t>Critical Observations</w:t>
      </w:r>
    </w:p>
    <w:p w14:paraId="20069095" w14:textId="6404F40A" w:rsidR="00F722BB" w:rsidRPr="00F722BB" w:rsidRDefault="00F722BB" w:rsidP="00F722BB">
      <w:pPr>
        <w:spacing w:after="120"/>
        <w:ind w:firstLine="480"/>
        <w:rPr>
          <w:szCs w:val="24"/>
        </w:rPr>
      </w:pPr>
      <w:r w:rsidRPr="00F722BB">
        <w:rPr>
          <w:szCs w:val="24"/>
        </w:rPr>
        <w:t>Existing research on integrating RE sources into data centers is typically categorized into four distinct portfolios: technical</w:t>
      </w:r>
      <w:r>
        <w:rPr>
          <w:szCs w:val="24"/>
        </w:rPr>
        <w:t>/</w:t>
      </w:r>
      <w:r w:rsidRPr="00F722BB">
        <w:rPr>
          <w:szCs w:val="24"/>
        </w:rPr>
        <w:t>semimystical</w:t>
      </w:r>
      <w:r w:rsidRPr="00F722BB">
        <w:rPr>
          <w:szCs w:val="24"/>
        </w:rPr>
        <w:t xml:space="preserve"> studies, economic only procurement/optimization, large-scale and hyperscale company case studies, and vendor demos. Every one of these methods has drawbacks, including the absence of cost-benefit </w:t>
      </w:r>
      <w:r w:rsidRPr="00F722BB">
        <w:rPr>
          <w:szCs w:val="24"/>
        </w:rPr>
        <w:lastRenderedPageBreak/>
        <w:t>analysis in technical analyses, omitting power quality and grid stability from economic assessments, and ignoring the fact that power advantages and the geographic spread of demand are hard to replicate across projects of different size. This breaks apart methodologies and presents substantial implementation challenges, including excessive interconnection delays on the grid, underestimated harm mitigation pricing, and project failure due to over or undersized storage and workload immutability.</w:t>
      </w:r>
    </w:p>
    <w:p w14:paraId="1C9FEA75" w14:textId="77777777" w:rsidR="00F722BB" w:rsidRPr="00F722BB" w:rsidRDefault="00F722BB" w:rsidP="00F722BB">
      <w:pPr>
        <w:spacing w:after="120"/>
        <w:ind w:firstLine="480"/>
        <w:rPr>
          <w:szCs w:val="24"/>
        </w:rPr>
      </w:pPr>
      <w:r w:rsidRPr="00F722BB">
        <w:rPr>
          <w:szCs w:val="24"/>
        </w:rPr>
        <w:t>It's an interesting thesis on this important set of gaps, specifically operationalizing a unified, modular, deployable structure that is defined for 50-1000MW data centers. This framework combines direct engineering aspects of power flow and harmonic stability (Section 6) directly with demand-side workload flexibility (Section 5) and probabilistic storage size (Section 6.3), thereby closing the gap between engineering constraints and economic viability. Moreover, it integrates transparent, sensitivity-based economic modeling like NPV and LCOE analysis, giving operators a definitive idea of project feasibility to help manage capital expenditure, grid interconnection queues, regulatory compliance, and other economic risks.</w:t>
      </w:r>
    </w:p>
    <w:p w14:paraId="01EFBC57" w14:textId="155CA886" w:rsidR="005F1307" w:rsidRPr="00F722BB" w:rsidRDefault="00F722BB" w:rsidP="00F722BB">
      <w:pPr>
        <w:spacing w:after="120"/>
        <w:ind w:firstLine="480"/>
        <w:rPr>
          <w:szCs w:val="24"/>
        </w:rPr>
      </w:pPr>
      <w:r w:rsidRPr="00F722BB">
        <w:rPr>
          <w:szCs w:val="24"/>
        </w:rPr>
        <w:t>If done right, this should represent a repeatable approach that transcends the spatial and capital-oriented strategies preferred by hyperscaling companies. The methodology combines, in turn, site-specific resource assessment (Section 4), advanced MPC based dispatch control (Section 5.5), and a modular approach to regional grid codes and cybersecurity standards (Sections 6 and 12), providing a scalable solution across a wide range of geographic and climatic environments. The paper helps mid-scale data center users see through these gaps with tools to make increasingly complex energy cost/benefit/risk decisions.</w:t>
      </w:r>
    </w:p>
    <w:p w14:paraId="70B938C1" w14:textId="3F0A1C62" w:rsidR="0099465F" w:rsidRDefault="0099465F" w:rsidP="0099465F">
      <w:pPr>
        <w:pStyle w:val="Heading10"/>
        <w:rPr>
          <w:color w:val="auto"/>
        </w:rPr>
      </w:pPr>
      <w:r>
        <w:rPr>
          <w:color w:val="auto"/>
          <w:lang w:eastAsia="zh-CN"/>
        </w:rPr>
        <w:t xml:space="preserve">3. </w:t>
      </w:r>
      <w:r>
        <w:rPr>
          <w:color w:val="auto"/>
        </w:rPr>
        <w:t>Electrical Fundamentals of Data Center Systems</w:t>
      </w:r>
    </w:p>
    <w:p w14:paraId="08E9AE7E" w14:textId="76300BAC" w:rsidR="00F23251" w:rsidRDefault="00F23251" w:rsidP="00F23251">
      <w:pPr>
        <w:pStyle w:val="Heading20"/>
        <w:rPr>
          <w:color w:val="auto"/>
        </w:rPr>
      </w:pPr>
      <w:r>
        <w:rPr>
          <w:color w:val="auto"/>
        </w:rPr>
        <w:t>3.1. Electrical Distribution Architecture</w:t>
      </w:r>
    </w:p>
    <w:p w14:paraId="294CF0EC" w14:textId="695AC2E6" w:rsidR="00040480" w:rsidRPr="00040480" w:rsidRDefault="00040480" w:rsidP="00866BB5">
      <w:pPr>
        <w:spacing w:after="120"/>
        <w:ind w:firstLine="480"/>
      </w:pPr>
      <w:r w:rsidRPr="00040480">
        <w:t>The electrical distribution system in a data center is hierarchical, stepping down the voltage from the utility interconnection levels to the low voltage levels needed by the computing systems. Primary interconnection usually takes place at medium-voltage (MV) levels of 13.8 kV or 25 kV, and step-down transformers step down the voltage to levels required for facility distribution at 4.16 to 6.9 kV</w:t>
      </w:r>
      <w:r w:rsidR="00604139">
        <w:fldChar w:fldCharType="begin"/>
      </w:r>
      <w:r w:rsidR="00866BB5">
        <w:instrText xml:space="preserve"> ADDIN ZOTERO_ITEM CSL_CITATION {"citationID":"PfKI6RIJ","properties":{"unsorted":false,"formattedCitation":"[65]","plainCitation":"[65]","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604139">
        <w:fldChar w:fldCharType="separate"/>
      </w:r>
      <w:r w:rsidR="00866BB5" w:rsidRPr="00866BB5">
        <w:t>[65]</w:t>
      </w:r>
      <w:r w:rsidR="00604139">
        <w:fldChar w:fldCharType="end"/>
      </w:r>
      <w:r w:rsidRPr="00040480">
        <w:t>. Power distribution units (PDUs) deliver 480 V three-phase power to the last-mile for individual equipment racks.</w:t>
      </w:r>
    </w:p>
    <w:p w14:paraId="07C34DA8" w14:textId="25859946" w:rsidR="00040480" w:rsidRPr="00040480" w:rsidRDefault="00040480" w:rsidP="00866BB5">
      <w:pPr>
        <w:spacing w:after="120"/>
        <w:ind w:firstLine="480"/>
      </w:pPr>
      <w:r w:rsidRPr="00040480">
        <w:t>It is one of the most important design parameters and is classified by the Uptime Institute Tier Standard as N (no redundancy), N+1 (one spare component), N+2 (two spare components), 2N (fully redundant, dual path), or 2(N+1)</w:t>
      </w:r>
      <w:r w:rsidR="006541C1">
        <w:fldChar w:fldCharType="begin"/>
      </w:r>
      <w:r w:rsidR="00866BB5">
        <w:instrText xml:space="preserve"> ADDIN ZOTERO_ITEM CSL_CITATION {"citationID":"s2FyWRFx","properties":{"unsorted":false,"formattedCitation":"[66]","plainCitation":"[66]","noteIndex":0},"citationItems":[{"id":2012,"uris":["http://zotero.org/users/9870935/items/BVU5PGIM"],"itemData":{"id":2012,"type":"article-journal","container-title":"Energy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rsidR="006541C1">
        <w:fldChar w:fldCharType="separate"/>
      </w:r>
      <w:r w:rsidR="00866BB5" w:rsidRPr="00866BB5">
        <w:t>[66]</w:t>
      </w:r>
      <w:r w:rsidR="006541C1">
        <w:fldChar w:fldCharType="end"/>
      </w:r>
      <w:r w:rsidRPr="00040480">
        <w:t>. The typical configuration for most AI data centers is 2N, which means that each critical load is connected to two separate power paths, and the power paths are configured to switch automatically when one fails. The redundancy model also affects capital costs: For 2N designs, electrical infrastructure costs are generally 80 to 100</w:t>
      </w:r>
      <w:r w:rsidR="00FB732E">
        <w:t xml:space="preserve">% </w:t>
      </w:r>
      <w:r w:rsidRPr="00040480">
        <w:t>higher than those for N+1 designs; and, in the case of single-component failures, 2N designs offer essentially zero downtime</w:t>
      </w:r>
      <w:r w:rsidR="00C8356E">
        <w:fldChar w:fldCharType="begin"/>
      </w:r>
      <w:r w:rsidR="00866BB5">
        <w:instrText xml:space="preserve"> ADDIN ZOTERO_ITEM CSL_CITATION {"citationID":"uyzrmxWp","properties":{"unsorted":false,"formattedCitation":"[67]","plainCitation":"[67]","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C8356E">
        <w:fldChar w:fldCharType="separate"/>
      </w:r>
      <w:r w:rsidR="00866BB5" w:rsidRPr="00866BB5">
        <w:t>[67]</w:t>
      </w:r>
      <w:r w:rsidR="00C8356E">
        <w:fldChar w:fldCharType="end"/>
      </w:r>
      <w:r w:rsidRPr="00040480">
        <w:t>.</w:t>
      </w:r>
    </w:p>
    <w:p w14:paraId="236FFF7F" w14:textId="604C78E5" w:rsidR="00F23251" w:rsidRPr="00040480" w:rsidRDefault="00040480" w:rsidP="00866BB5">
      <w:pPr>
        <w:spacing w:after="120"/>
        <w:ind w:firstLine="480"/>
      </w:pPr>
      <w:r w:rsidRPr="00040480">
        <w:t xml:space="preserve">Power is distributed from the utility interconnection point through main switchgear that provides protection coordination and metering, to automatic transfer switches (ATS) that </w:t>
      </w:r>
      <w:r w:rsidRPr="00040480">
        <w:lastRenderedPageBreak/>
        <w:t>control the transfer of power from the utility to the backup power source during a power outage. In high-reliability applications, the transfer time is less than 1 cycle (16.7ms) for static transfer switches (STS) and 10-30s for electromechanical switches (EMS) in the ATS</w:t>
      </w:r>
      <w:r w:rsidR="009D69B5">
        <w:fldChar w:fldCharType="begin"/>
      </w:r>
      <w:r w:rsidR="00866BB5">
        <w:instrText xml:space="preserve"> ADDIN ZOTERO_ITEM CSL_CITATION {"citationID":"EnoLyCgw","properties":{"unsorted":false,"formattedCitation":"[68]","plainCitation":"[68]","noteIndex":0},"citationItems":[{"id":2014,"uris":["http://zotero.org/users/9870935/items/YRI3RIYJ"],"itemData":{"id":2014,"type":"article-journal","abstract":"PLN's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rsidR="009D69B5">
        <w:fldChar w:fldCharType="separate"/>
      </w:r>
      <w:r w:rsidR="00866BB5" w:rsidRPr="00866BB5">
        <w:t>[68]</w:t>
      </w:r>
      <w:r w:rsidR="009D69B5">
        <w:fldChar w:fldCharType="end"/>
      </w:r>
      <w:r w:rsidRPr="00040480">
        <w:t xml:space="preserve">. AI training workloads are typically specified with STS or flywheel-based uninterrupted power supply (UPS) systems, as a brief power interruption can disrupt the </w:t>
      </w:r>
      <w:r w:rsidR="00B50B4A" w:rsidRPr="00040480">
        <w:t>workload</w:t>
      </w:r>
      <w:r w:rsidRPr="00040480">
        <w:t>.</w:t>
      </w:r>
    </w:p>
    <w:p w14:paraId="18822419" w14:textId="46C8C335" w:rsidR="007A48E6" w:rsidRDefault="007A48E6" w:rsidP="007A48E6">
      <w:pPr>
        <w:pStyle w:val="Heading20"/>
        <w:rPr>
          <w:color w:val="auto"/>
        </w:rPr>
      </w:pPr>
      <w:r>
        <w:rPr>
          <w:color w:val="auto"/>
        </w:rPr>
        <w:t>3.2. AI Workload Electrical Charactersitics</w:t>
      </w:r>
    </w:p>
    <w:p w14:paraId="6277E67A" w14:textId="1A5B0D1F" w:rsidR="002C20E4" w:rsidRPr="00F166F8" w:rsidRDefault="002C20E4" w:rsidP="007D08DE">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localized load pockets that consume 30 to 50 kW per rack as compared to enterprise computing, which consumes 5 to 10 kW per </w:t>
      </w:r>
      <w:r w:rsidR="007D08DE" w:rsidRPr="00F166F8">
        <w:t>rack</w:t>
      </w:r>
      <w:r w:rsidR="007D08DE">
        <w:fldChar w:fldCharType="begin"/>
      </w:r>
      <w:r w:rsidR="007D08DE">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schema":"https://github.com/citation-style-language/schema/raw/master/csl-citation.json"} </w:instrText>
      </w:r>
      <w:r w:rsidR="007D08DE">
        <w:fldChar w:fldCharType="separate"/>
      </w:r>
      <w:r w:rsidR="007D08DE" w:rsidRPr="007D08DE">
        <w:t>[10]</w:t>
      </w:r>
      <w:r w:rsidR="007D08DE">
        <w:fldChar w:fldCharType="end"/>
      </w:r>
      <w:r w:rsidR="007D08DE" w:rsidRPr="00F166F8">
        <w:t>.</w:t>
      </w:r>
    </w:p>
    <w:p w14:paraId="2CD1CA76" w14:textId="202363D2" w:rsidR="002C20E4" w:rsidRPr="00F166F8" w:rsidRDefault="002C20E4" w:rsidP="00866BB5">
      <w:pPr>
        <w:spacing w:after="120"/>
        <w:ind w:firstLine="480"/>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rsidR="00A8352A">
        <w:fldChar w:fldCharType="begin"/>
      </w:r>
      <w:r w:rsidR="00866BB5">
        <w:instrText xml:space="preserve"> ADDIN ZOTERO_ITEM CSL_CITATION {"citationID":"CscueCyo","properties":{"unsorted":false,"formattedCitation":"[69]","plainCitation":"[69]","noteIndex":0},"citationItems":[{"id":2016,"uris":["http://zotero.org/users/9870935/items/IGX3D6LZ"],"itemData":{"id":2016,"type":"article","abstract":"This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rsidR="00A8352A">
        <w:fldChar w:fldCharType="separate"/>
      </w:r>
      <w:r w:rsidR="00866BB5" w:rsidRPr="00866BB5">
        <w:t>[69]</w:t>
      </w:r>
      <w:r w:rsidR="00A8352A">
        <w:fldChar w:fldCharType="end"/>
      </w:r>
      <w:r w:rsidRPr="00F166F8">
        <w:t>. Idle power consumption is usually in the range of 50-150 W per GPU, or about 15-20</w:t>
      </w:r>
      <w:r w:rsidR="00F70DBD">
        <w:t xml:space="preserve">% </w:t>
      </w:r>
      <w:r w:rsidRPr="00F166F8">
        <w:t>of peak power, because memory contents must be kept alive and providing low-latency response for inference operations</w:t>
      </w:r>
      <w:r w:rsidR="00DE27F0">
        <w:fldChar w:fldCharType="begin"/>
      </w:r>
      <w:r w:rsidR="00866BB5">
        <w:instrText xml:space="preserve"> ADDIN ZOTERO_ITEM CSL_CITATION {"citationID":"APKvRgnH","properties":{"unsorted":false,"formattedCitation":"[70]","plainCitation":"[70]","noteIndex":0},"citationItems":[{"id":2018,"uris":["http://zotero.org/users/9870935/items/XN4NHKM7"],"itemData":{"id":2018,"type":"article","abstract":"Ubiquity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rsidR="00DE27F0">
        <w:fldChar w:fldCharType="separate"/>
      </w:r>
      <w:r w:rsidR="00866BB5" w:rsidRPr="00866BB5">
        <w:t>[70]</w:t>
      </w:r>
      <w:r w:rsidR="00DE27F0">
        <w:fldChar w:fldCharType="end"/>
      </w:r>
      <w:r w:rsidRPr="00F166F8">
        <w:t>. Power capping (e.g. using NVML power limit API) allows operators to cap the max power draw for lower computational throughput, offering a power management solution for the demand side.</w:t>
      </w:r>
    </w:p>
    <w:p w14:paraId="51131BFC" w14:textId="70C6CBA5" w:rsidR="007A48E6" w:rsidRPr="00F166F8" w:rsidRDefault="002C20E4" w:rsidP="00866BB5">
      <w:pPr>
        <w:spacing w:after="120"/>
        <w:ind w:firstLine="480"/>
      </w:pPr>
      <w:r w:rsidRPr="00F166F8">
        <w:t>Thermal design point considerations shall include steady state and transient thermal loads. GPU temperatures during training can reach 80-85 degrees Celsius when the GPUs are sustained under load, and cooling systems must be able to dissipate 3.5-5 kW of cooling power per GPU</w:t>
      </w:r>
      <w:r w:rsidR="002E0505">
        <w:fldChar w:fldCharType="begin"/>
      </w:r>
      <w:r w:rsidR="00866BB5">
        <w:instrText xml:space="preserve"> ADDIN ZOTERO_ITEM CSL_CITATION {"citationID":"wo1i8Mfh","properties":{"unsorted":false,"formattedCitation":"[71]","plainCitation":"[71]","noteIndex":0},"citationItems":[{"id":2020,"uris":["http://zotero.org/users/9870935/items/EUX8ZVSI"],"itemData":{"id":2020,"type":"article-journal","abstract":"The rapid surge in global data traffic, driven by artificial intelligence and hyperscale data centers, has established copackaged optics (CPO) as a pivotal technology for next-generation high-bandwidth and low-power interconnects. By integrating optical engines directly with application-specific integrated circuits (ASICs) on a single substrate, CPO significantly reduces electrical link lengths and power consumption. However, the extreme power density of ASICs, together with the temperature sensitivity of photonic components, makes thermal management a critical bottleneck for CPO performance and reliability. We provide a comprehensive review of thermal management in CPO, encompassing various aspects from device assembly to system operation. We systematically discuss the packaging strategies and thermal reliability of lasers and fiber arrays, address thermal design considerations at both chip and package levels, and evaluate advanced thermal interface materials alongside module-level cooling technologies. Finally, we provide perspectives on future optoelectronic co-design and the thermal challenges of next-generation optical interconnects.","container-title":"Advanced Photonics Nexus","DOI":"10.1117/1.APN.5.3.034001","ISSN":"2791-1519","issue":"03","journalAbbreviation":"Adv. Photon. Nexus","language":"en","source":"DOI.org (Crossref)","title":"Thermal management in copackaged optics: from device assembly to system operation","title-short":"Thermal management in copackaged optics","URL":"https://www.spiedigitallibrary.org/journals/advanced-photonics-nexus/volume-5/issue-03/034001/Thermal-management-in-copackaged-optics--from-device-assembly-to/10.1117/1.APN.5.3.034001.full","volume":"5","author":[{"family":"Yang","given":"Zhonghua"},{"family":"He","given":"Guopeng"},{"family":"Li","given":"Yufeng"},{"family":"Sun","given":"Yu"},{"family":"Luo","given":"Wenbo"},{"family":"Zhang","given":"Wanli"}],"accessed":{"date-parts":[["2026",5,16]]},"issued":{"date-parts":[["2026",3,19]]}}}],"schema":"https://github.com/citation-style-language/schema/raw/master/csl-citation.json"} </w:instrText>
      </w:r>
      <w:r w:rsidR="002E0505">
        <w:fldChar w:fldCharType="separate"/>
      </w:r>
      <w:r w:rsidR="00866BB5" w:rsidRPr="00866BB5">
        <w:t>[71]</w:t>
      </w:r>
      <w:r w:rsidR="002E0505">
        <w:fldChar w:fldCharType="end"/>
      </w:r>
      <w:r w:rsidRPr="00F166F8">
        <w:t xml:space="preserve">. The electrical energy that is input to computing equipment is almost entirely converted to heat, which is why there is a very close relationship between electrical energy consumption and heat generation. This integration of electrical and thermal systems opens the opportunity to </w:t>
      </w:r>
      <w:r w:rsidR="00B50B4A" w:rsidRPr="00F166F8">
        <w:t>integrate</w:t>
      </w:r>
      <w:r w:rsidRPr="00F166F8">
        <w:t xml:space="preserve"> energy management, optimizing the operation of the cooling system with the availability of renewable energy and the optimization of the workload.</w:t>
      </w:r>
    </w:p>
    <w:p w14:paraId="5AAAE1C0" w14:textId="473B1651" w:rsidR="00350D1E" w:rsidRDefault="00350D1E" w:rsidP="00350D1E">
      <w:pPr>
        <w:pStyle w:val="Heading20"/>
        <w:rPr>
          <w:color w:val="auto"/>
        </w:rPr>
      </w:pPr>
      <w:r>
        <w:rPr>
          <w:color w:val="auto"/>
        </w:rPr>
        <w:t xml:space="preserve">3.3. </w:t>
      </w:r>
      <w:r w:rsidR="006F5703">
        <w:rPr>
          <w:color w:val="auto"/>
        </w:rPr>
        <w:t>Backup Power and UPS Systems</w:t>
      </w:r>
    </w:p>
    <w:p w14:paraId="4B5A524D" w14:textId="4BAFEE6D" w:rsidR="00C24F3F" w:rsidRPr="00C24F3F" w:rsidRDefault="00C24F3F" w:rsidP="00866BB5">
      <w:pPr>
        <w:spacing w:after="120"/>
        <w:ind w:firstLine="480"/>
        <w:rPr>
          <w:szCs w:val="24"/>
        </w:rPr>
      </w:pPr>
      <w:r>
        <w:rPr>
          <w:szCs w:val="24"/>
        </w:rPr>
        <w:t>UPS</w:t>
      </w:r>
      <w:r w:rsidRPr="00C24F3F">
        <w:rPr>
          <w:szCs w:val="24"/>
        </w:rPr>
        <w:t xml:space="preserve"> system is the first line of defense against power quality disturbances and short outages. There are three major UPS technologies used in data centers: flywheel systems, which can deliver 10-30 seconds of ride-through time with kinetic energy storage; battery-based UPS, which can supply minutes to hours of backup time depending on the battery capacity; and hybrid UPS, which includes flywheels to provide immediate response and batteries to provide extended backup time</w:t>
      </w:r>
      <w:r w:rsidR="00AD7884">
        <w:rPr>
          <w:szCs w:val="24"/>
        </w:rPr>
        <w:fldChar w:fldCharType="begin"/>
      </w:r>
      <w:r w:rsidR="00866BB5">
        <w:rPr>
          <w:szCs w:val="24"/>
        </w:rPr>
        <w:instrText xml:space="preserve"> ADDIN ZOTERO_ITEM CSL_CITATION {"citationID":"6s5dz7U7","properties":{"unsorted":false,"formattedCitation":"[72]","plainCitation":"[72]","noteIndex":0},"citationItems":[{"id":2021,"uris":["http://zotero.org/users/9870935/items/AHEUC4DF"],"itemData":{"id":2021,"type":"article","abstract":"Artificial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00AD7884">
        <w:rPr>
          <w:szCs w:val="24"/>
        </w:rPr>
        <w:fldChar w:fldCharType="separate"/>
      </w:r>
      <w:r w:rsidR="00866BB5" w:rsidRPr="00866BB5">
        <w:t>[72]</w:t>
      </w:r>
      <w:r w:rsidR="00AD7884">
        <w:rPr>
          <w:szCs w:val="24"/>
        </w:rPr>
        <w:fldChar w:fldCharType="end"/>
      </w:r>
      <w:r w:rsidR="00833F3E">
        <w:rPr>
          <w:szCs w:val="24"/>
        </w:rPr>
        <w:t>.</w:t>
      </w:r>
      <w:r w:rsidRPr="00C24F3F">
        <w:rPr>
          <w:szCs w:val="24"/>
        </w:rPr>
        <w:t xml:space="preserve"> AI data centers, where training state can be </w:t>
      </w:r>
      <w:r w:rsidRPr="00C24F3F">
        <w:rPr>
          <w:szCs w:val="24"/>
        </w:rPr>
        <w:lastRenderedPageBreak/>
        <w:t>lost during even brief interruptions, require UPS systems to have enough runtime to start-up and synchronize the backup generator, usually 30 to 60 seconds</w:t>
      </w:r>
      <w:r w:rsidR="002A1396">
        <w:rPr>
          <w:szCs w:val="24"/>
        </w:rPr>
        <w:fldChar w:fldCharType="begin"/>
      </w:r>
      <w:r w:rsidR="00866BB5">
        <w:rPr>
          <w:szCs w:val="24"/>
        </w:rPr>
        <w:instrText xml:space="preserve"> ADDIN ZOTERO_ITEM CSL_CITATION {"citationID":"uVqeSVVe","properties":{"unsorted":false,"formattedCitation":"[73]","plainCitation":"[73]","noteIndex":0},"citationItems":[{"id":2025,"uris":["http://zotero.org/users/9870935/items/URLYJFL9"],"itemData":{"id":2025,"type":"article-journal","abstract":"Our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sidR="002A1396">
        <w:rPr>
          <w:szCs w:val="24"/>
        </w:rPr>
        <w:fldChar w:fldCharType="separate"/>
      </w:r>
      <w:r w:rsidR="00866BB5" w:rsidRPr="00866BB5">
        <w:t>[73]</w:t>
      </w:r>
      <w:r w:rsidR="002A1396">
        <w:rPr>
          <w:szCs w:val="24"/>
        </w:rPr>
        <w:fldChar w:fldCharType="end"/>
      </w:r>
      <w:r w:rsidRPr="00C24F3F">
        <w:rPr>
          <w:szCs w:val="24"/>
        </w:rPr>
        <w:t>.</w:t>
      </w:r>
    </w:p>
    <w:p w14:paraId="6314221F" w14:textId="4BEB3445" w:rsidR="00C24F3F" w:rsidRDefault="00C24F3F" w:rsidP="00866BB5">
      <w:pPr>
        <w:spacing w:after="120"/>
        <w:ind w:firstLine="480"/>
        <w:rPr>
          <w:szCs w:val="24"/>
        </w:rPr>
      </w:pPr>
      <w:r w:rsidRPr="00C24F3F">
        <w:rPr>
          <w:szCs w:val="24"/>
        </w:rPr>
        <w:t>The UPS capacity needed for a 100 MW data center with N+1 redundancy and 20</w:t>
      </w:r>
      <w:r w:rsidR="00FF659B">
        <w:rPr>
          <w:szCs w:val="24"/>
        </w:rPr>
        <w:t xml:space="preserve">% </w:t>
      </w:r>
      <w:r w:rsidRPr="00C24F3F">
        <w:rPr>
          <w:szCs w:val="24"/>
        </w:rPr>
        <w:t>safety margin would be about 144 MVA with a power factor of 0.9</w:t>
      </w:r>
      <w:r w:rsidR="00B9789E">
        <w:rPr>
          <w:szCs w:val="24"/>
        </w:rPr>
        <w:fldChar w:fldCharType="begin"/>
      </w:r>
      <w:r w:rsidR="00866BB5">
        <w:rPr>
          <w:szCs w:val="24"/>
        </w:rPr>
        <w:instrText xml:space="preserve"> ADDIN ZOTERO_ITEM CSL_CITATION {"citationID":"qzNEaqIS","properties":{"unsorted":false,"formattedCitation":"[74]","plainCitation":"[74]","noteIndex":0},"citationItems":[{"id":2027,"uris":["http://zotero.org/users/9870935/items/84JHTAVB"],"itemData":{"id":2027,"type":"article-journal","abstract":"The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00B9789E">
        <w:rPr>
          <w:szCs w:val="24"/>
        </w:rPr>
        <w:fldChar w:fldCharType="separate"/>
      </w:r>
      <w:r w:rsidR="00866BB5" w:rsidRPr="00866BB5">
        <w:t>[74]</w:t>
      </w:r>
      <w:r w:rsidR="00B9789E">
        <w:rPr>
          <w:szCs w:val="24"/>
        </w:rPr>
        <w:fldChar w:fldCharType="end"/>
      </w:r>
      <w:r w:rsidRPr="00C24F3F">
        <w:rPr>
          <w:szCs w:val="24"/>
        </w:rPr>
        <w:t>. The choice of the double-conversion (online), line-interactive, and standby (offline) UPS topologies depends on the criticality of the load. Data center AI training and inference workloads are typically designed with double-conversion topology, ensuring full protection from input power disturbances</w:t>
      </w:r>
      <w:r w:rsidR="00DF2596">
        <w:rPr>
          <w:szCs w:val="24"/>
        </w:rPr>
        <w:fldChar w:fldCharType="begin"/>
      </w:r>
      <w:r w:rsidR="00866BB5">
        <w:rPr>
          <w:szCs w:val="24"/>
        </w:rPr>
        <w:instrText xml:space="preserve"> ADDIN ZOTERO_ITEM CSL_CITATION {"citationID":"WYKaySkz","properties":{"unsorted":false,"formattedCitation":"[75]","plainCitation":"[75]","noteIndex":0},"citationItems":[{"id":2030,"uris":["http://zotero.org/users/9870935/items/UI369LDD"],"itemData":{"id":2030,"type":"post-weblog","title":"Electrical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sidR="00DF2596">
        <w:rPr>
          <w:szCs w:val="24"/>
        </w:rPr>
        <w:fldChar w:fldCharType="separate"/>
      </w:r>
      <w:r w:rsidR="00866BB5" w:rsidRPr="00866BB5">
        <w:t>[75]</w:t>
      </w:r>
      <w:r w:rsidR="00DF2596">
        <w:rPr>
          <w:szCs w:val="24"/>
        </w:rPr>
        <w:fldChar w:fldCharType="end"/>
      </w:r>
      <w:r w:rsidRPr="00C24F3F">
        <w:rPr>
          <w:szCs w:val="24"/>
        </w:rPr>
        <w:t>.</w:t>
      </w:r>
    </w:p>
    <w:p w14:paraId="60A5D392" w14:textId="6E921909" w:rsidR="00B92CC3" w:rsidRPr="00C24F3F" w:rsidRDefault="00B92CC3" w:rsidP="00866BB5">
      <w:pPr>
        <w:spacing w:after="120"/>
        <w:ind w:firstLine="480"/>
        <w:rPr>
          <w:szCs w:val="24"/>
        </w:rPr>
      </w:pPr>
      <w:r w:rsidRPr="00B92CC3">
        <w:rPr>
          <w:szCs w:val="24"/>
        </w:rPr>
        <w:t>The most widely used backup power system for data centers is a diesel generator, which is sized based on the peak facility load with an updated safety capacity utilization buffer of 15</w:t>
      </w:r>
      <w:r>
        <w:rPr>
          <w:szCs w:val="24"/>
        </w:rPr>
        <w:t>-</w:t>
      </w:r>
      <w:r w:rsidRPr="00B92CC3">
        <w:rPr>
          <w:szCs w:val="24"/>
        </w:rPr>
        <w:t>25% to effectively suppress severe localized voltage fluctuation</w:t>
      </w:r>
      <w:r>
        <w:rPr>
          <w:szCs w:val="24"/>
        </w:rPr>
        <w:t xml:space="preserve"> </w:t>
      </w:r>
      <w:r w:rsidRPr="00B92CC3">
        <w:rPr>
          <w:szCs w:val="24"/>
        </w:rPr>
        <w:t>caused by sudden load increases from AI inference workloads and power-electronic harmonic distortion</w:t>
      </w:r>
      <w:r w:rsidR="008E5F30">
        <w:rPr>
          <w:szCs w:val="24"/>
        </w:rPr>
        <w:t>.</w:t>
      </w:r>
      <w:r w:rsidR="00416183">
        <w:rPr>
          <w:szCs w:val="24"/>
        </w:rPr>
        <w:t xml:space="preserve"> </w:t>
      </w:r>
      <w:r w:rsidRPr="00B92CC3">
        <w:rPr>
          <w:szCs w:val="24"/>
        </w:rPr>
        <w:t>For a 100 MW hyperscale generator size configuration, the size of each generator is typically between 20 and 30 MW, and they are arranged in parallel across multiple isolated dual-bus distribution paths to ensure redundant N+1 or 2N topology benchmarks</w:t>
      </w:r>
      <w:r w:rsidR="00416183">
        <w:rPr>
          <w:szCs w:val="24"/>
        </w:rPr>
        <w:fldChar w:fldCharType="begin"/>
      </w:r>
      <w:r w:rsidR="00866BB5">
        <w:rPr>
          <w:szCs w:val="24"/>
        </w:rPr>
        <w:instrText xml:space="preserve"> ADDIN ZOTERO_ITEM CSL_CITATION {"citationID":"VffnOBvN","properties":{"unsorted":false,"formattedCitation":"[76]","plainCitation":"[76]","noteIndex":0},"citationItems":[{"id":2031,"uris":["http://zotero.org/users/9870935/items/AC53WR7L"],"itemData":{"id":2031,"type":"article-journal","abstract":"The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00416183">
        <w:rPr>
          <w:szCs w:val="24"/>
        </w:rPr>
        <w:fldChar w:fldCharType="separate"/>
      </w:r>
      <w:r w:rsidR="00866BB5" w:rsidRPr="00866BB5">
        <w:t>[76]</w:t>
      </w:r>
      <w:r w:rsidR="00416183">
        <w:rPr>
          <w:szCs w:val="24"/>
        </w:rPr>
        <w:fldChar w:fldCharType="end"/>
      </w:r>
      <w:r w:rsidRPr="00B92CC3">
        <w:rPr>
          <w:szCs w:val="24"/>
        </w:rPr>
        <w:t>. Despite the proven efficiency of diesel generators, they generate very high levels of nitrogen oxides (NOx) during routine testing, up to 12 metric tons per year per hyperscale facility, having a direct impact on urban air quality margins and increasing the pace of reaching localized greenhouse gas thresholds</w:t>
      </w:r>
      <w:r w:rsidR="001530DD">
        <w:rPr>
          <w:szCs w:val="24"/>
        </w:rPr>
        <w:fldChar w:fldCharType="begin"/>
      </w:r>
      <w:r w:rsidR="00866BB5">
        <w:rPr>
          <w:szCs w:val="24"/>
        </w:rPr>
        <w:instrText xml:space="preserve"> ADDIN ZOTERO_ITEM CSL_CITATION {"citationID":"MhrzpTJ3","properties":{"unsorted":false,"formattedCitation":"[77]","plainCitation":"[77]","noteIndex":0},"citationItems":[{"id":2032,"uris":["http://zotero.org/users/9870935/items/3SYSZCVP"],"itemData":{"id":2032,"type":"article","abstract":"This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sidR="001530DD">
        <w:rPr>
          <w:szCs w:val="24"/>
        </w:rPr>
        <w:fldChar w:fldCharType="separate"/>
      </w:r>
      <w:r w:rsidR="00866BB5" w:rsidRPr="00866BB5">
        <w:t>[77]</w:t>
      </w:r>
      <w:r w:rsidR="001530DD">
        <w:rPr>
          <w:szCs w:val="24"/>
        </w:rPr>
        <w:fldChar w:fldCharType="end"/>
      </w:r>
      <w:r w:rsidRPr="00B92CC3">
        <w:rPr>
          <w:szCs w:val="24"/>
        </w:rPr>
        <w:t>. As a result, the industry is moving into new directions of cleaner fuels, growing interest in natural gas generators at utility scale, and grid integration of hydrogen fuel cell systems that not only provide onsite mission-critical backup power but now deliver fast-frequency ancillary services back to the main grid as well</w:t>
      </w:r>
      <w:r w:rsidR="002B39C3">
        <w:rPr>
          <w:szCs w:val="24"/>
        </w:rPr>
        <w:t>.</w:t>
      </w:r>
    </w:p>
    <w:p w14:paraId="5A9595BA" w14:textId="4A4E7B67" w:rsidR="002B39C3" w:rsidRDefault="002B39C3" w:rsidP="002B39C3">
      <w:pPr>
        <w:pStyle w:val="Heading20"/>
        <w:rPr>
          <w:color w:val="auto"/>
        </w:rPr>
      </w:pPr>
      <w:r>
        <w:rPr>
          <w:color w:val="auto"/>
        </w:rPr>
        <w:t>3.</w:t>
      </w:r>
      <w:r w:rsidR="006A6861">
        <w:rPr>
          <w:color w:val="auto"/>
        </w:rPr>
        <w:t>4</w:t>
      </w:r>
      <w:r>
        <w:rPr>
          <w:color w:val="auto"/>
        </w:rPr>
        <w:t>. Colling System Integration</w:t>
      </w:r>
    </w:p>
    <w:p w14:paraId="44D3E3A2" w14:textId="7DA17BBB" w:rsidR="007D6A70" w:rsidRPr="007D6A70" w:rsidRDefault="007D6A70" w:rsidP="00866BB5">
      <w:pPr>
        <w:spacing w:after="120"/>
        <w:ind w:firstLine="480"/>
        <w:rPr>
          <w:szCs w:val="24"/>
        </w:rPr>
      </w:pPr>
      <w:r w:rsidRPr="007D6A70">
        <w:rPr>
          <w:szCs w:val="24"/>
        </w:rPr>
        <w:t>Cooling systems are a crucial connection point between electrical and thermal management in AI data centers. Cooling load and electrical energy consumption are roughly proportional, with the coefficient of performance (COP) of the cooling system dictating the number of watts of cooling for every watt of electricity consumed (typically around 2.5 to 4)</w:t>
      </w:r>
      <w:r w:rsidR="000642A3">
        <w:rPr>
          <w:szCs w:val="24"/>
        </w:rPr>
        <w:fldChar w:fldCharType="begin"/>
      </w:r>
      <w:r w:rsidR="00866BB5">
        <w:rPr>
          <w:szCs w:val="24"/>
        </w:rPr>
        <w:instrText xml:space="preserve"> ADDIN ZOTERO_ITEM CSL_CITATION {"citationID":"JmbelhlJ","properties":{"unsorted":false,"formattedCitation":"[78]","plainCitation":"[78]","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0642A3">
        <w:rPr>
          <w:szCs w:val="24"/>
        </w:rPr>
        <w:fldChar w:fldCharType="separate"/>
      </w:r>
      <w:r w:rsidR="00866BB5" w:rsidRPr="00866BB5">
        <w:t>[78]</w:t>
      </w:r>
      <w:r w:rsidR="000642A3">
        <w:rPr>
          <w:szCs w:val="24"/>
        </w:rPr>
        <w:fldChar w:fldCharType="end"/>
      </w:r>
      <w:r w:rsidRPr="007D6A70">
        <w:rPr>
          <w:szCs w:val="24"/>
        </w:rPr>
        <w:t>. Cooling consumption can be as high as 30-40</w:t>
      </w:r>
      <w:r w:rsidR="006A6861">
        <w:rPr>
          <w:szCs w:val="24"/>
        </w:rPr>
        <w:t xml:space="preserve">% </w:t>
      </w:r>
      <w:r w:rsidRPr="007D6A70">
        <w:rPr>
          <w:szCs w:val="24"/>
        </w:rPr>
        <w:t>of the total facility energy cost for traditional air-cooled data centers, which can have PUE values of greater than 1.3</w:t>
      </w:r>
      <w:r w:rsidR="00F36463">
        <w:rPr>
          <w:szCs w:val="24"/>
        </w:rPr>
        <w:fldChar w:fldCharType="begin"/>
      </w:r>
      <w:r w:rsidR="00F36463">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sidR="00F36463">
        <w:rPr>
          <w:szCs w:val="24"/>
        </w:rPr>
        <w:fldChar w:fldCharType="separate"/>
      </w:r>
      <w:r w:rsidR="00F36463" w:rsidRPr="00F36463">
        <w:t>[32]</w:t>
      </w:r>
      <w:r w:rsidR="00F36463">
        <w:rPr>
          <w:szCs w:val="24"/>
        </w:rPr>
        <w:fldChar w:fldCharType="end"/>
      </w:r>
      <w:r w:rsidRPr="007D6A70">
        <w:rPr>
          <w:szCs w:val="24"/>
        </w:rPr>
        <w:t>. Immersion cooling provides 30</w:t>
      </w:r>
      <w:r w:rsidR="00F36463">
        <w:rPr>
          <w:szCs w:val="24"/>
        </w:rPr>
        <w:t>-</w:t>
      </w:r>
      <w:r w:rsidRPr="007D6A70">
        <w:rPr>
          <w:szCs w:val="24"/>
        </w:rPr>
        <w:t>50</w:t>
      </w:r>
      <w:r w:rsidR="00F36463">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sidR="00BA2BA6">
        <w:rPr>
          <w:szCs w:val="24"/>
        </w:rPr>
        <w:fldChar w:fldCharType="begin"/>
      </w:r>
      <w:r w:rsidR="00BA2BA6">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BA2BA6">
        <w:rPr>
          <w:szCs w:val="24"/>
        </w:rPr>
        <w:fldChar w:fldCharType="separate"/>
      </w:r>
      <w:r w:rsidR="00BA2BA6" w:rsidRPr="00BA2BA6">
        <w:t>[34]</w:t>
      </w:r>
      <w:r w:rsidR="00BA2BA6">
        <w:rPr>
          <w:szCs w:val="24"/>
        </w:rPr>
        <w:fldChar w:fldCharType="end"/>
      </w:r>
      <w:r w:rsidRPr="007D6A70">
        <w:rPr>
          <w:szCs w:val="24"/>
        </w:rPr>
        <w:t>.</w:t>
      </w:r>
    </w:p>
    <w:p w14:paraId="516231D3" w14:textId="5F1789DF" w:rsidR="00525D68" w:rsidRDefault="007D6A70" w:rsidP="00866BB5">
      <w:pPr>
        <w:spacing w:after="120"/>
        <w:ind w:firstLine="480"/>
        <w:rPr>
          <w:szCs w:val="24"/>
        </w:rPr>
      </w:pPr>
      <w:r w:rsidRPr="007D6A70">
        <w:rPr>
          <w:szCs w:val="24"/>
        </w:rPr>
        <w:t>In suitable climates, significant energy savings can be realized by using a free cooling system, which utilizes the ambient atmospheric temperature to supply cooling without mechanical refrigeration. In temperate climates, economizer systems can deliver free cooling for 3000 to 6000 hours per year, cutting energy consumption for chillers by 40</w:t>
      </w:r>
      <w:r w:rsidR="00BC0E93">
        <w:rPr>
          <w:szCs w:val="24"/>
        </w:rPr>
        <w:t>-</w:t>
      </w:r>
      <w:r w:rsidRPr="007D6A70">
        <w:rPr>
          <w:szCs w:val="24"/>
        </w:rPr>
        <w:t>70</w:t>
      </w:r>
      <w:r w:rsidR="00BC0E93">
        <w:rPr>
          <w:szCs w:val="24"/>
        </w:rPr>
        <w:t xml:space="preserve">% </w:t>
      </w:r>
      <w:r w:rsidRPr="007D6A70">
        <w:rPr>
          <w:szCs w:val="24"/>
        </w:rPr>
        <w:t>during those hours</w:t>
      </w:r>
      <w:r w:rsidR="00721E74">
        <w:rPr>
          <w:szCs w:val="24"/>
        </w:rPr>
        <w:fldChar w:fldCharType="begin"/>
      </w:r>
      <w:r w:rsidR="00866BB5">
        <w:rPr>
          <w:szCs w:val="24"/>
        </w:rPr>
        <w:instrText xml:space="preserve"> ADDIN ZOTERO_ITEM CSL_CITATION {"citationID":"3wFuVfzc","properties":{"unsorted":false,"formattedCitation":"[79]","plainCitation":"[79]","noteIndex":0},"citationItems":[{"id":2036,"uris":["http://zotero.org/users/9870935/items/2KMJ9H69"],"itemData":{"id":2036,"type":"paper-conference","container-title":"2011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721E74">
        <w:rPr>
          <w:szCs w:val="24"/>
        </w:rPr>
        <w:fldChar w:fldCharType="separate"/>
      </w:r>
      <w:r w:rsidR="00866BB5" w:rsidRPr="00866BB5">
        <w:t>[79]</w:t>
      </w:r>
      <w:r w:rsidR="00721E74">
        <w:rPr>
          <w:szCs w:val="24"/>
        </w:rPr>
        <w:fldChar w:fldCharType="end"/>
      </w:r>
      <w:r w:rsidRPr="007D6A70">
        <w:rPr>
          <w:szCs w:val="24"/>
        </w:rPr>
        <w:t>. Thermal energy storage (TES) systems, particularly ice storage, allow the shifting of cooling loads when electricity demand is high and/or renewables are plentiful by freezing water when electricity prices are low, and release it during periods of high cooling demand and electricity prices.</w:t>
      </w:r>
      <w:r w:rsidR="00BE113B">
        <w:rPr>
          <w:szCs w:val="24"/>
        </w:rPr>
        <w:t xml:space="preserve"> </w:t>
      </w:r>
      <w:r w:rsidRPr="007D6A70">
        <w:rPr>
          <w:szCs w:val="24"/>
        </w:rPr>
        <w:t xml:space="preserve">Thermal energy storage (TES) systems, specifically ice </w:t>
      </w:r>
      <w:r w:rsidRPr="007D6A70">
        <w:rPr>
          <w:szCs w:val="24"/>
        </w:rPr>
        <w:lastRenderedPageBreak/>
        <w:t>storage, can be used to shift cooling loads when electricity demand is high, and/or when renewables are abundant, by freezing water when electricity prices are low, and melting when electricity prices are high, and cooling loads are high</w:t>
      </w:r>
      <w:r w:rsidR="00D43001">
        <w:rPr>
          <w:szCs w:val="24"/>
        </w:rPr>
        <w:fldChar w:fldCharType="begin"/>
      </w:r>
      <w:r w:rsidR="00866BB5">
        <w:rPr>
          <w:szCs w:val="24"/>
        </w:rPr>
        <w:instrText xml:space="preserve"> ADDIN ZOTERO_ITEM CSL_CITATION {"citationID":"z2ZjfPrB","properties":{"unsorted":false,"formattedCitation":"[80]","plainCitation":"[80]","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sidR="00D43001">
        <w:rPr>
          <w:szCs w:val="24"/>
        </w:rPr>
        <w:fldChar w:fldCharType="separate"/>
      </w:r>
      <w:r w:rsidR="00866BB5" w:rsidRPr="00866BB5">
        <w:t>[80]</w:t>
      </w:r>
      <w:r w:rsidR="00D43001">
        <w:rPr>
          <w:szCs w:val="24"/>
        </w:rPr>
        <w:fldChar w:fldCharType="end"/>
      </w:r>
      <w:r w:rsidRPr="007D6A70">
        <w:rPr>
          <w:szCs w:val="24"/>
        </w:rPr>
        <w:t>.</w:t>
      </w:r>
    </w:p>
    <w:p w14:paraId="3F8BA39F" w14:textId="570353B7" w:rsidR="0068505A" w:rsidRDefault="0068505A" w:rsidP="0068505A">
      <w:pPr>
        <w:pStyle w:val="Heading20"/>
        <w:rPr>
          <w:color w:val="auto"/>
        </w:rPr>
      </w:pPr>
      <w:r>
        <w:rPr>
          <w:color w:val="auto"/>
        </w:rPr>
        <w:t xml:space="preserve">3.5. </w:t>
      </w:r>
      <w:r w:rsidR="00C74BA1">
        <w:rPr>
          <w:color w:val="auto"/>
        </w:rPr>
        <w:t>Power Quality and Harmonic Analysis</w:t>
      </w:r>
    </w:p>
    <w:p w14:paraId="153579BA" w14:textId="49C27622" w:rsidR="0068505A" w:rsidRDefault="00145C6F" w:rsidP="00866BB5">
      <w:pPr>
        <w:spacing w:after="120"/>
        <w:ind w:firstLine="480"/>
        <w:rPr>
          <w:szCs w:val="24"/>
        </w:rPr>
      </w:pPr>
      <w:r w:rsidRPr="00145C6F">
        <w:rPr>
          <w:szCs w:val="24"/>
        </w:rPr>
        <w:t>Harmonic currents create voltage waveshapes which are distorted from their ideal sinusoidal nature in non-linear loads within a data center, resulting in equipment malfunction, loss of efficiency, and early failure. The main sources of harmonics are switched-mode power supplies (SMPS) in servers and networking devices, variable frequency drives (VFDs) in cooling systems, and LED lighting drivers</w:t>
      </w:r>
      <w:r w:rsidR="00195B91">
        <w:rPr>
          <w:szCs w:val="24"/>
        </w:rPr>
        <w:fldChar w:fldCharType="begin"/>
      </w:r>
      <w:r w:rsidR="00866BB5">
        <w:rPr>
          <w:szCs w:val="24"/>
        </w:rPr>
        <w:instrText xml:space="preserve"> ADDIN ZOTERO_ITEM CSL_CITATION {"citationID":"NUYFmlEf","properties":{"unsorted":false,"formattedCitation":"[81]","plainCitation":"[81]","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sidR="00195B91">
        <w:rPr>
          <w:szCs w:val="24"/>
        </w:rPr>
        <w:fldChar w:fldCharType="separate"/>
      </w:r>
      <w:r w:rsidR="00866BB5" w:rsidRPr="00866BB5">
        <w:t>[81]</w:t>
      </w:r>
      <w:r w:rsidR="00195B91">
        <w:rPr>
          <w:szCs w:val="24"/>
        </w:rPr>
        <w:fldChar w:fldCharType="end"/>
      </w:r>
      <w:r w:rsidRPr="00145C6F">
        <w:rPr>
          <w:szCs w:val="24"/>
        </w:rPr>
        <w:t>. According to IEEE 519-2022, the maximum allowed total harmonic distortion (THD) at the point of common coupling (PCC) is 5</w:t>
      </w:r>
      <w:r w:rsidR="005A4C37">
        <w:rPr>
          <w:szCs w:val="24"/>
        </w:rPr>
        <w:t>%</w:t>
      </w:r>
      <w:r w:rsidRPr="00145C6F">
        <w:rPr>
          <w:szCs w:val="24"/>
        </w:rPr>
        <w:t>, while the limits for the individual harmonics range from 3</w:t>
      </w:r>
      <w:r w:rsidR="005A4C37">
        <w:rPr>
          <w:szCs w:val="24"/>
        </w:rPr>
        <w:t xml:space="preserve">% </w:t>
      </w:r>
      <w:r w:rsidRPr="00145C6F">
        <w:rPr>
          <w:szCs w:val="24"/>
        </w:rPr>
        <w:t>for lower-order harmonics to lower limits for higher-order harmonics</w:t>
      </w:r>
      <w:r w:rsidR="005A4C37">
        <w:rPr>
          <w:szCs w:val="24"/>
        </w:rPr>
        <w:fldChar w:fldCharType="begin"/>
      </w:r>
      <w:r w:rsidR="005A4C37">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5A4C37">
        <w:rPr>
          <w:szCs w:val="24"/>
        </w:rPr>
        <w:fldChar w:fldCharType="separate"/>
      </w:r>
      <w:r w:rsidR="005A4C37" w:rsidRPr="005A4C37">
        <w:t>[22]</w:t>
      </w:r>
      <w:r w:rsidR="005A4C37">
        <w:rPr>
          <w:szCs w:val="24"/>
        </w:rPr>
        <w:fldChar w:fldCharType="end"/>
      </w:r>
      <w:r w:rsidRPr="00145C6F">
        <w:rPr>
          <w:szCs w:val="24"/>
        </w:rPr>
        <w:t>. Passive filters (tuned LC circuits targeting specific harmonic orders), active power filters (APFs) that inject compensating currents to cancel harmonic distortion, and system level solutions, such as 12-pulse or 18-pulse rectifier configurations that naturally cancel lower order harmonics</w:t>
      </w:r>
      <w:r w:rsidR="00C80B29">
        <w:rPr>
          <w:szCs w:val="24"/>
        </w:rPr>
        <w:fldChar w:fldCharType="begin"/>
      </w:r>
      <w:r w:rsidR="00866BB5">
        <w:rPr>
          <w:szCs w:val="24"/>
        </w:rPr>
        <w:instrText xml:space="preserve"> ADDIN ZOTERO_ITEM CSL_CITATION {"citationID":"Mv0Kakcm","properties":{"unsorted":false,"formattedCitation":"[82]","plainCitation":"[82]","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sidR="00C80B29">
        <w:rPr>
          <w:szCs w:val="24"/>
        </w:rPr>
        <w:fldChar w:fldCharType="separate"/>
      </w:r>
      <w:r w:rsidR="00866BB5" w:rsidRPr="00866BB5">
        <w:t>[82]</w:t>
      </w:r>
      <w:r w:rsidR="00C80B29">
        <w:rPr>
          <w:szCs w:val="24"/>
        </w:rPr>
        <w:fldChar w:fldCharType="end"/>
      </w:r>
      <w:r w:rsidRPr="00145C6F">
        <w:rPr>
          <w:szCs w:val="24"/>
        </w:rPr>
        <w:t xml:space="preserve"> are all available as options for mitigation. The use of power factor correction (PFC) circuits in the modern server power supply has minimized the harmonic contribution from IT equipment, and most modern servers have a power factor &gt; 0.95 and THD &lt; 10</w:t>
      </w:r>
      <w:r w:rsidR="007D4972">
        <w:rPr>
          <w:szCs w:val="24"/>
        </w:rPr>
        <w:t xml:space="preserve">% </w:t>
      </w:r>
      <w:r w:rsidRPr="00145C6F">
        <w:rPr>
          <w:szCs w:val="24"/>
        </w:rPr>
        <w:t>at the input terminals</w:t>
      </w:r>
      <w:r w:rsidR="00310653">
        <w:rPr>
          <w:szCs w:val="24"/>
        </w:rPr>
        <w:fldChar w:fldCharType="begin"/>
      </w:r>
      <w:r w:rsidR="00866BB5">
        <w:rPr>
          <w:szCs w:val="24"/>
        </w:rPr>
        <w:instrText xml:space="preserve"> ADDIN ZOTERO_ITEM CSL_CITATION {"citationID":"pxV0xqgq","properties":{"unsorted":false,"formattedCitation":"[83]","plainCitation":"[83]","noteIndex":0},"citationItems":[{"id":2042,"uris":["http://zotero.org/users/9870935/items/PXUHJN77"],"itemData":{"id":2042,"type":"article-journal","abstract":"Advances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sidR="00310653">
        <w:rPr>
          <w:szCs w:val="24"/>
        </w:rPr>
        <w:fldChar w:fldCharType="separate"/>
      </w:r>
      <w:r w:rsidR="00866BB5" w:rsidRPr="00866BB5">
        <w:t>[83]</w:t>
      </w:r>
      <w:r w:rsidR="00310653">
        <w:rPr>
          <w:szCs w:val="24"/>
        </w:rPr>
        <w:fldChar w:fldCharType="end"/>
      </w:r>
      <w:r w:rsidRPr="00145C6F">
        <w:rPr>
          <w:szCs w:val="24"/>
        </w:rPr>
        <w:t>. The overall impact of thousands of nonlinear loads, however, is best addressed through facility-level harmonic analysis and mitigation.</w:t>
      </w:r>
    </w:p>
    <w:p w14:paraId="3D69B493" w14:textId="43379D4D" w:rsidR="00540990" w:rsidRDefault="00540990" w:rsidP="00540990">
      <w:pPr>
        <w:pStyle w:val="Heading20"/>
        <w:rPr>
          <w:color w:val="auto"/>
        </w:rPr>
      </w:pPr>
      <w:r>
        <w:rPr>
          <w:color w:val="auto"/>
        </w:rPr>
        <w:t>3.6. Metering and Monitoring Systems</w:t>
      </w:r>
    </w:p>
    <w:p w14:paraId="086A4EF7" w14:textId="14A53DBE" w:rsidR="00540990" w:rsidRPr="00B83856" w:rsidRDefault="00E14DE0" w:rsidP="00866BB5">
      <w:pPr>
        <w:spacing w:after="120"/>
        <w:ind w:firstLine="480"/>
        <w:rPr>
          <w:szCs w:val="24"/>
        </w:rPr>
      </w:pPr>
      <w:r w:rsidRPr="00B83856">
        <w:rPr>
          <w:szCs w:val="24"/>
        </w:rPr>
        <w:t>Energy management and optimization are built on comprehensive metering and monitoring infrastructure, which ensures real-time data foundation. Revenue-grade power meters are usually ANSI C12.20 Class 0.2 accuracy and are used at key distribution points such as utility interconnections, generator outputs, UPS inputs and outputs, and PDU feed circuits</w:t>
      </w:r>
      <w:r w:rsidR="00AD1F07">
        <w:rPr>
          <w:szCs w:val="24"/>
        </w:rPr>
        <w:fldChar w:fldCharType="begin"/>
      </w:r>
      <w:r w:rsidR="00866BB5">
        <w:rPr>
          <w:szCs w:val="24"/>
        </w:rPr>
        <w:instrText xml:space="preserve"> ADDIN ZOTERO_ITEM CSL_CITATION {"citationID":"auJULgbp","properties":{"unsorted":false,"formattedCitation":"[84]","plainCitation":"[84]","noteIndex":0},"citationItems":[{"id":2043,"uris":["http://zotero.org/users/9870935/items/S5A8TX2F"],"itemData":{"id":2043,"type":"paper-conference","container-title":"2007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sidR="00AD1F07">
        <w:rPr>
          <w:szCs w:val="24"/>
        </w:rPr>
        <w:fldChar w:fldCharType="separate"/>
      </w:r>
      <w:r w:rsidR="00866BB5" w:rsidRPr="00866BB5">
        <w:t>[84]</w:t>
      </w:r>
      <w:r w:rsidR="00AD1F07">
        <w:rPr>
          <w:szCs w:val="24"/>
        </w:rPr>
        <w:fldChar w:fldCharType="end"/>
      </w:r>
      <w:r w:rsidRPr="00B83856">
        <w:rPr>
          <w:szCs w:val="24"/>
        </w:rPr>
        <w:t>. Today's energy management systems (EMS) are designed to collect data from hundreds or thousands of metering points, give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optimization, such as identifying lost energy in equipment not being used, tracking unusual energy use patterns which can signify equipment deterioration, and comparing actual energy use to predicted energy use based on weather, occupancy, and workload parameters</w:t>
      </w:r>
      <w:r w:rsidR="008B5AA3">
        <w:rPr>
          <w:szCs w:val="24"/>
        </w:rPr>
        <w:fldChar w:fldCharType="begin"/>
      </w:r>
      <w:r w:rsidR="00866BB5">
        <w:rPr>
          <w:szCs w:val="24"/>
        </w:rPr>
        <w:instrText xml:space="preserve"> ADDIN ZOTERO_ITEM CSL_CITATION {"citationID":"ZVmq8j39","properties":{"unsorted":false,"formattedCitation":"[85]","plainCitation":"[85]","noteIndex":0},"citationItems":[{"id":2044,"uris":["http://zotero.org/users/9870935/items/6R3YK6PU"],"itemData":{"id":2044,"type":"article","abstract":"The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sidR="008B5AA3">
        <w:rPr>
          <w:szCs w:val="24"/>
        </w:rPr>
        <w:fldChar w:fldCharType="separate"/>
      </w:r>
      <w:r w:rsidR="00866BB5" w:rsidRPr="00866BB5">
        <w:t>[85]</w:t>
      </w:r>
      <w:r w:rsidR="008B5AA3">
        <w:rPr>
          <w:szCs w:val="24"/>
        </w:rPr>
        <w:fldChar w:fldCharType="end"/>
      </w:r>
      <w:r w:rsidRPr="00B83856">
        <w:rPr>
          <w:szCs w:val="24"/>
        </w:rPr>
        <w:t>. Machine learning algorithms have been shown to lower cooling energy use by 15-30</w:t>
      </w:r>
      <w:r w:rsidR="00E07028">
        <w:rPr>
          <w:szCs w:val="24"/>
        </w:rPr>
        <w:t xml:space="preserve">% </w:t>
      </w:r>
      <w:r w:rsidRPr="00B83856">
        <w:rPr>
          <w:szCs w:val="24"/>
        </w:rPr>
        <w:t>by optimizing setpoints and scheduling equipment in EMS</w:t>
      </w:r>
      <w:r w:rsidR="0043037D">
        <w:rPr>
          <w:szCs w:val="24"/>
        </w:rPr>
        <w:fldChar w:fldCharType="begin"/>
      </w:r>
      <w:r w:rsidR="00866BB5">
        <w:rPr>
          <w:szCs w:val="24"/>
        </w:rPr>
        <w:instrText xml:space="preserve"> ADDIN ZOTERO_ITEM CSL_CITATION {"citationID":"yq9cwOWS","properties":{"unsorted":false,"formattedCitation":"[86]","plainCitation":"[86]","noteIndex":0},"citationItems":[{"id":2046,"uris":["http://zotero.org/users/9870935/items/P4BXZMCV"],"itemData":{"id":2046,"type":"article","abstract":"Data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43037D">
        <w:rPr>
          <w:szCs w:val="24"/>
        </w:rPr>
        <w:fldChar w:fldCharType="separate"/>
      </w:r>
      <w:r w:rsidR="00866BB5" w:rsidRPr="00866BB5">
        <w:t>[86]</w:t>
      </w:r>
      <w:r w:rsidR="0043037D">
        <w:rPr>
          <w:szCs w:val="24"/>
        </w:rPr>
        <w:fldChar w:fldCharType="end"/>
      </w:r>
      <w:r w:rsidRPr="00B83856">
        <w:rPr>
          <w:szCs w:val="24"/>
        </w:rPr>
        <w:t>.</w:t>
      </w:r>
    </w:p>
    <w:p w14:paraId="24571207" w14:textId="1D40CE07" w:rsidR="00495A80" w:rsidRDefault="00495A80" w:rsidP="00495A80">
      <w:pPr>
        <w:pStyle w:val="Heading10"/>
        <w:rPr>
          <w:color w:val="auto"/>
        </w:rPr>
      </w:pPr>
      <w:r>
        <w:rPr>
          <w:color w:val="auto"/>
          <w:lang w:eastAsia="zh-CN"/>
        </w:rPr>
        <w:t xml:space="preserve">4. </w:t>
      </w:r>
      <w:r>
        <w:rPr>
          <w:color w:val="auto"/>
        </w:rPr>
        <w:t>Renewable Energy Resources and Assessment</w:t>
      </w:r>
    </w:p>
    <w:p w14:paraId="1B5F4435" w14:textId="157F6CB5" w:rsidR="00EE5514" w:rsidRDefault="00EE5514" w:rsidP="00EE5514">
      <w:pPr>
        <w:spacing w:after="120"/>
        <w:ind w:firstLine="480"/>
      </w:pPr>
      <w:r>
        <w:t xml:space="preserve">This </w:t>
      </w:r>
      <w:r w:rsidR="002068F4">
        <w:t>section</w:t>
      </w:r>
      <w:r>
        <w:t xml:space="preserve"> characterizes the solar, wind, and hydroelectric resources available for data center integration, along with the methodologies used to assess these resources and quantify </w:t>
      </w:r>
      <w:r>
        <w:lastRenderedPageBreak/>
        <w:t>their variability. Understanding resource characteristics is fundamental to optimal technology selection, system sizing, and operational strategy development for renewable-powered data centers.</w:t>
      </w:r>
    </w:p>
    <w:p w14:paraId="39317912" w14:textId="562CB53D" w:rsidR="00EE5514" w:rsidRDefault="00EE5514" w:rsidP="00EE5514">
      <w:pPr>
        <w:pStyle w:val="Heading20"/>
        <w:rPr>
          <w:color w:val="auto"/>
        </w:rPr>
      </w:pPr>
      <w:r>
        <w:rPr>
          <w:color w:val="auto"/>
        </w:rPr>
        <w:t>4.1. Solar Photovoltaic Systems</w:t>
      </w:r>
    </w:p>
    <w:p w14:paraId="3B7C61CB" w14:textId="64B7AEC6" w:rsidR="00C071A1" w:rsidRPr="00C071A1" w:rsidRDefault="00C071A1" w:rsidP="00BB1439">
      <w:pPr>
        <w:spacing w:after="120"/>
        <w:ind w:firstLine="480"/>
      </w:pPr>
      <w:r w:rsidRPr="00C071A1">
        <w:t>PV is now the least expensive renewable energy option in most geographies for data centers where the sun shines. Currently available monocrystalline modules in the commercial market have efficiencies of 20–23%, while high-efficiency modules with heterojunction (HJT) or tunnel oxide passivated contact (TOPCon)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2010 benchmarks [14]. This downward cost trajectory is sustained by industry capacity, with IRENA’s latest 24/7 power analytics projecting an additional 30% reduction in firm solar-plus-storage configuration costs by 2030, eventually dipping beyond 40% by 2035</w:t>
      </w:r>
      <w:r w:rsidR="00BB1439">
        <w:fldChar w:fldCharType="begin"/>
      </w:r>
      <w:r w:rsidR="00BB1439">
        <w:instrText xml:space="preserve"> ADDIN ZOTERO_ITEM CSL_CITATION {"citationID":"Cv3TnBxB","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sidR="00BB1439">
        <w:fldChar w:fldCharType="separate"/>
      </w:r>
      <w:r w:rsidR="00BB1439" w:rsidRPr="00BB1439">
        <w:t>[36]</w:t>
      </w:r>
      <w:r w:rsidR="00BB1439">
        <w:fldChar w:fldCharType="end"/>
      </w:r>
      <w:r w:rsidRPr="00C071A1">
        <w:t>.</w:t>
      </w:r>
    </w:p>
    <w:p w14:paraId="2DC0819D" w14:textId="6EE2258F" w:rsidR="00C071A1" w:rsidRDefault="00C071A1" w:rsidP="00866BB5">
      <w:pPr>
        <w:spacing w:after="120"/>
        <w:ind w:firstLine="480"/>
      </w:pPr>
      <w:r w:rsidRPr="00C071A1">
        <w:t>The geographic variability of solar capacity factors is high, with values ranging from 13</w:t>
      </w:r>
      <w:r w:rsidR="009C775C">
        <w:t>-</w:t>
      </w:r>
      <w:r w:rsidRPr="00C071A1">
        <w:t>17</w:t>
      </w:r>
      <w:r w:rsidR="009C775C">
        <w:t xml:space="preserve">% </w:t>
      </w:r>
      <w:r w:rsidRPr="00C071A1">
        <w:t>in the northern part of Europe and the Pacific Northwest, to 25</w:t>
      </w:r>
      <w:r w:rsidR="000C1B14">
        <w:t>-</w:t>
      </w:r>
      <w:r w:rsidRPr="00C071A1">
        <w:t>30</w:t>
      </w:r>
      <w:r w:rsidR="000C1B14">
        <w:t xml:space="preserve">% </w:t>
      </w:r>
      <w:r w:rsidRPr="00C071A1">
        <w:t>in the desert Southwest of the U.S. and arid areas of the Middle East and North Africa</w:t>
      </w:r>
      <w:r w:rsidR="002A0616">
        <w:fldChar w:fldCharType="begin"/>
      </w:r>
      <w:r w:rsidR="00866BB5">
        <w:instrText xml:space="preserve"> ADDIN ZOTERO_ITEM CSL_CITATION {"citationID":"HbEEfmjc","properties":{"unsorted":false,"formattedCitation":"[87]","plainCitation":"[87]","noteIndex":0},"citationItems":[{"id":2048,"uris":["http://zotero.org/users/9870935/items/2IV8CPDJ"],"itemData":{"id":2048,"type":"post-weblog","title":"National Renewable Energy Laboratory (NREL). (2026)","URL":"https://atb.nrel.gov/","author":[{"family":"NREL","given":""}]}}],"schema":"https://github.com/citation-style-language/schema/raw/master/csl-citation.json"} </w:instrText>
      </w:r>
      <w:r w:rsidR="002A0616">
        <w:fldChar w:fldCharType="separate"/>
      </w:r>
      <w:r w:rsidR="00866BB5" w:rsidRPr="00866BB5">
        <w:t>[87]</w:t>
      </w:r>
      <w:r w:rsidR="002A0616">
        <w:fldChar w:fldCharType="end"/>
      </w:r>
      <w:r w:rsidRPr="00C071A1">
        <w:t>. NREL's Annual Technology Baseline reports net capacity factors spanning 21</w:t>
      </w:r>
      <w:r w:rsidR="00614114">
        <w:t>-</w:t>
      </w:r>
      <w:r w:rsidRPr="00C071A1">
        <w:t>34</w:t>
      </w:r>
      <w:r w:rsidR="00614114">
        <w:t>%</w:t>
      </w:r>
      <w:r w:rsidR="005117D6">
        <w:t xml:space="preserve"> </w:t>
      </w:r>
      <w:r w:rsidRPr="00C071A1">
        <w:t>for utility-scale PV across solar resource classes</w:t>
      </w:r>
      <w:r w:rsidR="000E4885">
        <w:fldChar w:fldCharType="begin"/>
      </w:r>
      <w:r w:rsidR="00866BB5">
        <w:instrText xml:space="preserve"> ADDIN ZOTERO_ITEM CSL_CITATION {"citationID":"JNDExKFF","properties":{"unsorted":false,"formattedCitation":"[88]","plainCitation":"[88]","noteIndex":0},"citationItems":[{"id":2049,"uris":["http://zotero.org/users/9870935/items/HTQQE34D"],"itemData":{"id":2049,"type":"post-weblog","title":"National Renewable Energy Laboratory (NREL)","URL":"https://www.google.com/search?q=https://atb.nrel.gov/electricity","author":[{"family":"NREL","given":""}]}}],"schema":"https://github.com/citation-style-language/schema/raw/master/csl-citation.json"} </w:instrText>
      </w:r>
      <w:r w:rsidR="000E4885">
        <w:fldChar w:fldCharType="separate"/>
      </w:r>
      <w:r w:rsidR="00866BB5" w:rsidRPr="00866BB5">
        <w:t>[88]</w:t>
      </w:r>
      <w:r w:rsidR="000E4885">
        <w:fldChar w:fldCharType="end"/>
      </w:r>
      <w:r w:rsidRPr="00C071A1">
        <w:t>. The performance of the inverter is a key factor; modern string and central inverters provide weighted average efficiencies of 95</w:t>
      </w:r>
      <w:r w:rsidR="004A6040">
        <w:t>-</w:t>
      </w:r>
      <w:r w:rsidRPr="00C071A1">
        <w:t>98.5</w:t>
      </w:r>
      <w:r w:rsidR="004A6040">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rsidR="003A6352">
        <w:fldChar w:fldCharType="begin"/>
      </w:r>
      <w:r w:rsidR="00866BB5">
        <w:instrText xml:space="preserve"> ADDIN ZOTERO_ITEM CSL_CITATION {"citationID":"XP0P73le","properties":{"unsorted":false,"formattedCitation":"[89]","plainCitation":"[89]","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rsidR="003A6352">
        <w:fldChar w:fldCharType="separate"/>
      </w:r>
      <w:r w:rsidR="00866BB5" w:rsidRPr="00866BB5">
        <w:t>[89]</w:t>
      </w:r>
      <w:r w:rsidR="003A6352">
        <w:fldChar w:fldCharType="end"/>
      </w:r>
      <w:r w:rsidRPr="00C071A1">
        <w:t>.</w:t>
      </w:r>
    </w:p>
    <w:p w14:paraId="204763E3" w14:textId="4847701D" w:rsidR="00BC16C4" w:rsidRDefault="00BC16C4" w:rsidP="00BC16C4">
      <w:pPr>
        <w:pStyle w:val="Caption"/>
        <w:keepNext/>
      </w:pPr>
      <w:r>
        <w:t xml:space="preserve">Table </w:t>
      </w:r>
      <w:r w:rsidR="002C06D9">
        <w:fldChar w:fldCharType="begin"/>
      </w:r>
      <w:r w:rsidR="002C06D9">
        <w:instrText xml:space="preserve"> SEQ Table \* ARABIC </w:instrText>
      </w:r>
      <w:r w:rsidR="002C06D9">
        <w:fldChar w:fldCharType="separate"/>
      </w:r>
      <w:r w:rsidR="00FF5DCC">
        <w:rPr>
          <w:noProof/>
        </w:rPr>
        <w:t>2</w:t>
      </w:r>
      <w:r w:rsidR="002C06D9">
        <w:rPr>
          <w:noProof/>
        </w:rPr>
        <w:fldChar w:fldCharType="end"/>
      </w:r>
      <w:r>
        <w:t xml:space="preserve"> Solar PV capacity factors by U.S. region</w:t>
      </w:r>
    </w:p>
    <w:tbl>
      <w:tblPr>
        <w:tblStyle w:val="Mdeck5tablebodythreelines"/>
        <w:tblW w:w="0" w:type="auto"/>
        <w:tblLook w:val="04A0" w:firstRow="1" w:lastRow="0" w:firstColumn="1" w:lastColumn="0" w:noHBand="0" w:noVBand="1"/>
      </w:tblPr>
      <w:tblGrid>
        <w:gridCol w:w="2683"/>
        <w:gridCol w:w="1583"/>
        <w:gridCol w:w="1304"/>
        <w:gridCol w:w="1303"/>
        <w:gridCol w:w="1971"/>
      </w:tblGrid>
      <w:tr w:rsidR="00877478" w:rsidRPr="00877478" w14:paraId="2702E625"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2EB7826E" w14:textId="77777777" w:rsidR="00877478" w:rsidRPr="00CC7EAF" w:rsidRDefault="00877478" w:rsidP="00CC7EAF">
            <w:pPr>
              <w:pStyle w:val="TableBody"/>
              <w:rPr>
                <w:b/>
                <w:bCs/>
                <w:color w:val="auto"/>
                <w:lang w:val="en-US"/>
              </w:rPr>
            </w:pPr>
            <w:r w:rsidRPr="00CC7EAF">
              <w:rPr>
                <w:b/>
                <w:bCs/>
                <w:color w:val="auto"/>
                <w:lang w:val="en-US"/>
              </w:rPr>
              <w:t>Region</w:t>
            </w:r>
          </w:p>
        </w:tc>
        <w:tc>
          <w:tcPr>
            <w:tcW w:w="0" w:type="auto"/>
            <w:hideMark/>
          </w:tcPr>
          <w:p w14:paraId="51137846" w14:textId="77777777" w:rsidR="00877478" w:rsidRPr="00CC7EAF" w:rsidRDefault="00877478" w:rsidP="00CC7EAF">
            <w:pPr>
              <w:pStyle w:val="TableBody"/>
              <w:rPr>
                <w:b/>
                <w:bCs/>
                <w:color w:val="auto"/>
                <w:lang w:val="en-US"/>
              </w:rPr>
            </w:pPr>
            <w:r w:rsidRPr="00CC7EAF">
              <w:rPr>
                <w:b/>
                <w:bCs/>
                <w:color w:val="auto"/>
                <w:lang w:val="en-US"/>
              </w:rPr>
              <w:t>Annual CF (%)</w:t>
            </w:r>
          </w:p>
        </w:tc>
        <w:tc>
          <w:tcPr>
            <w:tcW w:w="0" w:type="auto"/>
            <w:hideMark/>
          </w:tcPr>
          <w:p w14:paraId="72F9E5C0" w14:textId="77777777" w:rsidR="00877478" w:rsidRPr="00CC7EAF" w:rsidRDefault="00877478" w:rsidP="00CC7EAF">
            <w:pPr>
              <w:pStyle w:val="TableBody"/>
              <w:rPr>
                <w:b/>
                <w:bCs/>
                <w:color w:val="auto"/>
                <w:lang w:val="en-US"/>
              </w:rPr>
            </w:pPr>
            <w:r w:rsidRPr="00CC7EAF">
              <w:rPr>
                <w:b/>
                <w:bCs/>
                <w:color w:val="auto"/>
                <w:lang w:val="en-US"/>
              </w:rPr>
              <w:t>Peak Month</w:t>
            </w:r>
          </w:p>
        </w:tc>
        <w:tc>
          <w:tcPr>
            <w:tcW w:w="0" w:type="auto"/>
            <w:hideMark/>
          </w:tcPr>
          <w:p w14:paraId="77EFEC29" w14:textId="77777777" w:rsidR="00877478" w:rsidRPr="00CC7EAF" w:rsidRDefault="00877478" w:rsidP="00CC7EAF">
            <w:pPr>
              <w:pStyle w:val="TableBody"/>
              <w:rPr>
                <w:b/>
                <w:bCs/>
                <w:color w:val="auto"/>
                <w:lang w:val="en-US"/>
              </w:rPr>
            </w:pPr>
            <w:r w:rsidRPr="00CC7EAF">
              <w:rPr>
                <w:b/>
                <w:bCs/>
                <w:color w:val="auto"/>
                <w:lang w:val="en-US"/>
              </w:rPr>
              <w:t>Low Month</w:t>
            </w:r>
          </w:p>
        </w:tc>
        <w:tc>
          <w:tcPr>
            <w:tcW w:w="0" w:type="auto"/>
            <w:hideMark/>
          </w:tcPr>
          <w:p w14:paraId="4A43D303" w14:textId="77777777" w:rsidR="00877478" w:rsidRPr="00CC7EAF" w:rsidRDefault="00877478" w:rsidP="00CC7EAF">
            <w:pPr>
              <w:pStyle w:val="TableBody"/>
              <w:rPr>
                <w:b/>
                <w:bCs/>
                <w:color w:val="auto"/>
                <w:lang w:val="en-US"/>
              </w:rPr>
            </w:pPr>
            <w:r w:rsidRPr="00CC7EAF">
              <w:rPr>
                <w:b/>
                <w:bCs/>
                <w:color w:val="auto"/>
                <w:lang w:val="en-US"/>
              </w:rPr>
              <w:t>Installed Cost ($/W)</w:t>
            </w:r>
          </w:p>
        </w:tc>
      </w:tr>
      <w:tr w:rsidR="00877478" w:rsidRPr="00877478" w14:paraId="4D0A1E11" w14:textId="77777777" w:rsidTr="00CC7EAF">
        <w:tc>
          <w:tcPr>
            <w:tcW w:w="0" w:type="auto"/>
            <w:hideMark/>
          </w:tcPr>
          <w:p w14:paraId="3543DAEE" w14:textId="77777777" w:rsidR="00877478" w:rsidRPr="00CC7EAF" w:rsidRDefault="00877478" w:rsidP="00CC7EAF">
            <w:pPr>
              <w:pStyle w:val="TableBody"/>
              <w:rPr>
                <w:b/>
                <w:bCs/>
                <w:color w:val="auto"/>
                <w:lang w:val="en-US"/>
              </w:rPr>
            </w:pPr>
            <w:r w:rsidRPr="00CC7EAF">
              <w:rPr>
                <w:b/>
                <w:bCs/>
                <w:color w:val="auto"/>
                <w:lang w:val="en-US"/>
              </w:rPr>
              <w:t>Southwest (AZ, NM, NV)</w:t>
            </w:r>
          </w:p>
        </w:tc>
        <w:tc>
          <w:tcPr>
            <w:tcW w:w="0" w:type="auto"/>
            <w:hideMark/>
          </w:tcPr>
          <w:p w14:paraId="0732ACDD" w14:textId="77777777" w:rsidR="00877478" w:rsidRPr="00CC7EAF" w:rsidRDefault="00877478" w:rsidP="00CC7EAF">
            <w:pPr>
              <w:pStyle w:val="TableBody"/>
              <w:rPr>
                <w:b/>
                <w:bCs/>
                <w:color w:val="auto"/>
                <w:lang w:val="en-US"/>
              </w:rPr>
            </w:pPr>
            <w:r w:rsidRPr="00CC7EAF">
              <w:rPr>
                <w:b/>
                <w:bCs/>
                <w:color w:val="auto"/>
                <w:lang w:val="en-US"/>
              </w:rPr>
              <w:t>25–30%</w:t>
            </w:r>
          </w:p>
        </w:tc>
        <w:tc>
          <w:tcPr>
            <w:tcW w:w="0" w:type="auto"/>
            <w:hideMark/>
          </w:tcPr>
          <w:p w14:paraId="3E1E49F1"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2B076A1C"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67E798E" w14:textId="77777777" w:rsidR="00877478" w:rsidRPr="00CC7EAF" w:rsidRDefault="00877478" w:rsidP="00CC7EAF">
            <w:pPr>
              <w:pStyle w:val="TableBody"/>
              <w:rPr>
                <w:b/>
                <w:bCs/>
                <w:color w:val="auto"/>
                <w:lang w:val="en-US"/>
              </w:rPr>
            </w:pPr>
            <w:r w:rsidRPr="00CC7EAF">
              <w:rPr>
                <w:b/>
                <w:bCs/>
                <w:color w:val="auto"/>
                <w:lang w:val="en-US"/>
              </w:rPr>
              <w:t>$0.70–$0.90</w:t>
            </w:r>
          </w:p>
        </w:tc>
      </w:tr>
      <w:tr w:rsidR="00877478" w:rsidRPr="00877478" w14:paraId="70ED58A4" w14:textId="77777777" w:rsidTr="00CC7EAF">
        <w:tc>
          <w:tcPr>
            <w:tcW w:w="0" w:type="auto"/>
            <w:hideMark/>
          </w:tcPr>
          <w:p w14:paraId="18305815" w14:textId="77777777" w:rsidR="00877478" w:rsidRPr="00CC7EAF" w:rsidRDefault="00877478" w:rsidP="00CC7EAF">
            <w:pPr>
              <w:pStyle w:val="TableBody"/>
              <w:rPr>
                <w:b/>
                <w:bCs/>
                <w:color w:val="auto"/>
                <w:lang w:val="en-US"/>
              </w:rPr>
            </w:pPr>
            <w:r w:rsidRPr="00CC7EAF">
              <w:rPr>
                <w:b/>
                <w:bCs/>
                <w:color w:val="auto"/>
                <w:lang w:val="en-US"/>
              </w:rPr>
              <w:t>Southeast (FL, TX, GA)</w:t>
            </w:r>
          </w:p>
        </w:tc>
        <w:tc>
          <w:tcPr>
            <w:tcW w:w="0" w:type="auto"/>
            <w:hideMark/>
          </w:tcPr>
          <w:p w14:paraId="11AFD24F" w14:textId="77777777" w:rsidR="00877478" w:rsidRPr="00CC7EAF" w:rsidRDefault="00877478" w:rsidP="00CC7EAF">
            <w:pPr>
              <w:pStyle w:val="TableBody"/>
              <w:rPr>
                <w:b/>
                <w:bCs/>
                <w:color w:val="auto"/>
                <w:lang w:val="en-US"/>
              </w:rPr>
            </w:pPr>
            <w:r w:rsidRPr="00CC7EAF">
              <w:rPr>
                <w:b/>
                <w:bCs/>
                <w:color w:val="auto"/>
                <w:lang w:val="en-US"/>
              </w:rPr>
              <w:t>18–22%</w:t>
            </w:r>
          </w:p>
        </w:tc>
        <w:tc>
          <w:tcPr>
            <w:tcW w:w="0" w:type="auto"/>
            <w:hideMark/>
          </w:tcPr>
          <w:p w14:paraId="2123C86A" w14:textId="77777777" w:rsidR="00877478" w:rsidRPr="00CC7EAF" w:rsidRDefault="00877478" w:rsidP="00CC7EAF">
            <w:pPr>
              <w:pStyle w:val="TableBody"/>
              <w:rPr>
                <w:b/>
                <w:bCs/>
                <w:color w:val="auto"/>
                <w:lang w:val="en-US"/>
              </w:rPr>
            </w:pPr>
            <w:r w:rsidRPr="00CC7EAF">
              <w:rPr>
                <w:b/>
                <w:bCs/>
                <w:color w:val="auto"/>
                <w:lang w:val="en-US"/>
              </w:rPr>
              <w:t>May</w:t>
            </w:r>
          </w:p>
        </w:tc>
        <w:tc>
          <w:tcPr>
            <w:tcW w:w="0" w:type="auto"/>
            <w:hideMark/>
          </w:tcPr>
          <w:p w14:paraId="74CC4852"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BFF6C5F" w14:textId="77777777" w:rsidR="00877478" w:rsidRPr="00CC7EAF" w:rsidRDefault="00877478" w:rsidP="00CC7EAF">
            <w:pPr>
              <w:pStyle w:val="TableBody"/>
              <w:rPr>
                <w:b/>
                <w:bCs/>
                <w:color w:val="auto"/>
                <w:lang w:val="en-US"/>
              </w:rPr>
            </w:pPr>
            <w:r w:rsidRPr="00CC7EAF">
              <w:rPr>
                <w:b/>
                <w:bCs/>
                <w:color w:val="auto"/>
                <w:lang w:val="en-US"/>
              </w:rPr>
              <w:t>$0.80–$1.05</w:t>
            </w:r>
          </w:p>
        </w:tc>
      </w:tr>
      <w:tr w:rsidR="00877478" w:rsidRPr="00877478" w14:paraId="76BBEEBE" w14:textId="77777777" w:rsidTr="00CC7EAF">
        <w:tc>
          <w:tcPr>
            <w:tcW w:w="0" w:type="auto"/>
            <w:hideMark/>
          </w:tcPr>
          <w:p w14:paraId="5C6E8D81" w14:textId="77777777" w:rsidR="00877478" w:rsidRPr="00CC7EAF" w:rsidRDefault="00877478" w:rsidP="00CC7EAF">
            <w:pPr>
              <w:pStyle w:val="TableBody"/>
              <w:rPr>
                <w:b/>
                <w:bCs/>
                <w:color w:val="auto"/>
                <w:lang w:val="en-US"/>
              </w:rPr>
            </w:pPr>
            <w:r w:rsidRPr="00CC7EAF">
              <w:rPr>
                <w:b/>
                <w:bCs/>
                <w:color w:val="auto"/>
                <w:lang w:val="en-US"/>
              </w:rPr>
              <w:t>Midwest (IL, MN)</w:t>
            </w:r>
          </w:p>
        </w:tc>
        <w:tc>
          <w:tcPr>
            <w:tcW w:w="0" w:type="auto"/>
            <w:hideMark/>
          </w:tcPr>
          <w:p w14:paraId="18376682" w14:textId="77777777" w:rsidR="00877478" w:rsidRPr="00CC7EAF" w:rsidRDefault="00877478" w:rsidP="00CC7EAF">
            <w:pPr>
              <w:pStyle w:val="TableBody"/>
              <w:rPr>
                <w:b/>
                <w:bCs/>
                <w:color w:val="auto"/>
                <w:lang w:val="en-US"/>
              </w:rPr>
            </w:pPr>
            <w:r w:rsidRPr="00CC7EAF">
              <w:rPr>
                <w:b/>
                <w:bCs/>
                <w:color w:val="auto"/>
                <w:lang w:val="en-US"/>
              </w:rPr>
              <w:t>15–19%</w:t>
            </w:r>
          </w:p>
        </w:tc>
        <w:tc>
          <w:tcPr>
            <w:tcW w:w="0" w:type="auto"/>
            <w:hideMark/>
          </w:tcPr>
          <w:p w14:paraId="20643822"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3FCA3EF4"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4CDDDEDF" w14:textId="77777777" w:rsidR="00877478" w:rsidRPr="00CC7EAF" w:rsidRDefault="00877478" w:rsidP="00CC7EAF">
            <w:pPr>
              <w:pStyle w:val="TableBody"/>
              <w:rPr>
                <w:b/>
                <w:bCs/>
                <w:color w:val="auto"/>
                <w:lang w:val="en-US"/>
              </w:rPr>
            </w:pPr>
            <w:r w:rsidRPr="00CC7EAF">
              <w:rPr>
                <w:b/>
                <w:bCs/>
                <w:color w:val="auto"/>
                <w:lang w:val="en-US"/>
              </w:rPr>
              <w:t>$0.80–$1.05</w:t>
            </w:r>
          </w:p>
        </w:tc>
      </w:tr>
      <w:tr w:rsidR="00877478" w:rsidRPr="00877478" w14:paraId="3BBBAE2D" w14:textId="77777777" w:rsidTr="00CC7EAF">
        <w:tc>
          <w:tcPr>
            <w:tcW w:w="0" w:type="auto"/>
            <w:hideMark/>
          </w:tcPr>
          <w:p w14:paraId="22C2F825" w14:textId="77777777" w:rsidR="00877478" w:rsidRPr="00CC7EAF" w:rsidRDefault="00877478" w:rsidP="00CC7EAF">
            <w:pPr>
              <w:pStyle w:val="TableBody"/>
              <w:rPr>
                <w:b/>
                <w:bCs/>
                <w:color w:val="auto"/>
                <w:lang w:val="en-US"/>
              </w:rPr>
            </w:pPr>
            <w:r w:rsidRPr="00CC7EAF">
              <w:rPr>
                <w:b/>
                <w:bCs/>
                <w:color w:val="auto"/>
                <w:lang w:val="en-US"/>
              </w:rPr>
              <w:t>Mid-Atlantic (NC, VA)</w:t>
            </w:r>
          </w:p>
        </w:tc>
        <w:tc>
          <w:tcPr>
            <w:tcW w:w="0" w:type="auto"/>
            <w:hideMark/>
          </w:tcPr>
          <w:p w14:paraId="2CB66681" w14:textId="77777777" w:rsidR="00877478" w:rsidRPr="00CC7EAF" w:rsidRDefault="00877478" w:rsidP="00CC7EAF">
            <w:pPr>
              <w:pStyle w:val="TableBody"/>
              <w:rPr>
                <w:b/>
                <w:bCs/>
                <w:color w:val="auto"/>
                <w:lang w:val="en-US"/>
              </w:rPr>
            </w:pPr>
            <w:r w:rsidRPr="00CC7EAF">
              <w:rPr>
                <w:b/>
                <w:bCs/>
                <w:color w:val="auto"/>
                <w:lang w:val="en-US"/>
              </w:rPr>
              <w:t>17–20%</w:t>
            </w:r>
          </w:p>
        </w:tc>
        <w:tc>
          <w:tcPr>
            <w:tcW w:w="0" w:type="auto"/>
            <w:hideMark/>
          </w:tcPr>
          <w:p w14:paraId="6C872C24" w14:textId="77777777" w:rsidR="00877478" w:rsidRPr="00CC7EAF" w:rsidRDefault="00877478" w:rsidP="00CC7EAF">
            <w:pPr>
              <w:pStyle w:val="TableBody"/>
              <w:rPr>
                <w:b/>
                <w:bCs/>
                <w:color w:val="auto"/>
                <w:lang w:val="en-US"/>
              </w:rPr>
            </w:pPr>
            <w:r w:rsidRPr="00CC7EAF">
              <w:rPr>
                <w:b/>
                <w:bCs/>
                <w:color w:val="auto"/>
                <w:lang w:val="en-US"/>
              </w:rPr>
              <w:t>July</w:t>
            </w:r>
          </w:p>
        </w:tc>
        <w:tc>
          <w:tcPr>
            <w:tcW w:w="0" w:type="auto"/>
            <w:hideMark/>
          </w:tcPr>
          <w:p w14:paraId="18B553A5"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7F56B070" w14:textId="77777777" w:rsidR="00877478" w:rsidRPr="00CC7EAF" w:rsidRDefault="00877478" w:rsidP="00CC7EAF">
            <w:pPr>
              <w:pStyle w:val="TableBody"/>
              <w:rPr>
                <w:b/>
                <w:bCs/>
                <w:color w:val="auto"/>
                <w:lang w:val="en-US"/>
              </w:rPr>
            </w:pPr>
            <w:r w:rsidRPr="00CC7EAF">
              <w:rPr>
                <w:b/>
                <w:bCs/>
                <w:color w:val="auto"/>
                <w:lang w:val="en-US"/>
              </w:rPr>
              <w:t>$0.85–$1.10</w:t>
            </w:r>
          </w:p>
        </w:tc>
      </w:tr>
      <w:tr w:rsidR="00877478" w:rsidRPr="00877478" w14:paraId="053E006E" w14:textId="77777777" w:rsidTr="00CC7EAF">
        <w:tc>
          <w:tcPr>
            <w:tcW w:w="0" w:type="auto"/>
            <w:hideMark/>
          </w:tcPr>
          <w:p w14:paraId="2A15C6FF" w14:textId="77777777" w:rsidR="00877478" w:rsidRPr="00CC7EAF" w:rsidRDefault="00877478" w:rsidP="00CC7EAF">
            <w:pPr>
              <w:pStyle w:val="TableBody"/>
              <w:rPr>
                <w:b/>
                <w:bCs/>
                <w:color w:val="auto"/>
                <w:lang w:val="en-US"/>
              </w:rPr>
            </w:pPr>
            <w:r w:rsidRPr="00CC7EAF">
              <w:rPr>
                <w:b/>
                <w:bCs/>
                <w:color w:val="auto"/>
                <w:lang w:val="en-US"/>
              </w:rPr>
              <w:t>Pacific Northwest (WA, OR)</w:t>
            </w:r>
          </w:p>
        </w:tc>
        <w:tc>
          <w:tcPr>
            <w:tcW w:w="0" w:type="auto"/>
            <w:hideMark/>
          </w:tcPr>
          <w:p w14:paraId="207FE587" w14:textId="77777777" w:rsidR="00877478" w:rsidRPr="00CC7EAF" w:rsidRDefault="00877478" w:rsidP="00CC7EAF">
            <w:pPr>
              <w:pStyle w:val="TableBody"/>
              <w:rPr>
                <w:b/>
                <w:bCs/>
                <w:color w:val="auto"/>
                <w:lang w:val="en-US"/>
              </w:rPr>
            </w:pPr>
            <w:r w:rsidRPr="00CC7EAF">
              <w:rPr>
                <w:b/>
                <w:bCs/>
                <w:color w:val="auto"/>
                <w:lang w:val="en-US"/>
              </w:rPr>
              <w:t>13–16%</w:t>
            </w:r>
          </w:p>
        </w:tc>
        <w:tc>
          <w:tcPr>
            <w:tcW w:w="0" w:type="auto"/>
            <w:hideMark/>
          </w:tcPr>
          <w:p w14:paraId="65952B0E" w14:textId="77777777" w:rsidR="00877478" w:rsidRPr="00CC7EAF" w:rsidRDefault="00877478" w:rsidP="00CC7EAF">
            <w:pPr>
              <w:pStyle w:val="TableBody"/>
              <w:rPr>
                <w:b/>
                <w:bCs/>
                <w:color w:val="auto"/>
                <w:lang w:val="en-US"/>
              </w:rPr>
            </w:pPr>
            <w:r w:rsidRPr="00CC7EAF">
              <w:rPr>
                <w:b/>
                <w:bCs/>
                <w:color w:val="auto"/>
                <w:lang w:val="en-US"/>
              </w:rPr>
              <w:t>July</w:t>
            </w:r>
          </w:p>
        </w:tc>
        <w:tc>
          <w:tcPr>
            <w:tcW w:w="0" w:type="auto"/>
            <w:hideMark/>
          </w:tcPr>
          <w:p w14:paraId="26A1AF13"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23C63077" w14:textId="77777777" w:rsidR="00877478" w:rsidRPr="00CC7EAF" w:rsidRDefault="00877478" w:rsidP="00CC7EAF">
            <w:pPr>
              <w:pStyle w:val="TableBody"/>
              <w:rPr>
                <w:b/>
                <w:bCs/>
                <w:color w:val="auto"/>
                <w:lang w:val="en-US"/>
              </w:rPr>
            </w:pPr>
            <w:r w:rsidRPr="00CC7EAF">
              <w:rPr>
                <w:b/>
                <w:bCs/>
                <w:color w:val="auto"/>
                <w:lang w:val="en-US"/>
              </w:rPr>
              <w:t>$0.95–$1.20</w:t>
            </w:r>
          </w:p>
        </w:tc>
      </w:tr>
      <w:tr w:rsidR="00877478" w:rsidRPr="00877478" w14:paraId="0055B1E9" w14:textId="77777777" w:rsidTr="00CC7EAF">
        <w:tc>
          <w:tcPr>
            <w:tcW w:w="0" w:type="auto"/>
            <w:hideMark/>
          </w:tcPr>
          <w:p w14:paraId="36A31C1B" w14:textId="77777777" w:rsidR="00877478" w:rsidRPr="00CC7EAF" w:rsidRDefault="00877478" w:rsidP="00CC7EAF">
            <w:pPr>
              <w:pStyle w:val="TableBody"/>
              <w:rPr>
                <w:b/>
                <w:bCs/>
                <w:color w:val="auto"/>
                <w:lang w:val="en-US"/>
              </w:rPr>
            </w:pPr>
            <w:r w:rsidRPr="00CC7EAF">
              <w:rPr>
                <w:b/>
                <w:bCs/>
                <w:color w:val="auto"/>
                <w:lang w:val="en-US"/>
              </w:rPr>
              <w:t>Northeast (NY, MA)</w:t>
            </w:r>
          </w:p>
        </w:tc>
        <w:tc>
          <w:tcPr>
            <w:tcW w:w="0" w:type="auto"/>
            <w:hideMark/>
          </w:tcPr>
          <w:p w14:paraId="2A7A0EBA" w14:textId="77777777" w:rsidR="00877478" w:rsidRPr="00CC7EAF" w:rsidRDefault="00877478" w:rsidP="00CC7EAF">
            <w:pPr>
              <w:pStyle w:val="TableBody"/>
              <w:rPr>
                <w:b/>
                <w:bCs/>
                <w:color w:val="auto"/>
                <w:lang w:val="en-US"/>
              </w:rPr>
            </w:pPr>
            <w:r w:rsidRPr="00CC7EAF">
              <w:rPr>
                <w:b/>
                <w:bCs/>
                <w:color w:val="auto"/>
                <w:lang w:val="en-US"/>
              </w:rPr>
              <w:t>14–17%</w:t>
            </w:r>
          </w:p>
        </w:tc>
        <w:tc>
          <w:tcPr>
            <w:tcW w:w="0" w:type="auto"/>
            <w:hideMark/>
          </w:tcPr>
          <w:p w14:paraId="2793C406"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6AD3D479"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B8B0BEF" w14:textId="77777777" w:rsidR="00877478" w:rsidRPr="00CC7EAF" w:rsidRDefault="00877478" w:rsidP="00CC7EAF">
            <w:pPr>
              <w:pStyle w:val="TableBody"/>
              <w:rPr>
                <w:b/>
                <w:bCs/>
                <w:color w:val="auto"/>
                <w:lang w:val="en-US"/>
              </w:rPr>
            </w:pPr>
            <w:r w:rsidRPr="00CC7EAF">
              <w:rPr>
                <w:b/>
                <w:bCs/>
                <w:color w:val="auto"/>
                <w:lang w:val="en-US"/>
              </w:rPr>
              <w:t>$0.95–$1.25</w:t>
            </w:r>
          </w:p>
        </w:tc>
      </w:tr>
    </w:tbl>
    <w:p w14:paraId="3F76A777" w14:textId="77777777" w:rsidR="00877478" w:rsidRDefault="00877478" w:rsidP="003A6352">
      <w:pPr>
        <w:spacing w:after="120"/>
        <w:ind w:firstLine="480"/>
      </w:pPr>
    </w:p>
    <w:p w14:paraId="458FFAA9" w14:textId="77777777" w:rsidR="00DC09E9" w:rsidRDefault="00D65F06" w:rsidP="00DC09E9">
      <w:pPr>
        <w:keepNext/>
      </w:pPr>
      <w:r w:rsidRPr="00D65F06">
        <w:rPr>
          <w:noProof/>
          <w:lang w:val="en-CA"/>
        </w:rPr>
        <w:lastRenderedPageBreak/>
        <w:drawing>
          <wp:inline distT="0" distB="0" distL="0" distR="0" wp14:anchorId="33ACF5FB" wp14:editId="03D71BC2">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0">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0D655F26" w14:textId="1F9E60FA" w:rsidR="00D65F06" w:rsidRPr="00D65F06" w:rsidRDefault="00DC09E9" w:rsidP="00DC09E9">
      <w:pPr>
        <w:pStyle w:val="Caption"/>
        <w:jc w:val="center"/>
        <w:rPr>
          <w:lang w:val="en-CA"/>
        </w:rPr>
      </w:pPr>
      <w:r>
        <w:t xml:space="preserve">Figure </w:t>
      </w:r>
      <w:r w:rsidR="002462C2">
        <w:fldChar w:fldCharType="begin"/>
      </w:r>
      <w:r w:rsidR="002462C2">
        <w:instrText xml:space="preserve"> SEQ Figure \* ARABIC </w:instrText>
      </w:r>
      <w:r w:rsidR="002462C2">
        <w:fldChar w:fldCharType="separate"/>
      </w:r>
      <w:r w:rsidR="002462C2">
        <w:rPr>
          <w:noProof/>
        </w:rPr>
        <w:t>2</w:t>
      </w:r>
      <w:r w:rsidR="002462C2">
        <w:rPr>
          <w:noProof/>
        </w:rPr>
        <w:fldChar w:fldCharType="end"/>
      </w:r>
      <w:r>
        <w:t xml:space="preserve"> </w:t>
      </w:r>
      <w:r w:rsidRPr="00D34E72">
        <w:t>. Solar PV installed cost decline (2010-202</w:t>
      </w:r>
      <w:r>
        <w:t>6</w:t>
      </w:r>
      <w:r w:rsidRPr="00D34E72">
        <w:t>)</w:t>
      </w:r>
    </w:p>
    <w:p w14:paraId="554F20B0" w14:textId="547A27A8" w:rsidR="00F11272" w:rsidRDefault="00F11272" w:rsidP="00F11272">
      <w:pPr>
        <w:pStyle w:val="Heading20"/>
        <w:rPr>
          <w:color w:val="auto"/>
        </w:rPr>
      </w:pPr>
      <w:r>
        <w:rPr>
          <w:color w:val="auto"/>
        </w:rPr>
        <w:t xml:space="preserve">4.2. </w:t>
      </w:r>
      <w:r w:rsidR="002068F4" w:rsidRPr="002068F4">
        <w:rPr>
          <w:color w:val="auto"/>
        </w:rPr>
        <w:t>Wind Energy Systems</w:t>
      </w:r>
    </w:p>
    <w:p w14:paraId="6D187E94" w14:textId="716F6FEF" w:rsidR="00666BB6" w:rsidRDefault="00666BB6" w:rsidP="00866BB5">
      <w:pPr>
        <w:spacing w:after="120"/>
        <w:ind w:firstLine="480"/>
      </w:pPr>
      <w:r>
        <w:t xml:space="preserve">Wind energy contributes to a complementary generation profile to solar PV, as it is more productive during late-night and winter when solar PV is less </w:t>
      </w:r>
      <w:r w:rsidR="0014625D">
        <w:t>industrious</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rsidR="00AB5408">
        <w:fldChar w:fldCharType="begin"/>
      </w:r>
      <w:r w:rsidR="00866BB5">
        <w:instrText xml:space="preserve"> ADDIN ZOTERO_ITEM CSL_CITATION {"citationID":"h6bmKIqm","properties":{"unsorted":false,"formattedCitation":"[90]","plainCitation":"[90]","noteIndex":0},"citationItems":[{"id":2051,"uris":["http://zotero.org/users/9870935/items/4VD6QWRZ"],"itemData":{"id":2051,"type":"article-journal","abstract":"Renewable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rsidR="00AB5408">
        <w:fldChar w:fldCharType="separate"/>
      </w:r>
      <w:r w:rsidR="00866BB5" w:rsidRPr="00866BB5">
        <w:t>[90]</w:t>
      </w:r>
      <w:r w:rsidR="00AB5408">
        <w:fldChar w:fldCharType="end"/>
      </w:r>
      <w:r w:rsidR="00AB5408">
        <w:t>.</w:t>
      </w:r>
    </w:p>
    <w:p w14:paraId="5EB5247A" w14:textId="0E114E25" w:rsidR="00D65F06" w:rsidRDefault="00666BB6" w:rsidP="00866BB5">
      <w:pPr>
        <w:spacing w:after="120"/>
        <w:ind w:firstLine="480"/>
      </w:pPr>
      <w:r>
        <w:t>There have been improvements in wind resource assessment through the development of tools for measuring wind resources and atmospheric modeling. While ground-based anemometry is the standard for project-level assessment, the use of LiDAR systems is becoming common for remote wind profiling and wake characterization, providing flexible and cost-effective measurement capabilities. The use of numerical weather prediction (NWP) models and computational fluid dynamics (CFD) can now provide detailed flow characterization of wind over complex terrain. These models account for the loss of downstream turbine energy production due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rsidR="00653A57">
        <w:fldChar w:fldCharType="begin"/>
      </w:r>
      <w:r w:rsidR="00866BB5">
        <w:instrText xml:space="preserve"> ADDIN ZOTERO_ITEM CSL_CITATION {"citationID":"vGg2z3bh","properties":{"unsorted":false,"formattedCitation":"[91]","plainCitation":"[91]","noteIndex":0},"citationItems":[{"id":2054,"uris":["http://zotero.org/users/9870935/items/9TII72A6"],"itemData":{"id":2054,"type":"article","abstract":"Recent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rsidR="00653A57">
        <w:fldChar w:fldCharType="separate"/>
      </w:r>
      <w:r w:rsidR="00866BB5" w:rsidRPr="00866BB5">
        <w:t>[91]</w:t>
      </w:r>
      <w:r w:rsidR="00653A57">
        <w:fldChar w:fldCharType="end"/>
      </w:r>
      <w:r>
        <w:t>.</w:t>
      </w:r>
    </w:p>
    <w:p w14:paraId="321DFD9D" w14:textId="750D88E6" w:rsidR="00436A2E" w:rsidRDefault="00436A2E" w:rsidP="00436A2E">
      <w:pPr>
        <w:pStyle w:val="Heading20"/>
        <w:rPr>
          <w:color w:val="auto"/>
        </w:rPr>
      </w:pPr>
      <w:r>
        <w:rPr>
          <w:color w:val="auto"/>
        </w:rPr>
        <w:t>4.3. Hydroelectric Power</w:t>
      </w:r>
    </w:p>
    <w:p w14:paraId="39738758" w14:textId="0EB81851" w:rsidR="009035F8" w:rsidRDefault="009035F8" w:rsidP="001623F2">
      <w:pPr>
        <w:spacing w:after="120"/>
        <w:ind w:firstLine="480"/>
      </w:pPr>
      <w:r>
        <w:t>The dispatchability and ability to use hydro assets as generation and storage resources give it special attributes for data center integration. ROR (run of river) hydroelectric projects provide relatively stable baseload production, dependent on the flow variability for a particular season, and capacity factors are generally between 40</w:t>
      </w:r>
      <w:r w:rsidR="002641B9">
        <w:t>-</w:t>
      </w:r>
      <w:r>
        <w:t>60</w:t>
      </w:r>
      <w:r w:rsidR="002641B9">
        <w:t>%</w:t>
      </w:r>
      <w:r w:rsidR="00095712">
        <w:fldChar w:fldCharType="begin"/>
      </w:r>
      <w:r w:rsidR="00095712">
        <w:instrText xml:space="preserve"> ADDIN ZOTERO_ITEM CSL_CITATION {"citationID":"HWrKIYzN","properties":{"unsorted":false,"formattedCitation":"[43]","plainCitation":"[43]","noteIndex":0},"citationItems":[{"id":1977,"uris":["http://zotero.org/users/9870935/items/F2FF39J5"],"itemData":{"id":1977,"type":"article-journal","abstract":"Energy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sidR="00095712">
        <w:fldChar w:fldCharType="separate"/>
      </w:r>
      <w:r w:rsidR="00095712" w:rsidRPr="00095712">
        <w:t>[43]</w:t>
      </w:r>
      <w:r w:rsidR="00095712">
        <w:fldChar w:fldCharType="end"/>
      </w:r>
      <w:r>
        <w:t xml:space="preserve">. Reservoir based systems provide storage capacity from days to months and thus can provide firming capacity for variable renewables. The largest technology for grid-scale energy storage is pumped </w:t>
      </w:r>
      <w:r>
        <w:lastRenderedPageBreak/>
        <w:t>storage hydropower (PSH), which now makes up about 95</w:t>
      </w:r>
      <w:r w:rsidR="00EE6C9C">
        <w:t xml:space="preserve">% of </w:t>
      </w:r>
      <w:r>
        <w:t>installed storage worldwide and has a round-trip efficiency between 70</w:t>
      </w:r>
      <w:r w:rsidR="00EE6C9C">
        <w:t>-</w:t>
      </w:r>
      <w:r>
        <w:t>85</w:t>
      </w:r>
      <w:r w:rsidR="00EE6C9C">
        <w:t>%</w:t>
      </w:r>
      <w:r w:rsidR="001623F2">
        <w:fldChar w:fldCharType="begin"/>
      </w:r>
      <w:r w:rsidR="001623F2">
        <w:instrText xml:space="preserve"> ADDIN ZOTERO_ITEM CSL_CITATION {"citationID":"iKGaFVBd","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sidR="001623F2">
        <w:fldChar w:fldCharType="separate"/>
      </w:r>
      <w:r w:rsidR="001623F2" w:rsidRPr="001623F2">
        <w:t>[44]</w:t>
      </w:r>
      <w:r w:rsidR="001623F2">
        <w:fldChar w:fldCharType="end"/>
      </w:r>
      <w:r>
        <w:t>.</w:t>
      </w:r>
    </w:p>
    <w:p w14:paraId="76EB0B50" w14:textId="2F141321" w:rsidR="00436A2E" w:rsidRDefault="009035F8" w:rsidP="00866BB5">
      <w:pPr>
        <w:spacing w:after="120"/>
        <w:ind w:firstLine="480"/>
      </w:pPr>
      <w:r>
        <w:t>Hydro is not scalable for data center applications, primarily due to geographic constraints. The geomorphic conditions required for developing new PSH include a large vertical difference in elevation between the upper and lower reservoirs, the presence of a data center load center, and availability of water. New hydroelectric developments can take 5 to 10 years to obtain environmental permits, and the requirements are complex, covering impacts to aquatic ecosystems, recreational use, and recreational values</w:t>
      </w:r>
      <w:r w:rsidR="001E2527">
        <w:fldChar w:fldCharType="begin"/>
      </w:r>
      <w:r w:rsidR="00866BB5">
        <w:instrText xml:space="preserve"> ADDIN ZOTERO_ITEM CSL_CITATION {"citationID":"dA9ckfvX","properties":{"unsorted":false,"formattedCitation":"[92]","plainCitation":"[92]","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rsidR="001E2527">
        <w:fldChar w:fldCharType="separate"/>
      </w:r>
      <w:r w:rsidR="00866BB5" w:rsidRPr="00866BB5">
        <w:t>[92]</w:t>
      </w:r>
      <w:r w:rsidR="001E2527">
        <w:fldChar w:fldCharType="end"/>
      </w:r>
      <w:r>
        <w:t>. But the current PSH facilities are an underutilized asset in data center integration, especially in areas with substantial capacity like the Appalachian Mountains (U.S.), the Alps (Europe), and the Scandinavian Peninsula.</w:t>
      </w:r>
    </w:p>
    <w:p w14:paraId="31085ED5" w14:textId="17CA1F7D" w:rsidR="00AA7BA7" w:rsidRDefault="00AA7BA7" w:rsidP="00AA7BA7">
      <w:pPr>
        <w:pStyle w:val="Heading20"/>
        <w:rPr>
          <w:color w:val="auto"/>
        </w:rPr>
      </w:pPr>
      <w:r>
        <w:rPr>
          <w:color w:val="auto"/>
        </w:rPr>
        <w:t>4.4. Resource Assessment Methodlogies</w:t>
      </w:r>
    </w:p>
    <w:p w14:paraId="23840D5E" w14:textId="1A9C6815" w:rsidR="00F432AD" w:rsidRPr="00F432AD" w:rsidRDefault="00F432AD" w:rsidP="00866BB5">
      <w:pPr>
        <w:spacing w:after="120"/>
        <w:ind w:firstLine="480"/>
      </w:pPr>
      <w:r w:rsidRPr="00F432AD">
        <w:t>Proper resource assessment is the backbone of economic success for renewable powered data centers. Solar irradiance data has been drawn from databases that are derived from satellite observations, including the Global Solar Atlas generated by the World Bank (WB), PVGIS [94] generated by European Commission Joint Research Centre (JRC), and ground-station measurements from networks like the National Solar Radiation Database (NSRDB) by NREL</w:t>
      </w:r>
      <w:r w:rsidR="00EC11D5">
        <w:fldChar w:fldCharType="begin"/>
      </w:r>
      <w:r w:rsidR="00866BB5">
        <w:instrText xml:space="preserve"> ADDIN ZOTERO_ITEM CSL_CITATION {"citationID":"IvpZO7M8","properties":{"unsorted":false,"formattedCitation":"[93]","plainCitation":"[93]","noteIndex":0},"citationItems":[{"id":2056,"uris":["http://zotero.org/users/9870935/items/4AKN5FB8"],"itemData":{"id":2056,"type":"paper-conference","container-title":"2025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EC11D5">
        <w:fldChar w:fldCharType="separate"/>
      </w:r>
      <w:r w:rsidR="00866BB5" w:rsidRPr="00866BB5">
        <w:t>[93]</w:t>
      </w:r>
      <w:r w:rsidR="00EC11D5">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rsidR="00596679">
        <w:fldChar w:fldCharType="begin"/>
      </w:r>
      <w:r w:rsidR="00866BB5">
        <w:instrText xml:space="preserve"> ADDIN ZOTERO_ITEM CSL_CITATION {"citationID":"kk3W6zUf","properties":{"unsorted":false,"formattedCitation":"[94]","plainCitation":"[94]","noteIndex":0},"citationItems":[{"id":2057,"uris":["http://zotero.org/users/9870935/items/MBI2S75Z"],"itemData":{"id":2057,"type":"article-journal","container-title":"Solar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rsidR="00596679">
        <w:fldChar w:fldCharType="separate"/>
      </w:r>
      <w:r w:rsidR="00866BB5" w:rsidRPr="00866BB5">
        <w:t>[94]</w:t>
      </w:r>
      <w:r w:rsidR="00596679">
        <w:fldChar w:fldCharType="end"/>
      </w:r>
      <w:r w:rsidRPr="00F432AD">
        <w:t>.</w:t>
      </w:r>
    </w:p>
    <w:p w14:paraId="2BAAB34A" w14:textId="065D58BB" w:rsidR="00AA7BA7" w:rsidRPr="00F432AD" w:rsidRDefault="00F432AD" w:rsidP="00866BB5">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rsidR="00DC3063">
        <w:fldChar w:fldCharType="begin"/>
      </w:r>
      <w:r w:rsidR="00866BB5">
        <w:instrText xml:space="preserve"> ADDIN ZOTERO_ITEM CSL_CITATION {"citationID":"NqfWsidk","properties":{"unsorted":false,"formattedCitation":"[95]","plainCitation":"[95]","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rsidR="00DC3063">
        <w:fldChar w:fldCharType="separate"/>
      </w:r>
      <w:r w:rsidR="00866BB5" w:rsidRPr="00866BB5">
        <w:t>[95]</w:t>
      </w:r>
      <w:r w:rsidR="00DC3063">
        <w:fldChar w:fldCharType="end"/>
      </w:r>
      <w:r w:rsidRPr="00F432AD">
        <w:t>. These machine learning techniques have improved the GIS-based assessment by allowing for automated selection of the best sites from large geospatial datasets, potentially saving time and money in the preliminary feasibility studies</w:t>
      </w:r>
      <w:r w:rsidR="003546AC">
        <w:fldChar w:fldCharType="begin"/>
      </w:r>
      <w:r w:rsidR="00866BB5">
        <w:instrText xml:space="preserve"> ADDIN ZOTERO_ITEM CSL_CITATION {"citationID":"XsHnBnNn","properties":{"unsorted":false,"formattedCitation":"[96]","plainCitation":"[96]","noteIndex":0},"citationItems":[{"id":2059,"uris":["http://zotero.org/users/9870935/items/JGZPYJ4A"],"itemData":{"id":2059,"type":"article-journal","abstract":"ABSTRACT\n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rsidR="003546AC">
        <w:fldChar w:fldCharType="separate"/>
      </w:r>
      <w:r w:rsidR="00866BB5" w:rsidRPr="00866BB5">
        <w:t>[96]</w:t>
      </w:r>
      <w:r w:rsidR="003546AC">
        <w:fldChar w:fldCharType="end"/>
      </w:r>
      <w:r w:rsidRPr="00F432AD">
        <w:t>.</w:t>
      </w:r>
    </w:p>
    <w:p w14:paraId="55876FF1" w14:textId="3D51273B" w:rsidR="00DB6901" w:rsidRDefault="00DB6901" w:rsidP="00DB6901">
      <w:pPr>
        <w:pStyle w:val="Heading20"/>
        <w:rPr>
          <w:color w:val="auto"/>
        </w:rPr>
      </w:pPr>
      <w:r>
        <w:rPr>
          <w:color w:val="auto"/>
        </w:rPr>
        <w:t>4.5. Geographic Variability and Seasonal Patterns</w:t>
      </w:r>
    </w:p>
    <w:p w14:paraId="3E9FEAFD" w14:textId="5CB4E556" w:rsidR="00F07E08" w:rsidRDefault="00F07E08" w:rsidP="00866BB5">
      <w:pPr>
        <w:spacing w:after="120"/>
        <w:ind w:firstLine="480"/>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rsidR="002C35E0">
        <w:t>-</w:t>
      </w:r>
      <w:r w:rsidRPr="00F07E08">
        <w:t>10</w:t>
      </w:r>
      <w:r w:rsidR="002C35E0">
        <w:t xml:space="preserve">% </w:t>
      </w:r>
      <w:r w:rsidRPr="00F07E08">
        <w:t>mean absolute percentage error (MAPE)</w:t>
      </w:r>
      <w:r w:rsidR="00F20B6D">
        <w:fldChar w:fldCharType="begin"/>
      </w:r>
      <w:r w:rsidR="00866BB5">
        <w:instrText xml:space="preserve"> ADDIN ZOTERO_ITEM CSL_CITATION {"citationID":"OfkCYwiH","properties":{"unsorted":false,"formattedCitation":"[97]","plainCitation":"[97]","noteIndex":0},"citationItems":[{"id":2061,"uris":["http://zotero.org/users/9870935/items/9Q8RHM8Q"],"itemData":{"id":2061,"type":"article-journal","container-title":"Energy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rsidR="00F20B6D">
        <w:fldChar w:fldCharType="separate"/>
      </w:r>
      <w:r w:rsidR="00866BB5" w:rsidRPr="00866BB5">
        <w:t>[97]</w:t>
      </w:r>
      <w:r w:rsidR="00F20B6D">
        <w:fldChar w:fldCharType="end"/>
      </w:r>
      <w:r w:rsidRPr="00F07E08">
        <w:t>. Wind generation has also been observed to have varying temporal characteristics, in most mid-latitude regions, wind energy tends to be higher at night and through the winter season, so as to complement solar energy.</w:t>
      </w:r>
      <w:r w:rsidR="00380ED5">
        <w:t xml:space="preserve"> Figure 3, replicates the monthly wind-solar capacity factor </w:t>
      </w:r>
      <w:r w:rsidR="00CC5EED">
        <w:t>complementarity during various months of the year</w:t>
      </w:r>
      <w:r w:rsidR="00CC5EED">
        <w:fldChar w:fldCharType="begin"/>
      </w:r>
      <w:r w:rsidR="00866BB5">
        <w:instrText xml:space="preserve"> ADDIN ZOTERO_ITEM CSL_CITATION {"citationID":"RWh2n7nl","properties":{"unsorted":false,"formattedCitation":"[16], [87]","plainCitation":"[16], [87]","noteIndex":0},"citationItems":[{"id":1925,"uris":["http://zotero.org/users/9870935/items/ZT343IZI"],"itemData":{"id":1925,"type":"article-journal","language":"en","source":"Zotero","title":"Renewable power generation costs in 2024","URL":"https://www.rinnovabili.it/wp-content/uploads/2025/07/IRENA-RENEWABLE-POWER-GENERATION-COSTS-IN-2024.pdf"}},{"id":2048,"uris":["http://zotero.org/users/9870935/items/2IV8CPDJ"],"itemData":{"id":2048,"type":"post-weblog","title":"National Renewable Energy Laboratory (NREL). (2026)","URL":"https://atb.nrel.gov/","author":[{"family":"NREL","given":""}]}}],"schema":"https://github.com/citation-style-language/schema/raw/master/csl-citation.json"} </w:instrText>
      </w:r>
      <w:r w:rsidR="00CC5EED">
        <w:fldChar w:fldCharType="separate"/>
      </w:r>
      <w:r w:rsidR="00866BB5" w:rsidRPr="00866BB5">
        <w:t>[16], [87]</w:t>
      </w:r>
      <w:r w:rsidR="00CC5EED">
        <w:fldChar w:fldCharType="end"/>
      </w:r>
      <w:r w:rsidR="00CC5EED">
        <w:t>.</w:t>
      </w:r>
    </w:p>
    <w:p w14:paraId="5882EEFD" w14:textId="77777777" w:rsidR="002462C2" w:rsidRDefault="00B93B28" w:rsidP="002462C2">
      <w:pPr>
        <w:keepNext/>
        <w:spacing w:after="120"/>
        <w:ind w:firstLine="480"/>
        <w:jc w:val="center"/>
      </w:pPr>
      <w:r>
        <w:rPr>
          <w:noProof/>
        </w:rPr>
        <w:lastRenderedPageBreak/>
        <w:drawing>
          <wp:inline distT="0" distB="0" distL="0" distR="0" wp14:anchorId="2806141A" wp14:editId="5926364F">
            <wp:extent cx="4191000" cy="2372029"/>
            <wp:effectExtent l="0" t="0" r="0" b="9525"/>
            <wp:docPr id="1918854651" name="Picture 19188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423"/>
                    <a:stretch>
                      <a:fillRect/>
                    </a:stretch>
                  </pic:blipFill>
                  <pic:spPr bwMode="auto">
                    <a:xfrm>
                      <a:off x="0" y="0"/>
                      <a:ext cx="4191000" cy="2372029"/>
                    </a:xfrm>
                    <a:prstGeom prst="rect">
                      <a:avLst/>
                    </a:prstGeom>
                    <a:ln>
                      <a:noFill/>
                    </a:ln>
                    <a:extLst>
                      <a:ext uri="{53640926-AAD7-44D8-BBD7-CCE9431645EC}">
                        <a14:shadowObscured xmlns:a14="http://schemas.microsoft.com/office/drawing/2010/main"/>
                      </a:ext>
                    </a:extLst>
                  </pic:spPr>
                </pic:pic>
              </a:graphicData>
            </a:graphic>
          </wp:inline>
        </w:drawing>
      </w:r>
    </w:p>
    <w:p w14:paraId="59AF69B4" w14:textId="1F9B4FF4" w:rsidR="00B93B28" w:rsidRPr="00F07E08" w:rsidRDefault="002462C2" w:rsidP="002462C2">
      <w:pPr>
        <w:pStyle w:val="Caption"/>
        <w:jc w:val="center"/>
        <w:rPr>
          <w:i w:val="0"/>
          <w:color w:val="000000"/>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F80171">
        <w:t>Monthly wind-solar capacity factor complementarity</w:t>
      </w:r>
    </w:p>
    <w:p w14:paraId="4ED5DCBA" w14:textId="38A9EB56" w:rsidR="00DB6901" w:rsidRPr="00F07E08" w:rsidRDefault="00F07E08" w:rsidP="00866BB5">
      <w:pPr>
        <w:spacing w:after="120"/>
        <w:ind w:firstLine="480"/>
      </w:pPr>
      <w:r w:rsidRPr="00F07E08">
        <w:t>The most common method to quantify wind-solar complementarity is by correlation analysis using the Spearman or Pearson correlation coefficient over various time scales (Hourly, Daily or Monthly). It was shown in various regions of Europe that the combined deployment of wind and solar power can benefit from cross-country coordination, which can improve the capacity factor of the combined plant by around 22</w:t>
      </w:r>
      <w:r w:rsidR="00527876">
        <w:t xml:space="preserve">% </w:t>
      </w:r>
      <w:r w:rsidRPr="00F07E08">
        <w:t>compared to a single plant deployment</w:t>
      </w:r>
      <w:r w:rsidR="00095E8E">
        <w:fldChar w:fldCharType="begin"/>
      </w:r>
      <w:r w:rsidR="00866BB5">
        <w:instrText xml:space="preserve"> ADDIN ZOTERO_ITEM CSL_CITATION {"citationID":"anSnTjMg","properties":{"unsorted":false,"formattedCitation":"[98]","plainCitation":"[98]","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095E8E">
        <w:fldChar w:fldCharType="separate"/>
      </w:r>
      <w:r w:rsidR="00866BB5" w:rsidRPr="00866BB5">
        <w:t>[98]</w:t>
      </w:r>
      <w:r w:rsidR="00095E8E">
        <w:fldChar w:fldCharType="end"/>
      </w:r>
      <w:r w:rsidRPr="00F07E08">
        <w:t>. In data center applications, this redundancy gives direct benefit in terms of reduced storage space and system costs. Access to wind resources can lower the need for battery storage by 40</w:t>
      </w:r>
      <w:r w:rsidR="00617F77">
        <w:t>-</w:t>
      </w:r>
      <w:r w:rsidRPr="00F07E08">
        <w:t>60</w:t>
      </w:r>
      <w:r w:rsidR="00617F77">
        <w:t>%</w:t>
      </w:r>
      <w:r w:rsidRPr="00F07E08">
        <w:t xml:space="preserve"> over solar-only deployments in a data center, based on complementarity at the specific site</w:t>
      </w:r>
      <w:r w:rsidR="009E0A0D">
        <w:fldChar w:fldCharType="begin"/>
      </w:r>
      <w:r w:rsidR="00866BB5">
        <w:instrText xml:space="preserve"> ADDIN ZOTERO_ITEM CSL_CITATION {"citationID":"fQgaocPm","properties":{"unsorted":false,"formattedCitation":"[99]","plainCitation":"[99]","noteIndex":0},"citationItems":[{"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9E0A0D">
        <w:fldChar w:fldCharType="separate"/>
      </w:r>
      <w:r w:rsidR="00866BB5" w:rsidRPr="00866BB5">
        <w:t>[99]</w:t>
      </w:r>
      <w:r w:rsidR="009E0A0D">
        <w:fldChar w:fldCharType="end"/>
      </w:r>
      <w:r w:rsidRPr="00F07E08">
        <w:t>. Climate change effects on renewable resources further increase uncertainty, including a range of small-scale changes in wind and solar resources that could influence long-term system planning as suggested in some studies</w:t>
      </w:r>
      <w:r w:rsidR="00B177C4">
        <w:fldChar w:fldCharType="begin"/>
      </w:r>
      <w:r w:rsidR="00866BB5">
        <w:instrText xml:space="preserve"> ADDIN ZOTERO_ITEM CSL_CITATION {"citationID":"KHI2AIIg","properties":{"unsorted":false,"formattedCitation":"[100]","plainCitation":"[100]","noteIndex":0},"citationItems":[{"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00B177C4">
        <w:fldChar w:fldCharType="separate"/>
      </w:r>
      <w:r w:rsidR="00866BB5" w:rsidRPr="00866BB5">
        <w:t>[100]</w:t>
      </w:r>
      <w:r w:rsidR="00B177C4">
        <w:fldChar w:fldCharType="end"/>
      </w:r>
      <w:r w:rsidRPr="00F07E08">
        <w:t>.</w:t>
      </w:r>
    </w:p>
    <w:p w14:paraId="6F168B65" w14:textId="33ACE12B" w:rsidR="00772C6B" w:rsidRDefault="00772C6B" w:rsidP="00772C6B">
      <w:pPr>
        <w:pStyle w:val="Heading10"/>
        <w:rPr>
          <w:color w:val="auto"/>
        </w:rPr>
      </w:pPr>
      <w:r>
        <w:rPr>
          <w:color w:val="auto"/>
          <w:lang w:eastAsia="zh-CN"/>
        </w:rPr>
        <w:t xml:space="preserve">5. </w:t>
      </w:r>
      <w:r>
        <w:rPr>
          <w:color w:val="auto"/>
        </w:rPr>
        <w:t>Energy Storage and Backup Systems</w:t>
      </w:r>
    </w:p>
    <w:p w14:paraId="7F17A72A" w14:textId="6D5031F1" w:rsidR="00CA49D7" w:rsidRDefault="00CA49D7" w:rsidP="00CA49D7">
      <w:pPr>
        <w:spacing w:after="120"/>
        <w:ind w:firstLine="480"/>
      </w:pPr>
      <w:r>
        <w:t xml:space="preserve">Energy storage systems serve as the critical enabling technology for renewable-powered AI data centers, bridging the temporal gaps between variable renewable generation and constant computing loads. This </w:t>
      </w:r>
      <w:r w:rsidR="002068F4">
        <w:t>section</w:t>
      </w:r>
      <w:r>
        <w:t xml:space="preserve"> examines the sizing, selection, and integration of storage technologies, including lithium-ion batteries, long-duration storage alternatives, and conventional backup power systems.</w:t>
      </w:r>
    </w:p>
    <w:p w14:paraId="26EBC21A" w14:textId="746943F1" w:rsidR="00CA49D7" w:rsidRDefault="00CA49D7" w:rsidP="00CA49D7">
      <w:pPr>
        <w:pStyle w:val="Heading20"/>
        <w:rPr>
          <w:color w:val="auto"/>
        </w:rPr>
      </w:pPr>
      <w:r>
        <w:rPr>
          <w:color w:val="auto"/>
        </w:rPr>
        <w:t>5.1. Lithium-Ion Battery Systens</w:t>
      </w:r>
    </w:p>
    <w:p w14:paraId="1389D8FF" w14:textId="04CBAB88" w:rsidR="00ED11B4" w:rsidRDefault="00ED11B4" w:rsidP="00866BB5">
      <w:pPr>
        <w:spacing w:after="120"/>
        <w:ind w:firstLine="480"/>
      </w:pPr>
      <w:r w:rsidRPr="00ED11B4">
        <w:t>The cost of lithium-ion battery technology has dropped dramatically, changing the economics of integrating renewable energy. BloombergNEF has reported that the price of the batteries has declined over the past five years from $135 per kWh in 2020 to $115 per kWh in 2025, and in China, the price dropped below $65 per kWh at the cell level</w:t>
      </w:r>
      <w:r w:rsidR="00A44D61">
        <w:fldChar w:fldCharType="begin"/>
      </w:r>
      <w:r w:rsidR="00A44D61">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A44D61">
        <w:fldChar w:fldCharType="separate"/>
      </w:r>
      <w:r w:rsidR="00A44D61" w:rsidRPr="00A44D61">
        <w:t>[17]</w:t>
      </w:r>
      <w:r w:rsidR="00A44D61">
        <w:fldChar w:fldCharType="end"/>
      </w:r>
      <w:r w:rsidRPr="00ED11B4">
        <w:t>. This trend is expected to persist, with the most recent cost estimates from NREL predicting $147 per kWh (low case), $243 per kWh (mid case), and $339 per kWh (high case) for 4-hour utility-scale systems by 2035</w:t>
      </w:r>
      <w:r w:rsidR="006B708C">
        <w:fldChar w:fldCharType="begin"/>
      </w:r>
      <w:r w:rsidR="00866BB5">
        <w:instrText xml:space="preserve"> ADDIN ZOTERO_ITEM CSL_CITATION {"citationID":"RqYr9QXe","properties":{"unsorted":false,"formattedCitation":"[101]","plainCitation":"[101]","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rsidR="006B708C">
        <w:fldChar w:fldCharType="separate"/>
      </w:r>
      <w:r w:rsidR="00866BB5" w:rsidRPr="00866BB5">
        <w:t>[101]</w:t>
      </w:r>
      <w:r w:rsidR="006B708C">
        <w:fldChar w:fldCharType="end"/>
      </w:r>
      <w:r w:rsidRPr="00ED11B4">
        <w:t xml:space="preserve">. A learning rate of about 19 percent for every doubling of </w:t>
      </w:r>
      <w:r w:rsidRPr="00ED11B4">
        <w:lastRenderedPageBreak/>
        <w:t>cumulative production has been estimated for lithium-ion batteries, indicating further cost reductions with increased production</w:t>
      </w:r>
      <w:r w:rsidR="00405F8F">
        <w:fldChar w:fldCharType="begin"/>
      </w:r>
      <w:r w:rsidR="00866BB5">
        <w:instrText xml:space="preserve"> ADDIN ZOTERO_ITEM CSL_CITATION {"citationID":"KdpfBvot","properties":{"unsorted":false,"formattedCitation":"[102]","plainCitation":"[102]","noteIndex":0},"citationItems":[{"id":2068,"uris":["http://zotero.org/users/9870935/items/M4LNHX4F"],"itemData":{"id":2068,"type":"post-weblog","title":"Battery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rsidR="00405F8F">
        <w:fldChar w:fldCharType="separate"/>
      </w:r>
      <w:r w:rsidR="00866BB5" w:rsidRPr="00866BB5">
        <w:t>[102]</w:t>
      </w:r>
      <w:r w:rsidR="00405F8F">
        <w:fldChar w:fldCharType="end"/>
      </w:r>
      <w:r w:rsidRPr="00ED11B4">
        <w:t>.</w:t>
      </w:r>
    </w:p>
    <w:p w14:paraId="2A5672D3" w14:textId="158A149A" w:rsidR="00ED11B4" w:rsidRPr="00ED11B4" w:rsidRDefault="00ED11B4" w:rsidP="00B138D4">
      <w:pPr>
        <w:spacing w:after="120"/>
        <w:ind w:firstLine="480"/>
      </w:pPr>
      <w:r w:rsidRPr="00ED11B4">
        <w:t>The key factors of battery chemistry selection are cost, energy density, cycle life, safety and thermal management requirements. Due to its excellent safety (no thermal runaway risk), long cycle life of over 4,000 cycles at 80% depth of discharge, and its lower cost because it eliminates the use of cobalt and nickel, LFP (lithium iron phosphate) has become the predominant chemistry for stationary storage applications</w:t>
      </w:r>
      <w:r w:rsidR="00F9103B">
        <w:fldChar w:fldCharType="begin"/>
      </w:r>
      <w:r w:rsidR="00F9103B">
        <w:instrText xml:space="preserve"> ADDIN ZOTERO_ITEM CSL_CITATION {"citationID":"sMHhiSGv","properties":{"unsorted":false,"formattedCitation":"[45]","plainCitation":"[45]","noteIndex":0},"citationItems":[{"id":1982,"uris":["http://zotero.org/users/9870935/items/GEX9B6EX"],"itemData":{"id":1982,"type":"article-journal","container-title":"Future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00F9103B">
        <w:fldChar w:fldCharType="separate"/>
      </w:r>
      <w:r w:rsidR="00F9103B" w:rsidRPr="00F9103B">
        <w:t>[45]</w:t>
      </w:r>
      <w:r w:rsidR="00F9103B">
        <w:fldChar w:fldCharType="end"/>
      </w:r>
      <w:r w:rsidRPr="00ED11B4">
        <w:t>. NMC chemistries provide higher energy density, lower cycle life, and higher safety concerns. Analysis shows that LFP is about 30 percent cheaper on a per-kWh basis compared to NMC for stationary use</w:t>
      </w:r>
      <w:r w:rsidR="00B138D4">
        <w:fldChar w:fldCharType="begin"/>
      </w:r>
      <w:r w:rsidR="00B138D4">
        <w:instrText xml:space="preserve"> ADDIN ZOTERO_ITEM CSL_CITATION {"citationID":"PsY2P1Jo","properties":{"unsorted":false,"formattedCitation":"[46]","plainCitation":"[46]","noteIndex":0},"citationItems":[{"id":1983,"uris":["http://zotero.org/users/9870935/items/I5Q4VHW6"],"itemData":{"id":1983,"type":"article-journal","abstract":"Abstract\n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B138D4">
        <w:fldChar w:fldCharType="separate"/>
      </w:r>
      <w:r w:rsidR="00B138D4" w:rsidRPr="00B138D4">
        <w:t>[46]</w:t>
      </w:r>
      <w:r w:rsidR="00B138D4">
        <w:fldChar w:fldCharType="end"/>
      </w:r>
      <w:r w:rsidRPr="00ED11B4">
        <w:t>.</w:t>
      </w:r>
    </w:p>
    <w:p w14:paraId="5D60E4D5" w14:textId="0987B63A" w:rsidR="00CA49D7" w:rsidRPr="00ED11B4" w:rsidRDefault="00ED11B4" w:rsidP="00866BB5">
      <w:pPr>
        <w:spacing w:after="120"/>
        <w:ind w:firstLine="480"/>
      </w:pPr>
      <w:r w:rsidRPr="00ED11B4">
        <w:t>The round-trip efficiency of lithium-ion batteries varies from 85</w:t>
      </w:r>
      <w:r w:rsidR="00B138D4">
        <w:t>-</w:t>
      </w:r>
      <w:r w:rsidRPr="00ED11B4">
        <w:t>95</w:t>
      </w:r>
      <w:r w:rsidR="00426A09">
        <w:t>%,</w:t>
      </w:r>
      <w:r w:rsidRPr="00ED11B4">
        <w:t xml:space="preserve"> depending on the chemistry, cell design, and power conversion system. To ensure optimal cell temperature (usually 20</w:t>
      </w:r>
      <w:r w:rsidR="000973F7">
        <w:t>-</w:t>
      </w:r>
      <w:r w:rsidRPr="00ED11B4">
        <w:t>35 degrees Celsius) and to avoid accelerated degradation, thermal management is essential. Battery aging happens in two ways: calendar aging, which runs whether or not the battery is used, and cycle aging, which depends on how much charge or discharge the battery has experienced and at what rate</w:t>
      </w:r>
      <w:r w:rsidR="00392C53">
        <w:fldChar w:fldCharType="begin"/>
      </w:r>
      <w:r w:rsidR="00866BB5">
        <w:instrText xml:space="preserve"> ADDIN ZOTERO_ITEM CSL_CITATION {"citationID":"kxRlR2kx","properties":{"unsorted":false,"formattedCitation":"[103]","plainCitation":"[103]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392C53">
        <w:fldChar w:fldCharType="separate"/>
      </w:r>
      <w:r w:rsidR="00866BB5" w:rsidRPr="00866BB5">
        <w:t>[103]</w:t>
      </w:r>
      <w:r w:rsidR="00392C53">
        <w:fldChar w:fldCharType="end"/>
      </w:r>
      <w:r w:rsidRPr="00ED11B4">
        <w:t>. Limiting the depth of discharge to 50</w:t>
      </w:r>
      <w:r w:rsidR="00607AA0">
        <w:t xml:space="preserve">% </w:t>
      </w:r>
      <w:r w:rsidRPr="00ED11B4">
        <w:t>has been shown to approximately double cycle life, and, therefore, the use of larger systems than the nominal capacity requirements can enhance the overall battery system economics of their operation over time, despite the higher up-front capital costs</w:t>
      </w:r>
      <w:r w:rsidR="00AF1505">
        <w:fldChar w:fldCharType="begin"/>
      </w:r>
      <w:r w:rsidR="00866BB5">
        <w:instrText xml:space="preserve"> ADDIN ZOTERO_ITEM CSL_CITATION {"citationID":"Amui7OjS","properties":{"unsorted":false,"formattedCitation":"[104]","plainCitation":"[104]","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00AF1505">
        <w:fldChar w:fldCharType="separate"/>
      </w:r>
      <w:r w:rsidR="00866BB5" w:rsidRPr="00866BB5">
        <w:t>[104]</w:t>
      </w:r>
      <w:r w:rsidR="00AF1505">
        <w:fldChar w:fldCharType="end"/>
      </w:r>
      <w:r w:rsidRPr="00ED11B4">
        <w:t>.</w:t>
      </w:r>
    </w:p>
    <w:p w14:paraId="61493380" w14:textId="32FC4B3F" w:rsidR="00426A09" w:rsidRDefault="00426A09" w:rsidP="00426A09">
      <w:pPr>
        <w:pStyle w:val="Heading20"/>
        <w:rPr>
          <w:color w:val="auto"/>
        </w:rPr>
      </w:pPr>
      <w:r>
        <w:rPr>
          <w:color w:val="auto"/>
        </w:rPr>
        <w:t>5.2. Advanced Storage Technologies</w:t>
      </w:r>
    </w:p>
    <w:p w14:paraId="137D07E1" w14:textId="5B6BFC78" w:rsidR="002C0C00" w:rsidRPr="002C0C00" w:rsidRDefault="002C0C00" w:rsidP="00E20CA4">
      <w:pPr>
        <w:spacing w:after="120"/>
        <w:ind w:firstLine="480"/>
      </w:pPr>
      <w:r w:rsidRPr="002C0C00">
        <w:t>One of the primary challenges associated with lithium-ion batteries is that they become cost prohibitive for extended periods of storage, which is where long-duration energy storage (LDES) technologies come into play. Vanadium redox flow batteries (VRFBs) have been developed with independent power and energy scaling, with cycle life of 20,000 cycles and very little degradation over time</w:t>
      </w:r>
      <w:r w:rsidR="00E20CA4">
        <w:fldChar w:fldCharType="begin"/>
      </w:r>
      <w:r w:rsidR="00E20CA4">
        <w:instrText xml:space="preserve"> ADDIN ZOTERO_ITEM CSL_CITATION {"citationID":"QWzMyYBC","properties":{"unsorted":false,"formattedCitation":"[47]","plainCitation":"[47]","noteIndex":0},"citationItems":[{"id":1984,"uris":["http://zotero.org/users/9870935/items/M6SVEFZJ"],"itemData":{"id":1984,"type":"article-journal","container-title":"Next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20CA4">
        <w:fldChar w:fldCharType="separate"/>
      </w:r>
      <w:r w:rsidR="00E20CA4" w:rsidRPr="00E20CA4">
        <w:t>[47]</w:t>
      </w:r>
      <w:r w:rsidR="00E20CA4">
        <w:fldChar w:fldCharType="end"/>
      </w:r>
      <w:r w:rsidRPr="002C0C00">
        <w:t>. VRFB systems have already been commercially used at larger scales than 10MWh, and the main drawback is the relatively high initial cost, although costs are reducing as the scale of manufacturing increases.</w:t>
      </w:r>
    </w:p>
    <w:p w14:paraId="3EA409FF" w14:textId="2B250005" w:rsidR="002C0C00" w:rsidRPr="002C0C00" w:rsidRDefault="002C0C00" w:rsidP="00866BB5">
      <w:pPr>
        <w:spacing w:after="120"/>
        <w:ind w:firstLine="480"/>
      </w:pPr>
      <w:r w:rsidRPr="002C0C00">
        <w:t>Form Energy's iron-air battery is one of the technologies that could revolutionize ultra-long-duration storage. The technology employs a large amount of cheap materials (iron, water, air) to meet storage costs of $20 per kWh, whereas lithium-ion costing is targeted at $100 to $150 per kWh</w:t>
      </w:r>
      <w:r w:rsidR="00BE6E41">
        <w:fldChar w:fldCharType="begin"/>
      </w:r>
      <w:r w:rsidR="00BE6E41">
        <w:instrText xml:space="preserve"> ADDIN ZOTERO_ITEM CSL_CITATION {"citationID":"IwjNu9hX","properties":{"unsorted":false,"formattedCitation":"[48]","plainCitation":"[48]","noteIndex":0},"citationItems":[{"id":1985,"uris":["http://zotero.org/users/9870935/items/58URKSK2"],"itemData":{"id":1985,"type":"book","abstract":"This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BE6E41">
        <w:fldChar w:fldCharType="separate"/>
      </w:r>
      <w:r w:rsidR="00BE6E41" w:rsidRPr="00BE6E41">
        <w:t>[48]</w:t>
      </w:r>
      <w:r w:rsidR="00BE6E41">
        <w:fldChar w:fldCharType="end"/>
      </w:r>
      <w:r w:rsidRPr="002C0C00">
        <w:t xml:space="preserve">. The data </w:t>
      </w:r>
      <w:r w:rsidR="00B50B4A" w:rsidRPr="002C0C00">
        <w:t>center</w:t>
      </w:r>
      <w:r w:rsidRPr="002C0C00">
        <w:t xml:space="preserve"> sector is interested in long-duration storage, the company having inked 12 GWh worth of multi-day iron-air batteries to new U.S. AI data </w:t>
      </w:r>
      <w:r w:rsidR="00B50B4A" w:rsidRPr="002C0C00">
        <w:t>centers</w:t>
      </w:r>
      <w:r w:rsidR="00B50B4A">
        <w:t xml:space="preserve"> </w:t>
      </w:r>
      <w:r w:rsidR="001850C1">
        <w:fldChar w:fldCharType="begin"/>
      </w:r>
      <w:r w:rsidR="00866BB5">
        <w:instrText xml:space="preserve"> ADDIN ZOTERO_ITEM CSL_CITATION {"citationID":"7kVGcOlZ","properties":{"unsorted":false,"formattedCitation":"[105]","plainCitation":"[105]","noteIndex":0},"citationItems":[{"id":2072,"uris":["http://zotero.org/users/9870935/items/EET8N7XP"],"itemData":{"id":2072,"type":"article","abstract":"Deep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rsidR="001850C1">
        <w:fldChar w:fldCharType="separate"/>
      </w:r>
      <w:r w:rsidR="00866BB5" w:rsidRPr="00866BB5">
        <w:t>[105]</w:t>
      </w:r>
      <w:r w:rsidR="001850C1">
        <w:fldChar w:fldCharType="end"/>
      </w:r>
      <w:r w:rsidRPr="002C0C00">
        <w:t>. Iron-air batteries have a round-trip efficiency of around 40</w:t>
      </w:r>
      <w:r w:rsidR="00B50B4A">
        <w:t>%,</w:t>
      </w:r>
      <w:r w:rsidRPr="002C0C00">
        <w:t xml:space="preserve"> below lithium-ion but acceptable given the possibility of lost renewable energy.</w:t>
      </w:r>
    </w:p>
    <w:p w14:paraId="7F7A4FD8" w14:textId="2FF7BDF6" w:rsidR="00426A09" w:rsidRPr="002C0C00" w:rsidRDefault="002C0C00" w:rsidP="00866BB5">
      <w:pPr>
        <w:spacing w:after="120"/>
        <w:ind w:firstLine="480"/>
      </w:pPr>
      <w:r w:rsidRPr="002C0C00">
        <w:t>Hydrogen fuel cells and green hydrogen storage provide the widest range of storage durations – from weeks to months – enabling seasonal energy shifting that is not feasible with battery technologies. A hydrogen fuel cell back-up power system with a capacity of 3MW was demonstrated by Microsoft at its data center, running for 48+ hours using hydrogen fuel</w:t>
      </w:r>
      <w:r w:rsidR="00D968E8">
        <w:fldChar w:fldCharType="begin"/>
      </w:r>
      <w:r w:rsidR="00866BB5">
        <w:instrText xml:space="preserve"> ADDIN ZOTERO_ITEM CSL_CITATION {"citationID":"Lqa6b4Sx","properties":{"unsorted":false,"formattedCitation":"[106]","plainCitation":"[106]","noteIndex":0},"citationItems":[{"id":2074,"uris":["http://zotero.org/users/9870935/items/55X6H6ID"],"itemData":{"id":2074,"type":"article-journal","abstract":"The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rsidR="00D968E8">
        <w:fldChar w:fldCharType="separate"/>
      </w:r>
      <w:r w:rsidR="00866BB5" w:rsidRPr="00866BB5">
        <w:t>[106]</w:t>
      </w:r>
      <w:r w:rsidR="00D968E8">
        <w:fldChar w:fldCharType="end"/>
      </w:r>
      <w:r w:rsidRPr="002C0C00">
        <w:t>. The round-trip efficiency of the hydrogen pathway, however, is about 30 to 40 percent, as opposed to 85</w:t>
      </w:r>
      <w:r w:rsidR="0065715D">
        <w:t>-</w:t>
      </w:r>
      <w:r w:rsidRPr="002C0C00">
        <w:t>95</w:t>
      </w:r>
      <w:r w:rsidR="0065715D">
        <w:t xml:space="preserve">% </w:t>
      </w:r>
      <w:r w:rsidRPr="002C0C00">
        <w:t>for lithium-ion batteries</w:t>
      </w:r>
      <w:r w:rsidR="000D010A">
        <w:fldChar w:fldCharType="begin"/>
      </w:r>
      <w:r w:rsidR="000D010A">
        <w:instrText xml:space="preserve"> ADDIN ZOTERO_ITEM CSL_CITATION {"citationID":"wSvLouuX","properties":{"unsorted":false,"formattedCitation":"[49]","plainCitation":"[49]","noteIndex":0},"citationItems":[{"id":1987,"uris":["http://zotero.org/users/9870935/items/2TYM8STM"],"itemData":{"id":1987,"type":"article-journal","abstract":"The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0D010A">
        <w:fldChar w:fldCharType="separate"/>
      </w:r>
      <w:r w:rsidR="000D010A" w:rsidRPr="000D010A">
        <w:t>[49]</w:t>
      </w:r>
      <w:r w:rsidR="000D010A">
        <w:fldChar w:fldCharType="end"/>
      </w:r>
      <w:r w:rsidRPr="002C0C00">
        <w:t xml:space="preserve">. The economic viability </w:t>
      </w:r>
      <w:r w:rsidRPr="002C0C00">
        <w:lastRenderedPageBreak/>
        <w:t>of hydrogen relies on the ability to produce green hydrogen for $2/kg, versus the current production costs of $4 to $6/kg</w:t>
      </w:r>
      <w:r w:rsidR="001C0F6D">
        <w:fldChar w:fldCharType="begin"/>
      </w:r>
      <w:r w:rsidR="00866BB5">
        <w:instrText xml:space="preserve"> ADDIN ZOTERO_ITEM CSL_CITATION {"citationID":"EV0Ut2pY","properties":{"unsorted":false,"formattedCitation":"[107]","plainCitation":"[107]","noteIndex":0},"citationItems":[{"id":2076,"uris":["http://zotero.org/users/9870935/items/WSZ9BQJG"],"itemData":{"id":2076,"type":"article-journal","abstract":"Abstract\n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1C0F6D">
        <w:fldChar w:fldCharType="separate"/>
      </w:r>
      <w:r w:rsidR="00866BB5" w:rsidRPr="00866BB5">
        <w:t>[107]</w:t>
      </w:r>
      <w:r w:rsidR="001C0F6D">
        <w:fldChar w:fldCharType="end"/>
      </w:r>
      <w:r w:rsidRPr="002C0C00">
        <w:t>.</w:t>
      </w:r>
    </w:p>
    <w:p w14:paraId="52BAF6BC" w14:textId="404C9785" w:rsidR="005C58DC" w:rsidRDefault="005C58DC" w:rsidP="005C58DC">
      <w:pPr>
        <w:pStyle w:val="Heading20"/>
        <w:rPr>
          <w:color w:val="auto"/>
        </w:rPr>
      </w:pPr>
      <w:r>
        <w:rPr>
          <w:color w:val="auto"/>
        </w:rPr>
        <w:t>5.3. Energy Storage Sizing Methodology</w:t>
      </w:r>
    </w:p>
    <w:p w14:paraId="168B9F8A" w14:textId="457E7790" w:rsidR="006701FD" w:rsidRPr="006701FD" w:rsidRDefault="006701FD" w:rsidP="006701FD">
      <w:pPr>
        <w:spacing w:after="120"/>
        <w:ind w:firstLine="480"/>
      </w:pPr>
      <w:r w:rsidRPr="006701FD">
        <w:t xml:space="preserve">There are three conflicting goals in sizing energy storage for renewable powered data centers – reliability (have enough energy to cover renewable energy gaps), cost (minimize capital and operations costs), and emissions (minimize renewable energy not used). There are three basic methods used: deterministic, probabilistic, and </w:t>
      </w:r>
      <w:r w:rsidR="00B50B4A" w:rsidRPr="006701FD">
        <w:t>optimization based</w:t>
      </w:r>
      <w:r w:rsidRPr="006701FD">
        <w:t>.</w:t>
      </w:r>
    </w:p>
    <w:p w14:paraId="6C838C1E" w14:textId="1FBDAE8C" w:rsidR="006701FD" w:rsidRPr="006701FD" w:rsidRDefault="006701FD" w:rsidP="00866BB5">
      <w:pPr>
        <w:spacing w:after="120"/>
        <w:ind w:firstLine="480"/>
      </w:pPr>
      <w:r w:rsidRPr="006701FD">
        <w:t xml:space="preserve">The deterministic approach allocates storage to worst cases, e.g., the longest periods of low renewable generation. The </w:t>
      </w:r>
      <w:r w:rsidR="00B50B4A" w:rsidRPr="006701FD">
        <w:t>worst-case</w:t>
      </w:r>
      <w:r w:rsidRPr="006701FD">
        <w:t xml:space="preserve"> scenario for a data center in the U.S. Southwest location with on-site solar would be three consecutive overcast winter days, which equates to around 72 hours of battery storage at full load. This approach offers a firm guarantee of reliability, but usually leads to very large and expensive systems</w:t>
      </w:r>
      <w:r w:rsidR="00A23247">
        <w:fldChar w:fldCharType="begin"/>
      </w:r>
      <w:r w:rsidR="00A23247">
        <w:instrText xml:space="preserve"> ADDIN ZOTERO_ITEM CSL_CITATION {"citationID":"DHpplHe9","properties":{"unsorted":false,"formattedCitation":"[50]","plainCitation":"[50]","noteIndex":0},"citationItems":[{"id":1988,"uris":["http://zotero.org/users/9870935/items/9LH8YF5V"],"itemData":{"id":1988,"type":"article-journal","container-title":"Future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A23247">
        <w:fldChar w:fldCharType="separate"/>
      </w:r>
      <w:r w:rsidR="00A23247" w:rsidRPr="00A23247">
        <w:t>[50]</w:t>
      </w:r>
      <w:r w:rsidR="00A23247">
        <w:fldChar w:fldCharType="end"/>
      </w:r>
      <w:r w:rsidRPr="006701FD">
        <w:t>.</w:t>
      </w:r>
      <w:r w:rsidR="003B33E0">
        <w:t xml:space="preserve"> </w:t>
      </w:r>
      <w:r w:rsidRPr="006701FD">
        <w:t>System reliability is quantified in the probabilistic approach using measures like Loss of Load Expectation (LOLE), which represents the average number of hours per year during which available generation is not adequate to meet demand.</w:t>
      </w:r>
      <w:r>
        <w:t xml:space="preserve"> </w:t>
      </w:r>
      <w:r w:rsidRPr="006701FD">
        <w:t xml:space="preserve">The LOLE of 0.1 hour per year, or 99.99 </w:t>
      </w:r>
      <w:r w:rsidR="003B33E0">
        <w:t xml:space="preserve">% </w:t>
      </w:r>
      <w:r w:rsidRPr="006701FD">
        <w:t>availability, is a commonly used metric for mission-critical data centers</w:t>
      </w:r>
      <w:r w:rsidR="00941682">
        <w:fldChar w:fldCharType="begin"/>
      </w:r>
      <w:r w:rsidR="00866BB5">
        <w:instrText xml:space="preserve"> ADDIN ZOTERO_ITEM CSL_CITATION {"citationID":"j8SEt2Uy","properties":{"unsorted":false,"formattedCitation":"[108]","plainCitation":"[108]","noteIndex":0},"citationItems":[{"id":2078,"uris":["http://zotero.org/users/9870935/items/UAQIETIN"],"itemData":{"id":2078,"type":"article-journal","abstract":"Large-scale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941682">
        <w:fldChar w:fldCharType="separate"/>
      </w:r>
      <w:r w:rsidR="00866BB5" w:rsidRPr="00866BB5">
        <w:t>[108]</w:t>
      </w:r>
      <w:r w:rsidR="00941682">
        <w:fldChar w:fldCharType="end"/>
      </w:r>
      <w:r w:rsidRPr="006701FD">
        <w:t>. This method gives a more in-depth view of reliability but involves in-depth time-series generation and load data.</w:t>
      </w:r>
    </w:p>
    <w:p w14:paraId="01C8040C" w14:textId="4E0A9047" w:rsidR="005C58DC" w:rsidRDefault="006701FD" w:rsidP="006701FD">
      <w:pPr>
        <w:spacing w:after="120"/>
        <w:ind w:firstLine="480"/>
      </w:pPr>
      <w:r w:rsidRPr="006701FD">
        <w:t>The optimization-based approach constructs storage sizing as a mathematical programming problem to minimize the total system costs (capital expenditure plus operational expenditure throughout the project life cycle) while satisfying reliability constraints, carbon emission limits, and capacity constraints of the interconnection. Time-series dispatch simulation is a modeling approach that allows for detailed energy balance calculations at hourly or sub-hourly resolution for one or more representative years to assess system performance in a realistic operating environment.</w:t>
      </w:r>
    </w:p>
    <w:p w14:paraId="4F29734A" w14:textId="64AC23C0" w:rsidR="002C06D9" w:rsidRDefault="002C06D9" w:rsidP="002C06D9">
      <w:pPr>
        <w:pStyle w:val="Caption"/>
        <w:keepNext/>
      </w:pPr>
      <w:r>
        <w:t xml:space="preserve">Table </w:t>
      </w:r>
      <w:r>
        <w:fldChar w:fldCharType="begin"/>
      </w:r>
      <w:r>
        <w:instrText xml:space="preserve"> SEQ Table \* ARABIC </w:instrText>
      </w:r>
      <w:r>
        <w:fldChar w:fldCharType="separate"/>
      </w:r>
      <w:r w:rsidR="00FF5DCC">
        <w:rPr>
          <w:noProof/>
        </w:rPr>
        <w:t>3</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p>
    <w:tbl>
      <w:tblPr>
        <w:tblStyle w:val="Mdeck5tablebodythreelines"/>
        <w:tblW w:w="0" w:type="auto"/>
        <w:tblLook w:val="04A0" w:firstRow="1" w:lastRow="0" w:firstColumn="1" w:lastColumn="0" w:noHBand="0" w:noVBand="1"/>
      </w:tblPr>
      <w:tblGrid>
        <w:gridCol w:w="1290"/>
        <w:gridCol w:w="1840"/>
        <w:gridCol w:w="1264"/>
        <w:gridCol w:w="1157"/>
        <w:gridCol w:w="3293"/>
      </w:tblGrid>
      <w:tr w:rsidR="002C45A5" w:rsidRPr="002C45A5" w14:paraId="1B9358B4" w14:textId="77777777" w:rsidTr="002C45A5">
        <w:trPr>
          <w:cnfStyle w:val="100000000000" w:firstRow="1" w:lastRow="0" w:firstColumn="0" w:lastColumn="0" w:oddVBand="0" w:evenVBand="0" w:oddHBand="0" w:evenHBand="0" w:firstRowFirstColumn="0" w:firstRowLastColumn="0" w:lastRowFirstColumn="0" w:lastRowLastColumn="0"/>
        </w:trPr>
        <w:tc>
          <w:tcPr>
            <w:tcW w:w="0" w:type="auto"/>
            <w:hideMark/>
          </w:tcPr>
          <w:p w14:paraId="3B855FA8" w14:textId="77777777" w:rsidR="002C45A5" w:rsidRPr="002C45A5" w:rsidRDefault="002C45A5" w:rsidP="002C45A5">
            <w:pPr>
              <w:pStyle w:val="TableBody"/>
              <w:rPr>
                <w:b/>
                <w:bCs/>
                <w:snapToGrid w:val="0"/>
                <w:color w:val="auto"/>
                <w:lang w:val="en-US"/>
              </w:rPr>
            </w:pPr>
            <w:r w:rsidRPr="002C45A5">
              <w:rPr>
                <w:b/>
                <w:bCs/>
                <w:snapToGrid w:val="0"/>
                <w:color w:val="auto"/>
                <w:lang w:val="en-US"/>
              </w:rPr>
              <w:t>Duration</w:t>
            </w:r>
          </w:p>
        </w:tc>
        <w:tc>
          <w:tcPr>
            <w:tcW w:w="0" w:type="auto"/>
            <w:hideMark/>
          </w:tcPr>
          <w:p w14:paraId="06B374BF" w14:textId="77777777" w:rsidR="002C45A5" w:rsidRPr="002C45A5" w:rsidRDefault="002C45A5" w:rsidP="002C45A5">
            <w:pPr>
              <w:pStyle w:val="TableBody"/>
              <w:rPr>
                <w:b/>
                <w:bCs/>
                <w:snapToGrid w:val="0"/>
                <w:color w:val="auto"/>
                <w:lang w:val="en-US"/>
              </w:rPr>
            </w:pPr>
            <w:r w:rsidRPr="002C45A5">
              <w:rPr>
                <w:b/>
                <w:bCs/>
                <w:snapToGrid w:val="0"/>
                <w:color w:val="auto"/>
                <w:lang w:val="en-US"/>
              </w:rPr>
              <w:t>Technology</w:t>
            </w:r>
          </w:p>
        </w:tc>
        <w:tc>
          <w:tcPr>
            <w:tcW w:w="0" w:type="auto"/>
            <w:hideMark/>
          </w:tcPr>
          <w:p w14:paraId="2D926628" w14:textId="77777777" w:rsidR="002C45A5" w:rsidRPr="002C45A5" w:rsidRDefault="002C45A5" w:rsidP="002C45A5">
            <w:pPr>
              <w:pStyle w:val="TableBody"/>
              <w:rPr>
                <w:b/>
                <w:bCs/>
                <w:snapToGrid w:val="0"/>
                <w:color w:val="auto"/>
                <w:lang w:val="en-US"/>
              </w:rPr>
            </w:pPr>
            <w:r w:rsidRPr="002C45A5">
              <w:rPr>
                <w:b/>
                <w:bCs/>
                <w:snapToGrid w:val="0"/>
                <w:color w:val="auto"/>
                <w:lang w:val="en-US"/>
              </w:rPr>
              <w:t>Cost ($/kWh)</w:t>
            </w:r>
          </w:p>
        </w:tc>
        <w:tc>
          <w:tcPr>
            <w:tcW w:w="0" w:type="auto"/>
            <w:hideMark/>
          </w:tcPr>
          <w:p w14:paraId="6465CACB" w14:textId="77777777" w:rsidR="002C45A5" w:rsidRPr="002C45A5" w:rsidRDefault="002C45A5" w:rsidP="002C45A5">
            <w:pPr>
              <w:pStyle w:val="TableBody"/>
              <w:rPr>
                <w:b/>
                <w:bCs/>
                <w:snapToGrid w:val="0"/>
                <w:color w:val="auto"/>
                <w:lang w:val="en-US"/>
              </w:rPr>
            </w:pPr>
            <w:r w:rsidRPr="002C45A5">
              <w:rPr>
                <w:b/>
                <w:bCs/>
                <w:snapToGrid w:val="0"/>
                <w:color w:val="auto"/>
                <w:lang w:val="en-US"/>
              </w:rPr>
              <w:t>Efficiency</w:t>
            </w:r>
          </w:p>
        </w:tc>
        <w:tc>
          <w:tcPr>
            <w:tcW w:w="0" w:type="auto"/>
            <w:hideMark/>
          </w:tcPr>
          <w:p w14:paraId="3021CBC7" w14:textId="77777777" w:rsidR="002C45A5" w:rsidRPr="002C45A5" w:rsidRDefault="002C45A5" w:rsidP="002C45A5">
            <w:pPr>
              <w:pStyle w:val="TableBody"/>
              <w:rPr>
                <w:b/>
                <w:bCs/>
                <w:snapToGrid w:val="0"/>
                <w:color w:val="auto"/>
                <w:lang w:val="en-US"/>
              </w:rPr>
            </w:pPr>
            <w:r w:rsidRPr="002C45A5">
              <w:rPr>
                <w:b/>
                <w:bCs/>
                <w:snapToGrid w:val="0"/>
                <w:color w:val="auto"/>
                <w:lang w:val="en-US"/>
              </w:rPr>
              <w:t>Best Application</w:t>
            </w:r>
          </w:p>
        </w:tc>
      </w:tr>
      <w:tr w:rsidR="002C45A5" w:rsidRPr="002C45A5" w14:paraId="109032AB" w14:textId="77777777" w:rsidTr="002C45A5">
        <w:tc>
          <w:tcPr>
            <w:tcW w:w="0" w:type="auto"/>
            <w:hideMark/>
          </w:tcPr>
          <w:p w14:paraId="7EBEA8D6" w14:textId="77777777" w:rsidR="002C45A5" w:rsidRPr="002C45A5" w:rsidRDefault="002C45A5" w:rsidP="002C45A5">
            <w:pPr>
              <w:pStyle w:val="TableBody"/>
              <w:rPr>
                <w:b/>
                <w:bCs/>
                <w:color w:val="auto"/>
                <w:lang w:val="en-US"/>
              </w:rPr>
            </w:pPr>
            <w:r w:rsidRPr="002C45A5">
              <w:rPr>
                <w:b/>
                <w:bCs/>
                <w:color w:val="auto"/>
                <w:lang w:val="en-US"/>
              </w:rPr>
              <w:t>2–4 hours</w:t>
            </w:r>
          </w:p>
        </w:tc>
        <w:tc>
          <w:tcPr>
            <w:tcW w:w="0" w:type="auto"/>
            <w:hideMark/>
          </w:tcPr>
          <w:p w14:paraId="73600377" w14:textId="77777777" w:rsidR="002C45A5" w:rsidRPr="002C45A5" w:rsidRDefault="002C45A5" w:rsidP="002C45A5">
            <w:pPr>
              <w:pStyle w:val="TableBody"/>
              <w:rPr>
                <w:b/>
                <w:bCs/>
                <w:color w:val="auto"/>
                <w:lang w:val="en-US"/>
              </w:rPr>
            </w:pPr>
            <w:r w:rsidRPr="002C45A5">
              <w:rPr>
                <w:b/>
                <w:bCs/>
                <w:color w:val="auto"/>
                <w:lang w:val="en-US"/>
              </w:rPr>
              <w:t>Li-ion LFP</w:t>
            </w:r>
          </w:p>
        </w:tc>
        <w:tc>
          <w:tcPr>
            <w:tcW w:w="0" w:type="auto"/>
            <w:hideMark/>
          </w:tcPr>
          <w:p w14:paraId="4571D175" w14:textId="77777777" w:rsidR="002C45A5" w:rsidRPr="002C45A5" w:rsidRDefault="002C45A5" w:rsidP="002C45A5">
            <w:pPr>
              <w:pStyle w:val="TableBody"/>
              <w:rPr>
                <w:b/>
                <w:bCs/>
                <w:color w:val="auto"/>
                <w:lang w:val="en-US"/>
              </w:rPr>
            </w:pPr>
            <w:r w:rsidRPr="002C45A5">
              <w:rPr>
                <w:b/>
                <w:bCs/>
                <w:color w:val="auto"/>
                <w:lang w:val="en-US"/>
              </w:rPr>
              <w:t>$75–$130</w:t>
            </w:r>
          </w:p>
        </w:tc>
        <w:tc>
          <w:tcPr>
            <w:tcW w:w="0" w:type="auto"/>
            <w:hideMark/>
          </w:tcPr>
          <w:p w14:paraId="3A7D5EA1" w14:textId="77777777" w:rsidR="002C45A5" w:rsidRPr="002C45A5" w:rsidRDefault="002C45A5" w:rsidP="002C45A5">
            <w:pPr>
              <w:pStyle w:val="TableBody"/>
              <w:rPr>
                <w:b/>
                <w:bCs/>
                <w:color w:val="auto"/>
                <w:lang w:val="en-US"/>
              </w:rPr>
            </w:pPr>
            <w:r w:rsidRPr="002C45A5">
              <w:rPr>
                <w:b/>
                <w:bCs/>
                <w:color w:val="auto"/>
                <w:lang w:val="en-US"/>
              </w:rPr>
              <w:t>85–95%</w:t>
            </w:r>
          </w:p>
        </w:tc>
        <w:tc>
          <w:tcPr>
            <w:tcW w:w="0" w:type="auto"/>
            <w:hideMark/>
          </w:tcPr>
          <w:p w14:paraId="76A41A41" w14:textId="77777777" w:rsidR="002C45A5" w:rsidRPr="002C45A5" w:rsidRDefault="002C45A5" w:rsidP="002C45A5">
            <w:pPr>
              <w:pStyle w:val="TableBody"/>
              <w:rPr>
                <w:b/>
                <w:bCs/>
                <w:color w:val="auto"/>
                <w:lang w:val="en-US"/>
              </w:rPr>
            </w:pPr>
            <w:r w:rsidRPr="002C45A5">
              <w:rPr>
                <w:b/>
                <w:bCs/>
                <w:color w:val="auto"/>
                <w:lang w:val="en-US"/>
              </w:rPr>
              <w:t>Daily peak shaving &amp; frequency regulation</w:t>
            </w:r>
          </w:p>
        </w:tc>
      </w:tr>
      <w:tr w:rsidR="002C45A5" w:rsidRPr="002C45A5" w14:paraId="61D70C2C" w14:textId="77777777" w:rsidTr="002C45A5">
        <w:tc>
          <w:tcPr>
            <w:tcW w:w="0" w:type="auto"/>
            <w:hideMark/>
          </w:tcPr>
          <w:p w14:paraId="06F471C3" w14:textId="77777777" w:rsidR="002C45A5" w:rsidRPr="002C45A5" w:rsidRDefault="002C45A5" w:rsidP="002C45A5">
            <w:pPr>
              <w:pStyle w:val="TableBody"/>
              <w:rPr>
                <w:b/>
                <w:bCs/>
                <w:color w:val="auto"/>
                <w:lang w:val="en-US"/>
              </w:rPr>
            </w:pPr>
            <w:r w:rsidRPr="002C45A5">
              <w:rPr>
                <w:b/>
                <w:bCs/>
                <w:color w:val="auto"/>
                <w:lang w:val="en-US"/>
              </w:rPr>
              <w:t>4–8 hours</w:t>
            </w:r>
          </w:p>
        </w:tc>
        <w:tc>
          <w:tcPr>
            <w:tcW w:w="0" w:type="auto"/>
            <w:hideMark/>
          </w:tcPr>
          <w:p w14:paraId="6ABCFCAF" w14:textId="77777777" w:rsidR="002C45A5" w:rsidRPr="002C45A5" w:rsidRDefault="002C45A5" w:rsidP="002C45A5">
            <w:pPr>
              <w:pStyle w:val="TableBody"/>
              <w:rPr>
                <w:b/>
                <w:bCs/>
                <w:color w:val="auto"/>
                <w:lang w:val="en-US"/>
              </w:rPr>
            </w:pPr>
            <w:r w:rsidRPr="002C45A5">
              <w:rPr>
                <w:b/>
                <w:bCs/>
                <w:color w:val="auto"/>
                <w:lang w:val="en-US"/>
              </w:rPr>
              <w:t>Li-ion LFP</w:t>
            </w:r>
          </w:p>
        </w:tc>
        <w:tc>
          <w:tcPr>
            <w:tcW w:w="0" w:type="auto"/>
            <w:hideMark/>
          </w:tcPr>
          <w:p w14:paraId="6F36C447" w14:textId="77777777" w:rsidR="002C45A5" w:rsidRPr="002C45A5" w:rsidRDefault="002C45A5" w:rsidP="002C45A5">
            <w:pPr>
              <w:pStyle w:val="TableBody"/>
              <w:rPr>
                <w:b/>
                <w:bCs/>
                <w:color w:val="auto"/>
                <w:lang w:val="en-US"/>
              </w:rPr>
            </w:pPr>
            <w:r w:rsidRPr="002C45A5">
              <w:rPr>
                <w:b/>
                <w:bCs/>
                <w:color w:val="auto"/>
                <w:lang w:val="en-US"/>
              </w:rPr>
              <w:t>$110–$160</w:t>
            </w:r>
          </w:p>
        </w:tc>
        <w:tc>
          <w:tcPr>
            <w:tcW w:w="0" w:type="auto"/>
            <w:hideMark/>
          </w:tcPr>
          <w:p w14:paraId="2314B78E" w14:textId="77777777" w:rsidR="002C45A5" w:rsidRPr="002C45A5" w:rsidRDefault="002C45A5" w:rsidP="002C45A5">
            <w:pPr>
              <w:pStyle w:val="TableBody"/>
              <w:rPr>
                <w:b/>
                <w:bCs/>
                <w:color w:val="auto"/>
                <w:lang w:val="en-US"/>
              </w:rPr>
            </w:pPr>
            <w:r w:rsidRPr="002C45A5">
              <w:rPr>
                <w:b/>
                <w:bCs/>
                <w:color w:val="auto"/>
                <w:lang w:val="en-US"/>
              </w:rPr>
              <w:t>85–95%</w:t>
            </w:r>
          </w:p>
        </w:tc>
        <w:tc>
          <w:tcPr>
            <w:tcW w:w="0" w:type="auto"/>
            <w:hideMark/>
          </w:tcPr>
          <w:p w14:paraId="6CD27B74" w14:textId="77777777" w:rsidR="002C45A5" w:rsidRPr="002C45A5" w:rsidRDefault="002C45A5" w:rsidP="002C45A5">
            <w:pPr>
              <w:pStyle w:val="TableBody"/>
              <w:rPr>
                <w:b/>
                <w:bCs/>
                <w:color w:val="auto"/>
                <w:lang w:val="en-US"/>
              </w:rPr>
            </w:pPr>
            <w:r w:rsidRPr="002C45A5">
              <w:rPr>
                <w:b/>
                <w:bCs/>
                <w:color w:val="auto"/>
                <w:lang w:val="en-US"/>
              </w:rPr>
              <w:t>Intra-day solar time-shifting</w:t>
            </w:r>
          </w:p>
        </w:tc>
      </w:tr>
      <w:tr w:rsidR="002C45A5" w:rsidRPr="002C45A5" w14:paraId="7ED7F4FE" w14:textId="77777777" w:rsidTr="002C45A5">
        <w:tc>
          <w:tcPr>
            <w:tcW w:w="0" w:type="auto"/>
            <w:hideMark/>
          </w:tcPr>
          <w:p w14:paraId="11FAD7B8" w14:textId="77777777" w:rsidR="002C45A5" w:rsidRPr="002C45A5" w:rsidRDefault="002C45A5" w:rsidP="002C45A5">
            <w:pPr>
              <w:pStyle w:val="TableBody"/>
              <w:rPr>
                <w:b/>
                <w:bCs/>
                <w:color w:val="auto"/>
                <w:lang w:val="en-US"/>
              </w:rPr>
            </w:pPr>
            <w:r w:rsidRPr="002C45A5">
              <w:rPr>
                <w:b/>
                <w:bCs/>
                <w:color w:val="auto"/>
                <w:lang w:val="en-US"/>
              </w:rPr>
              <w:t>8–24 hours</w:t>
            </w:r>
          </w:p>
        </w:tc>
        <w:tc>
          <w:tcPr>
            <w:tcW w:w="0" w:type="auto"/>
            <w:hideMark/>
          </w:tcPr>
          <w:p w14:paraId="5F325840" w14:textId="77777777" w:rsidR="002C45A5" w:rsidRPr="002C45A5" w:rsidRDefault="002C45A5" w:rsidP="002C45A5">
            <w:pPr>
              <w:pStyle w:val="TableBody"/>
              <w:rPr>
                <w:b/>
                <w:bCs/>
                <w:color w:val="auto"/>
                <w:lang w:val="en-US"/>
              </w:rPr>
            </w:pPr>
            <w:r w:rsidRPr="002C45A5">
              <w:rPr>
                <w:b/>
                <w:bCs/>
                <w:color w:val="auto"/>
                <w:lang w:val="en-US"/>
              </w:rPr>
              <w:t>Flow Battery (VRFB)</w:t>
            </w:r>
          </w:p>
        </w:tc>
        <w:tc>
          <w:tcPr>
            <w:tcW w:w="0" w:type="auto"/>
            <w:hideMark/>
          </w:tcPr>
          <w:p w14:paraId="2970881C" w14:textId="77777777" w:rsidR="002C45A5" w:rsidRPr="002C45A5" w:rsidRDefault="002C45A5" w:rsidP="002C45A5">
            <w:pPr>
              <w:pStyle w:val="TableBody"/>
              <w:rPr>
                <w:b/>
                <w:bCs/>
                <w:color w:val="auto"/>
                <w:lang w:val="en-US"/>
              </w:rPr>
            </w:pPr>
            <w:r w:rsidRPr="002C45A5">
              <w:rPr>
                <w:b/>
                <w:bCs/>
                <w:color w:val="auto"/>
                <w:lang w:val="en-US"/>
              </w:rPr>
              <w:t>$180–$350</w:t>
            </w:r>
          </w:p>
        </w:tc>
        <w:tc>
          <w:tcPr>
            <w:tcW w:w="0" w:type="auto"/>
            <w:hideMark/>
          </w:tcPr>
          <w:p w14:paraId="5D22737C" w14:textId="77777777" w:rsidR="002C45A5" w:rsidRPr="002C45A5" w:rsidRDefault="002C45A5" w:rsidP="002C45A5">
            <w:pPr>
              <w:pStyle w:val="TableBody"/>
              <w:rPr>
                <w:b/>
                <w:bCs/>
                <w:color w:val="auto"/>
                <w:lang w:val="en-US"/>
              </w:rPr>
            </w:pPr>
            <w:r w:rsidRPr="002C45A5">
              <w:rPr>
                <w:b/>
                <w:bCs/>
                <w:color w:val="auto"/>
                <w:lang w:val="en-US"/>
              </w:rPr>
              <w:t>65–80%</w:t>
            </w:r>
          </w:p>
        </w:tc>
        <w:tc>
          <w:tcPr>
            <w:tcW w:w="0" w:type="auto"/>
            <w:hideMark/>
          </w:tcPr>
          <w:p w14:paraId="0DB549AC" w14:textId="77777777" w:rsidR="002C45A5" w:rsidRPr="002C45A5" w:rsidRDefault="002C45A5" w:rsidP="002C45A5">
            <w:pPr>
              <w:pStyle w:val="TableBody"/>
              <w:rPr>
                <w:b/>
                <w:bCs/>
                <w:color w:val="auto"/>
                <w:lang w:val="en-US"/>
              </w:rPr>
            </w:pPr>
            <w:r w:rsidRPr="002C45A5">
              <w:rPr>
                <w:b/>
                <w:bCs/>
                <w:color w:val="auto"/>
                <w:lang w:val="en-US"/>
              </w:rPr>
              <w:t>Multi-day firming &amp; weak-grid support</w:t>
            </w:r>
          </w:p>
        </w:tc>
      </w:tr>
      <w:tr w:rsidR="002C45A5" w:rsidRPr="002C45A5" w14:paraId="20B9D13F" w14:textId="77777777" w:rsidTr="002C45A5">
        <w:tc>
          <w:tcPr>
            <w:tcW w:w="0" w:type="auto"/>
            <w:hideMark/>
          </w:tcPr>
          <w:p w14:paraId="3DDEA63D" w14:textId="77777777" w:rsidR="002C45A5" w:rsidRPr="002C45A5" w:rsidRDefault="002C45A5" w:rsidP="002C45A5">
            <w:pPr>
              <w:pStyle w:val="TableBody"/>
              <w:rPr>
                <w:b/>
                <w:bCs/>
                <w:color w:val="auto"/>
                <w:lang w:val="en-US"/>
              </w:rPr>
            </w:pPr>
            <w:r w:rsidRPr="002C45A5">
              <w:rPr>
                <w:b/>
                <w:bCs/>
                <w:color w:val="auto"/>
                <w:lang w:val="en-US"/>
              </w:rPr>
              <w:t>24–100 hours</w:t>
            </w:r>
          </w:p>
        </w:tc>
        <w:tc>
          <w:tcPr>
            <w:tcW w:w="0" w:type="auto"/>
            <w:hideMark/>
          </w:tcPr>
          <w:p w14:paraId="219C56A4" w14:textId="77777777" w:rsidR="002C45A5" w:rsidRPr="002C45A5" w:rsidRDefault="002C45A5" w:rsidP="002C45A5">
            <w:pPr>
              <w:pStyle w:val="TableBody"/>
              <w:rPr>
                <w:b/>
                <w:bCs/>
                <w:color w:val="auto"/>
                <w:lang w:val="en-US"/>
              </w:rPr>
            </w:pPr>
            <w:r w:rsidRPr="002C45A5">
              <w:rPr>
                <w:b/>
                <w:bCs/>
                <w:color w:val="auto"/>
                <w:lang w:val="en-US"/>
              </w:rPr>
              <w:t>Iron-Air</w:t>
            </w:r>
          </w:p>
        </w:tc>
        <w:tc>
          <w:tcPr>
            <w:tcW w:w="0" w:type="auto"/>
            <w:hideMark/>
          </w:tcPr>
          <w:p w14:paraId="05B49B50" w14:textId="77777777" w:rsidR="002C45A5" w:rsidRPr="002C45A5" w:rsidRDefault="002C45A5" w:rsidP="002C45A5">
            <w:pPr>
              <w:pStyle w:val="TableBody"/>
              <w:rPr>
                <w:b/>
                <w:bCs/>
                <w:color w:val="auto"/>
                <w:lang w:val="en-US"/>
              </w:rPr>
            </w:pPr>
            <w:r w:rsidRPr="002C45A5">
              <w:rPr>
                <w:b/>
                <w:bCs/>
                <w:color w:val="auto"/>
                <w:lang w:val="en-US"/>
              </w:rPr>
              <w:t>$20–$30</w:t>
            </w:r>
          </w:p>
        </w:tc>
        <w:tc>
          <w:tcPr>
            <w:tcW w:w="0" w:type="auto"/>
            <w:hideMark/>
          </w:tcPr>
          <w:p w14:paraId="7CB6F558" w14:textId="77777777" w:rsidR="002C45A5" w:rsidRPr="002C45A5" w:rsidRDefault="002C45A5" w:rsidP="002C45A5">
            <w:pPr>
              <w:pStyle w:val="TableBody"/>
              <w:rPr>
                <w:b/>
                <w:bCs/>
                <w:color w:val="auto"/>
                <w:lang w:val="en-US"/>
              </w:rPr>
            </w:pPr>
            <w:r w:rsidRPr="002C45A5">
              <w:rPr>
                <w:b/>
                <w:bCs/>
                <w:color w:val="auto"/>
                <w:lang w:val="en-US"/>
              </w:rPr>
              <w:t>40–45%</w:t>
            </w:r>
          </w:p>
        </w:tc>
        <w:tc>
          <w:tcPr>
            <w:tcW w:w="0" w:type="auto"/>
            <w:hideMark/>
          </w:tcPr>
          <w:p w14:paraId="11EF3465" w14:textId="77777777" w:rsidR="002C45A5" w:rsidRPr="002C45A5" w:rsidRDefault="002C45A5" w:rsidP="002C45A5">
            <w:pPr>
              <w:pStyle w:val="TableBody"/>
              <w:rPr>
                <w:b/>
                <w:bCs/>
                <w:color w:val="auto"/>
                <w:lang w:val="en-US"/>
              </w:rPr>
            </w:pPr>
            <w:r w:rsidRPr="002C45A5">
              <w:rPr>
                <w:b/>
                <w:bCs/>
                <w:color w:val="auto"/>
                <w:lang w:val="en-US"/>
              </w:rPr>
              <w:t>Multi-day drought resilience &amp; base load tracking</w:t>
            </w:r>
          </w:p>
        </w:tc>
      </w:tr>
      <w:tr w:rsidR="002C45A5" w:rsidRPr="002C45A5" w14:paraId="5687618E" w14:textId="77777777" w:rsidTr="002C45A5">
        <w:tc>
          <w:tcPr>
            <w:tcW w:w="0" w:type="auto"/>
            <w:hideMark/>
          </w:tcPr>
          <w:p w14:paraId="139D2D77" w14:textId="77777777" w:rsidR="002C45A5" w:rsidRPr="002C45A5" w:rsidRDefault="002C45A5" w:rsidP="002C45A5">
            <w:pPr>
              <w:pStyle w:val="TableBody"/>
              <w:rPr>
                <w:b/>
                <w:bCs/>
                <w:color w:val="auto"/>
                <w:lang w:val="en-US"/>
              </w:rPr>
            </w:pPr>
            <w:r w:rsidRPr="002C45A5">
              <w:rPr>
                <w:b/>
                <w:bCs/>
                <w:color w:val="auto"/>
                <w:lang w:val="en-US"/>
              </w:rPr>
              <w:t>100+ hours</w:t>
            </w:r>
          </w:p>
        </w:tc>
        <w:tc>
          <w:tcPr>
            <w:tcW w:w="0" w:type="auto"/>
            <w:hideMark/>
          </w:tcPr>
          <w:p w14:paraId="0FE5DDF7" w14:textId="77777777" w:rsidR="002C45A5" w:rsidRPr="002C45A5" w:rsidRDefault="002C45A5" w:rsidP="002C45A5">
            <w:pPr>
              <w:pStyle w:val="TableBody"/>
              <w:rPr>
                <w:b/>
                <w:bCs/>
                <w:color w:val="auto"/>
                <w:lang w:val="en-US"/>
              </w:rPr>
            </w:pPr>
            <w:r w:rsidRPr="002C45A5">
              <w:rPr>
                <w:b/>
                <w:bCs/>
                <w:color w:val="auto"/>
                <w:lang w:val="en-US"/>
              </w:rPr>
              <w:t>Green $H_2$ Systems</w:t>
            </w:r>
          </w:p>
        </w:tc>
        <w:tc>
          <w:tcPr>
            <w:tcW w:w="0" w:type="auto"/>
            <w:hideMark/>
          </w:tcPr>
          <w:p w14:paraId="0080F4E5" w14:textId="77777777" w:rsidR="002C45A5" w:rsidRPr="002C45A5" w:rsidRDefault="002C45A5" w:rsidP="002C45A5">
            <w:pPr>
              <w:pStyle w:val="TableBody"/>
              <w:rPr>
                <w:b/>
                <w:bCs/>
                <w:color w:val="auto"/>
                <w:lang w:val="en-US"/>
              </w:rPr>
            </w:pPr>
            <w:r w:rsidRPr="002C45A5">
              <w:rPr>
                <w:b/>
                <w:bCs/>
                <w:color w:val="auto"/>
                <w:lang w:val="en-US"/>
              </w:rPr>
              <w:t>$130–$220</w:t>
            </w:r>
          </w:p>
        </w:tc>
        <w:tc>
          <w:tcPr>
            <w:tcW w:w="0" w:type="auto"/>
            <w:hideMark/>
          </w:tcPr>
          <w:p w14:paraId="6E3FB674" w14:textId="77777777" w:rsidR="002C45A5" w:rsidRPr="002C45A5" w:rsidRDefault="002C45A5" w:rsidP="002C45A5">
            <w:pPr>
              <w:pStyle w:val="TableBody"/>
              <w:rPr>
                <w:b/>
                <w:bCs/>
                <w:color w:val="auto"/>
                <w:lang w:val="en-US"/>
              </w:rPr>
            </w:pPr>
            <w:r w:rsidRPr="002C45A5">
              <w:rPr>
                <w:b/>
                <w:bCs/>
                <w:color w:val="auto"/>
                <w:lang w:val="en-US"/>
              </w:rPr>
              <w:t>30–41%</w:t>
            </w:r>
          </w:p>
        </w:tc>
        <w:tc>
          <w:tcPr>
            <w:tcW w:w="0" w:type="auto"/>
            <w:hideMark/>
          </w:tcPr>
          <w:p w14:paraId="1D476200" w14:textId="6F84123D" w:rsidR="002C45A5" w:rsidRPr="002C45A5" w:rsidRDefault="00ED2C1B" w:rsidP="00ED2C1B">
            <w:pPr>
              <w:pStyle w:val="TableBody"/>
              <w:rPr>
                <w:b/>
                <w:bCs/>
                <w:color w:val="auto"/>
                <w:lang w:val="en-US"/>
              </w:rPr>
            </w:pPr>
            <w:r w:rsidRPr="00ED2C1B">
              <w:rPr>
                <w:b/>
                <w:bCs/>
                <w:color w:val="auto"/>
                <w:lang w:val="en-US"/>
              </w:rPr>
              <w:t>Seasonal shifting &amp; long-duration backup</w:t>
            </w:r>
          </w:p>
        </w:tc>
      </w:tr>
    </w:tbl>
    <w:p w14:paraId="7C9B1409" w14:textId="77777777" w:rsidR="002C45A5" w:rsidRPr="006701FD" w:rsidRDefault="002C45A5" w:rsidP="006701FD">
      <w:pPr>
        <w:spacing w:after="120"/>
        <w:ind w:firstLine="480"/>
      </w:pPr>
    </w:p>
    <w:p w14:paraId="7B68C762" w14:textId="637E5B9B" w:rsidR="007E1BC7" w:rsidRDefault="007E1BC7" w:rsidP="007E1BC7">
      <w:pPr>
        <w:pStyle w:val="Heading20"/>
        <w:rPr>
          <w:color w:val="auto"/>
        </w:rPr>
      </w:pPr>
      <w:r>
        <w:rPr>
          <w:color w:val="auto"/>
        </w:rPr>
        <w:t>5.4. Hybrid Backup Power Systems</w:t>
      </w:r>
    </w:p>
    <w:p w14:paraId="1E31E465" w14:textId="29516452" w:rsidR="00EE0471" w:rsidRPr="00EE0471" w:rsidRDefault="00EE0471" w:rsidP="00866BB5">
      <w:pPr>
        <w:spacing w:after="120"/>
        <w:ind w:firstLine="480"/>
      </w:pPr>
      <w:r w:rsidRPr="00EE0471">
        <w:lastRenderedPageBreak/>
        <w:t>Choosing a technology for back 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Diesel generators do however generate substantial air pollutants (NOx, PM2.5) and CO</w:t>
      </w:r>
      <w:r w:rsidRPr="00ED5900">
        <w:rPr>
          <w:vertAlign w:val="subscript"/>
        </w:rPr>
        <w:t>2</w:t>
      </w:r>
      <w:r w:rsidRPr="00EE0471">
        <w:t xml:space="preserve"> emissions locally which poses conflicts with corporate sustainability objectives</w:t>
      </w:r>
      <w:r w:rsidR="00C161EC">
        <w:fldChar w:fldCharType="begin"/>
      </w:r>
      <w:r w:rsidR="00866BB5">
        <w:instrText xml:space="preserve"> ADDIN ZOTERO_ITEM CSL_CITATION {"citationID":"y7cVLr5U","properties":{"unsorted":false,"formattedCitation":"[109]","plainCitation":"[109]","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rsidR="00C161EC">
        <w:fldChar w:fldCharType="separate"/>
      </w:r>
      <w:r w:rsidR="00866BB5" w:rsidRPr="00866BB5">
        <w:t>[109]</w:t>
      </w:r>
      <w:r w:rsidR="00C161EC">
        <w:fldChar w:fldCharType="end"/>
      </w:r>
      <w:r w:rsidRPr="00EE0471">
        <w:t>. Typical diesel generator installations for a 100 MW data center with N+1 redundancy are about a total of 20 to 30 MW, with 24 to 72 hours of fuel storage to operate at full load.</w:t>
      </w:r>
    </w:p>
    <w:p w14:paraId="7B13C177" w14:textId="4348344B" w:rsidR="00EE0471" w:rsidRPr="00EE0471" w:rsidRDefault="00EE0471" w:rsidP="00866BB5">
      <w:pPr>
        <w:spacing w:after="120"/>
        <w:ind w:firstLine="480"/>
      </w:pPr>
      <w:r w:rsidRPr="00EE0471">
        <w:t>Natural gas generators produce lower emissions than diesel. CO</w:t>
      </w:r>
      <w:r w:rsidR="004A0F17" w:rsidRPr="004A0F17">
        <w:rPr>
          <w:vertAlign w:val="subscript"/>
        </w:rPr>
        <w:t>2</w:t>
      </w:r>
      <w:r w:rsidRPr="00EE0471">
        <w:t xml:space="preserve"> emissions are around 20</w:t>
      </w:r>
      <w:r w:rsidR="00F417EF">
        <w:t>-</w:t>
      </w:r>
      <w:r w:rsidRPr="00EE0471">
        <w:t>30</w:t>
      </w:r>
      <w:r w:rsidR="00F417EF">
        <w:t xml:space="preserve">% </w:t>
      </w:r>
      <w:r w:rsidRPr="00EE0471">
        <w:t>lower per kWh and local air quality impact is much lower. Capital costs are similar to diesel ($350 - $650/kW), but the reliability of fuel supply is dependent upon the natural gas pipeline infrastructure, which might be vulnerable during extreme weather events</w:t>
      </w:r>
      <w:r w:rsidR="004172B4">
        <w:fldChar w:fldCharType="begin"/>
      </w:r>
      <w:r w:rsidR="00866BB5">
        <w:instrText xml:space="preserve"> ADDIN ZOTERO_ITEM CSL_CITATION {"citationID":"KkWqXrYg","properties":{"unsorted":false,"formattedCitation":"[110]","plainCitation":"[110]","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rsidR="004172B4">
        <w:fldChar w:fldCharType="separate"/>
      </w:r>
      <w:r w:rsidR="00866BB5" w:rsidRPr="00866BB5">
        <w:t>[110]</w:t>
      </w:r>
      <w:r w:rsidR="004172B4">
        <w:fldChar w:fldCharType="end"/>
      </w:r>
      <w:r w:rsidRPr="00EE0471">
        <w:t>. Microturbines, which are powered by natural gas or biogas, have lower efficiency (25</w:t>
      </w:r>
      <w:r w:rsidR="00657990">
        <w:t>-</w:t>
      </w:r>
      <w:r w:rsidRPr="00EE0471">
        <w:t>35</w:t>
      </w:r>
      <w:r w:rsidR="00657990">
        <w:t>%</w:t>
      </w:r>
      <w:r w:rsidRPr="00EE0471">
        <w:t>) than reciprocating engines and have smaller footprints and less maintenance</w:t>
      </w:r>
      <w:r w:rsidR="007E0119">
        <w:fldChar w:fldCharType="begin"/>
      </w:r>
      <w:r w:rsidR="00866BB5">
        <w:instrText xml:space="preserve"> ADDIN ZOTERO_ITEM CSL_CITATION {"citationID":"H0M4Pu4F","properties":{"unsorted":false,"formattedCitation":"[111]","plainCitation":"[111]","noteIndex":0},"citationItems":[{"id":2082,"uris":["http://zotero.org/users/9870935/items/PZTN4HPZ"],"itemData":{"id":2082,"type":"post-weblog","title":"Powering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007E0119">
        <w:fldChar w:fldCharType="separate"/>
      </w:r>
      <w:r w:rsidR="00866BB5" w:rsidRPr="00866BB5">
        <w:t>[111]</w:t>
      </w:r>
      <w:r w:rsidR="007E0119">
        <w:fldChar w:fldCharType="end"/>
      </w:r>
      <w:r w:rsidRPr="00EE0471">
        <w:t>.</w:t>
      </w:r>
    </w:p>
    <w:p w14:paraId="2366E27B" w14:textId="6B453EAB" w:rsidR="007E1BC7" w:rsidRPr="00EE0471" w:rsidRDefault="00EE0471" w:rsidP="00866BB5">
      <w:pPr>
        <w:spacing w:after="120"/>
        <w:ind w:firstLine="480"/>
      </w:pPr>
      <w:r w:rsidRPr="00EE0471">
        <w:t>Assessing grid connection as a backup method assumes that the utility grid is reliable, and has dual utility feeds from separate substations, minimizing the likelihood of a dual outage. Tiered power contracts are a mix of firm capacity and interruptible lower-powered rates that offer economic flexibility along with backup power</w:t>
      </w:r>
      <w:r w:rsidR="00D47CF5">
        <w:fldChar w:fldCharType="begin"/>
      </w:r>
      <w:r w:rsidR="00866BB5">
        <w:instrText xml:space="preserve"> ADDIN ZOTERO_ITEM CSL_CITATION {"citationID":"a5J6f3tN","properties":{"unsorted":false,"formattedCitation":"[112]","plainCitation":"[112]","noteIndex":0},"citationItems":[{"id":2083,"uris":["http://zotero.org/users/9870935/items/XWHBFKKT"],"itemData":{"id":2083,"type":"post-weblog","title":"Powering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rsidR="00D47CF5">
        <w:fldChar w:fldCharType="separate"/>
      </w:r>
      <w:r w:rsidR="00866BB5" w:rsidRPr="00866BB5">
        <w:t>[112]</w:t>
      </w:r>
      <w:r w:rsidR="00D47CF5">
        <w:fldChar w:fldCharType="end"/>
      </w:r>
      <w:r w:rsidRPr="00EE0471">
        <w:t>. Grid backup varies widely from region to region, with an average of 1.5 to 6 hours of utility outages per year in the U.S. for each utility and geographic area</w:t>
      </w:r>
      <w:r w:rsidR="00EB5E56">
        <w:fldChar w:fldCharType="begin"/>
      </w:r>
      <w:r w:rsidR="00866BB5">
        <w:instrText xml:space="preserve"> ADDIN ZOTERO_ITEM CSL_CITATION {"citationID":"UpEoxyqs","properties":{"unsorted":false,"formattedCitation":"[113]","plainCitation":"[113]","noteIndex":0},"citationItems":[{"id":2084,"uris":["http://zotero.org/users/9870935/items/TIB5XQM5"],"itemData":{"id":2084,"type":"post-weblog","title":"Electric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rsidR="00EB5E56">
        <w:fldChar w:fldCharType="separate"/>
      </w:r>
      <w:r w:rsidR="00866BB5" w:rsidRPr="00866BB5">
        <w:t>[113]</w:t>
      </w:r>
      <w:r w:rsidR="00EB5E56">
        <w:fldChar w:fldCharType="end"/>
      </w:r>
      <w:r w:rsidRPr="00EE0471">
        <w:t>.</w:t>
      </w:r>
    </w:p>
    <w:p w14:paraId="600A8D68" w14:textId="06F045C7" w:rsidR="00994384" w:rsidRDefault="00994384" w:rsidP="00994384">
      <w:pPr>
        <w:pStyle w:val="Heading20"/>
        <w:rPr>
          <w:color w:val="auto"/>
        </w:rPr>
      </w:pPr>
      <w:r>
        <w:rPr>
          <w:color w:val="auto"/>
        </w:rPr>
        <w:t xml:space="preserve">5.5. </w:t>
      </w:r>
      <w:r w:rsidR="008A1C61">
        <w:rPr>
          <w:color w:val="auto"/>
        </w:rPr>
        <w:t>Integration and Control Architecture</w:t>
      </w:r>
    </w:p>
    <w:p w14:paraId="481EB21A" w14:textId="5B33F5A8" w:rsidR="00FE141F" w:rsidRPr="00FE141F" w:rsidRDefault="00FE141F" w:rsidP="00866BB5">
      <w:pPr>
        <w:spacing w:after="120"/>
        <w:ind w:firstLine="480"/>
      </w:pPr>
      <w:r w:rsidRPr="00FE141F">
        <w:t>In a microgrid for a data center powered by renewable energy, the energy management system (EMS) provides the central intelligence coordination of renewable generation, storage dispatch, backup power activation and demand-side management. The modern EMS platforms have three main levels of control: device-level controllers that react to the grid signals in milliseconds, facility-level EMS that control dispatch optimization every hour and corporate-level optimizers that control resource allocation across multiple facilities</w:t>
      </w:r>
      <w:r w:rsidR="0042671C">
        <w:fldChar w:fldCharType="begin"/>
      </w:r>
      <w:r w:rsidR="00866BB5">
        <w:instrText xml:space="preserve"> ADDIN ZOTERO_ITEM CSL_CITATION {"citationID":"PrmsOtPX","properties":{"unsorted":false,"formattedCitation":"[114]","plainCitation":"[114]","noteIndex":0},"citationItems":[{"id":2085,"uris":["http://zotero.org/users/9870935/items/8HNCPDSJ"],"itemData":{"id":2085,"type":"article-journal","container-title":"Energy Reports","DOI":"10.1016/j.egyr.2022.03.009","ISSN":"23524847","journalAbbreviation":"Energy Reports","language":"en","page":"3948-3963","source":"DOI.org (Crossref)","title":"A review of control strategies for flywheel energy storage system and a case study with matrix converter","volume":"8","author":[{"family":"Zhang","given":"J.W."},{"family":"Wang","given":"Y.H."},{"family":"Liu","given":"G.C."},{"family":"Tian","given":"G.Z."}],"issued":{"date-parts":[["2022",11]]}}}],"schema":"https://github.com/citation-style-language/schema/raw/master/csl-citation.json"} </w:instrText>
      </w:r>
      <w:r w:rsidR="0042671C">
        <w:fldChar w:fldCharType="separate"/>
      </w:r>
      <w:r w:rsidR="00866BB5" w:rsidRPr="00866BB5">
        <w:t>[114]</w:t>
      </w:r>
      <w:r w:rsidR="0042671C">
        <w:fldChar w:fldCharType="end"/>
      </w:r>
      <w:r w:rsidRPr="00FE141F">
        <w:t>.</w:t>
      </w:r>
    </w:p>
    <w:p w14:paraId="5CA37160" w14:textId="4202F2E7" w:rsidR="00FE141F" w:rsidRPr="00FE141F" w:rsidRDefault="00FE141F" w:rsidP="00866BB5">
      <w:pPr>
        <w:spacing w:after="120"/>
        <w:ind w:firstLine="480"/>
      </w:pPr>
      <w:r w:rsidRPr="00FE141F">
        <w:t>Model-predictive control (MPC) is the preferred dispatch optimization approach, which combines forecasting of renewable generation and load demand to provide 24 to 48 hour dispatch optimization, updated periodically</w:t>
      </w:r>
      <w:r w:rsidR="00BD2299">
        <w:fldChar w:fldCharType="begin"/>
      </w:r>
      <w:r w:rsidR="00866BB5">
        <w:instrText xml:space="preserve"> ADDIN ZOTERO_ITEM CSL_CITATION {"citationID":"vgPGRl66","properties":{"unsorted":false,"formattedCitation":"[115]","plainCitation":"[115]","noteIndex":0},"citationItems":[{"id":2086,"uris":["http://zotero.org/users/9870935/items/PSX5T5NE"],"itemData":{"id":2086,"type":"article-journal","abstract":"Renewable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00BD2299">
        <w:fldChar w:fldCharType="separate"/>
      </w:r>
      <w:r w:rsidR="00866BB5" w:rsidRPr="00866BB5">
        <w:t>[115]</w:t>
      </w:r>
      <w:r w:rsidR="00BD2299">
        <w:fldChar w:fldCharType="end"/>
      </w:r>
      <w:r w:rsidRPr="00FE141F">
        <w:t>. The MPC formulation aims to minimise a cost function comprising energy procurement costs, battery degradation costs, demand charge penalties, and carbon emission costs, while satisfying physical constraints such as battery state-of-charge limits, inverter capacity ratings, and interconnection power flow bounds. Research has shown that MPC-based dispatch can provide savings of 10-20% in energy cost, while achieving similar or better reliability performance, over simple rule-based dispatch strategies</w:t>
      </w:r>
      <w:r w:rsidR="00301AC3">
        <w:fldChar w:fldCharType="begin"/>
      </w:r>
      <w:r w:rsidR="00866BB5">
        <w:instrText xml:space="preserve"> ADDIN ZOTERO_ITEM CSL_CITATION {"citationID":"n2uVBffu","properties":{"unsorted":false,"formattedCitation":"[116]","plainCitation":"[116]","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301AC3">
        <w:fldChar w:fldCharType="separate"/>
      </w:r>
      <w:r w:rsidR="00866BB5" w:rsidRPr="00866BB5">
        <w:t>[116]</w:t>
      </w:r>
      <w:r w:rsidR="00301AC3">
        <w:fldChar w:fldCharType="end"/>
      </w:r>
      <w:r w:rsidRPr="00FE141F">
        <w:t>.</w:t>
      </w:r>
    </w:p>
    <w:p w14:paraId="1A2E3286" w14:textId="4ADE0587" w:rsidR="008A1C61" w:rsidRPr="00FE141F" w:rsidRDefault="00FE141F" w:rsidP="00866BB5">
      <w:pPr>
        <w:spacing w:after="120"/>
        <w:ind w:firstLine="480"/>
      </w:pPr>
      <w:r w:rsidRPr="00FE141F">
        <w:t xml:space="preserve">A key aspect of system reliability is implementing fault detection, redundancy, and failover logic. Modern EMS platforms have N+1 or 2N redundancy for key components and automatically </w:t>
      </w:r>
      <w:r w:rsidR="00B50B4A" w:rsidRPr="00FE141F">
        <w:t>fail</w:t>
      </w:r>
      <w:r w:rsidRPr="00FE141F">
        <w:t xml:space="preserve"> if any controller or communication fails. To address the growing threats to </w:t>
      </w:r>
      <w:r w:rsidRPr="00FE141F">
        <w:lastRenderedPageBreak/>
        <w:t>critical infrastructure, cybersecurity provisions, such as encrypted communications, multi-factor authentication and network segmentation between operational technology (OT) and enterprise IT networks, are vital</w:t>
      </w:r>
      <w:r w:rsidR="007D315D">
        <w:fldChar w:fldCharType="begin"/>
      </w:r>
      <w:r w:rsidR="00866BB5">
        <w:instrText xml:space="preserve"> ADDIN ZOTERO_ITEM CSL_CITATION {"citationID":"pn3NYYgZ","properties":{"unsorted":false,"formattedCitation":"[117]","plainCitation":"[117]","noteIndex":0},"citationItems":[{"id":2089,"uris":["http://zotero.org/users/9870935/items/QKZEVQIE"],"itemData":{"id":2089,"type":"article-journal","abstract":"In recent years, the Oil &amp; Gas industry has been subjected to a progressive electrification process aiming to comply with global environmental requirements on CO2 emissions reduction. High-power electric motors fed by Variable Frequency Drives (VFDs) have replaced gas turbines as drivers for gas compression applications. In Liquefied Natural Gas (LNG) plants, unexpected downturns could be experienced in case of high torsional vibrations of power generations units. These torsional vibrations derive from the interaction among turbine-generator (TG) units and VFDs and are known as Sub-Synchronous Torsional Interactions (SSTIs). SSTIs can lead to instability when the overall electromechanical system lacks sufficient damping. In this scenario, electrical damping assessment is fundamental in order to ensure stability and reliable operation of an LNG plant. Negative electrical damping is strictly related to the negative incremental resistance behavior of the power converters and it is influenced by the converter’s control system. In this paper, a real case study based on Thyristor Variable Frequency Drives (TVFDs) is considered. Ad hoc dynamic models of the power converters and of the TG unit are developed and combined in order to provide an accurate estimation of the electrical damping. It is demonstrated that the electrical damping is affected by variations of the main control system parameters and how the use of a simplified model instead of an ad hoc model can impact the stability evaluation.","container-title":"Energies","DOI":"10.3390/en13102612","ISSN":"1996-1073","issue":"10","journalAbbreviation":"Energies","language":"en","page":"2612","source":"DOI.org (Crossref)","title":"Electrical Damping Assessment and Stability Considerations for a Highly Electrified Liquefied Natural Gas Plant","volume":"13","author":[{"family":"Bongini","given":"Lorenzo"},{"family":"Mastromauro","given":"Rosa Anna"},{"family":"Sgrò","given":"Daniele"},{"family":"Malvaldi","given":"Fabrizio"}],"issued":{"date-parts":[["2020",5,20]]}}}],"schema":"https://github.com/citation-style-language/schema/raw/master/csl-citation.json"} </w:instrText>
      </w:r>
      <w:r w:rsidR="007D315D">
        <w:fldChar w:fldCharType="separate"/>
      </w:r>
      <w:r w:rsidR="00866BB5" w:rsidRPr="00866BB5">
        <w:t>[117]</w:t>
      </w:r>
      <w:r w:rsidR="007D315D">
        <w:fldChar w:fldCharType="end"/>
      </w:r>
      <w:r w:rsidRPr="00FE141F">
        <w:t>.</w:t>
      </w:r>
    </w:p>
    <w:p w14:paraId="35C119D7" w14:textId="189067E5" w:rsidR="00266077" w:rsidRDefault="002A4526" w:rsidP="00266077">
      <w:pPr>
        <w:pStyle w:val="Heading10"/>
        <w:rPr>
          <w:color w:val="auto"/>
        </w:rPr>
      </w:pPr>
      <w:r>
        <w:rPr>
          <w:color w:val="auto"/>
          <w:lang w:eastAsia="zh-CN"/>
        </w:rPr>
        <w:t>6</w:t>
      </w:r>
      <w:r w:rsidR="00266077">
        <w:rPr>
          <w:color w:val="auto"/>
          <w:lang w:eastAsia="zh-CN"/>
        </w:rPr>
        <w:t xml:space="preserve">. </w:t>
      </w:r>
      <w:r>
        <w:rPr>
          <w:color w:val="auto"/>
        </w:rPr>
        <w:t>Power System Modeling and Simulation</w:t>
      </w:r>
    </w:p>
    <w:p w14:paraId="792125A6" w14:textId="4286EF9F" w:rsidR="00C127D3" w:rsidRDefault="00C127D3" w:rsidP="00C127D3">
      <w:pPr>
        <w:spacing w:after="120"/>
        <w:ind w:firstLine="480"/>
      </w:pPr>
      <w:r>
        <w:t xml:space="preserve">This </w:t>
      </w:r>
      <w:r w:rsidR="002068F4">
        <w:t>section</w:t>
      </w:r>
      <w:r>
        <w:t xml:space="preserve"> examines the tools, methodologies, and validation approaches for designing and analyzing hybrid microgrid systems for renewable-powered AI data centers. Accurate modeling is essential for predicting system performance under varying operating conditions, optimizing component sizing, and validating control strategies before deployment.</w:t>
      </w:r>
    </w:p>
    <w:p w14:paraId="0BAFF9FA" w14:textId="187AAA99" w:rsidR="00C127D3" w:rsidRDefault="00C127D3" w:rsidP="00C127D3">
      <w:pPr>
        <w:pStyle w:val="Heading20"/>
        <w:rPr>
          <w:color w:val="auto"/>
        </w:rPr>
      </w:pPr>
      <w:r>
        <w:rPr>
          <w:color w:val="auto"/>
        </w:rPr>
        <w:t>6.1. Steady-State Power Flow Analysis</w:t>
      </w:r>
    </w:p>
    <w:p w14:paraId="79B677CF" w14:textId="6944D8A4" w:rsidR="00970159" w:rsidRPr="00970159" w:rsidRDefault="00970159" w:rsidP="00866BB5">
      <w:pPr>
        <w:spacing w:after="120"/>
        <w:ind w:firstLine="480"/>
      </w:pPr>
      <w:r w:rsidRPr="00970159">
        <w:t>The voltage profile, power flow, and losses derived from steady-state power flow analysis are the basis for the design of electrical systems, as they define equipment ratings and protection settings. The power flow equations are nonlinear, and the Newton-Raphson method is the standard algorithm used to solve them, needing usually 4 to 8 iterations to converge for well-conditioned system</w:t>
      </w:r>
      <w:r w:rsidR="006236BD">
        <w:fldChar w:fldCharType="begin"/>
      </w:r>
      <w:r w:rsidR="00866BB5">
        <w:instrText xml:space="preserve"> ADDIN ZOTERO_ITEM CSL_CITATION {"citationID":"R69gUmT3","properties":{"unsorted":false,"formattedCitation":"[118]","plainCitation":"[118]","noteIndex":0},"citationItems":[{"id":2090,"uris":["http://zotero.org/users/9870935/items/MW6JYBRT"],"itemData":{"id":2090,"type":"article-journal","container-title":"IEEE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rsidR="006236BD">
        <w:fldChar w:fldCharType="separate"/>
      </w:r>
      <w:r w:rsidR="00866BB5" w:rsidRPr="00866BB5">
        <w:t>[118]</w:t>
      </w:r>
      <w:r w:rsidR="006236BD">
        <w:fldChar w:fldCharType="end"/>
      </w:r>
      <w:r w:rsidRPr="00970159">
        <w:t>. The DC power flow approximation also includes a linearization of the AC power flow equations, omitting reactive power and voltage magnitude changes, and leads to computationally efficient results appropriate for screening level analysis and large-scale system studies</w:t>
      </w:r>
      <w:r w:rsidR="00B8030A">
        <w:fldChar w:fldCharType="begin"/>
      </w:r>
      <w:r w:rsidR="00866BB5">
        <w:instrText xml:space="preserve"> ADDIN ZOTERO_ITEM CSL_CITATION {"citationID":"mJtqhMx4","properties":{"unsorted":false,"formattedCitation":"[119]","plainCitation":"[119]","noteIndex":0},"citationItems":[{"id":2091,"uris":["http://zotero.org/users/9870935/items/P7FFXDCA"],"itemData":{"id":2091,"type":"article-journal","container-title":"IEEE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rsidR="00B8030A">
        <w:fldChar w:fldCharType="separate"/>
      </w:r>
      <w:r w:rsidR="00866BB5" w:rsidRPr="00866BB5">
        <w:t>[119]</w:t>
      </w:r>
      <w:r w:rsidR="00B8030A">
        <w:fldChar w:fldCharType="end"/>
      </w:r>
      <w:r w:rsidRPr="00970159">
        <w:t>.</w:t>
      </w:r>
    </w:p>
    <w:p w14:paraId="5DAF9404" w14:textId="446F0360" w:rsidR="00C127D3" w:rsidRPr="00970159" w:rsidRDefault="00970159" w:rsidP="00866BB5">
      <w:pPr>
        <w:spacing w:after="120"/>
        <w:ind w:firstLine="480"/>
      </w:pPr>
      <w:r w:rsidRPr="00970159">
        <w:t xml:space="preserve">Optimal power flow (OPF) is an extension of the basic power flow formulation with an objective function (typically cost minimization or loss minimization) and operational constraints on voltage magnitudes, line flows, and generator outputs. OPF can be employed in renewable powered data </w:t>
      </w:r>
      <w:r w:rsidR="00B50B4A" w:rsidRPr="00970159">
        <w:t>centers</w:t>
      </w:r>
      <w:r w:rsidRPr="00970159">
        <w:t xml:space="preserve"> to </w:t>
      </w:r>
      <w:r w:rsidR="00B50B4A" w:rsidRPr="00970159">
        <w:t>optimize</w:t>
      </w:r>
      <w:r w:rsidRPr="00970159">
        <w:t xml:space="preserve"> the dispatch of renewable generators, battery storage and grid interconnection to </w:t>
      </w:r>
      <w:r w:rsidR="00B50B4A" w:rsidRPr="00970159">
        <w:t>minimize</w:t>
      </w:r>
      <w:r w:rsidRPr="00970159">
        <w:t xml:space="preserve"> energy costs whilst maintaining power quality and reliability</w:t>
      </w:r>
      <w:r w:rsidR="00BF4946">
        <w:fldChar w:fldCharType="begin"/>
      </w:r>
      <w:r w:rsidR="00866BB5">
        <w:instrText xml:space="preserve"> ADDIN ZOTERO_ITEM CSL_CITATION {"citationID":"ZkcxuEkd","properties":{"unsorted":false,"formattedCitation":"[120]","plainCitation":"[120]","noteIndex":0},"citationItems":[{"id":2092,"uris":["http://zotero.org/users/9870935/items/5VTNPVIA"],"itemData":{"id":2092,"type":"article-journal","container-title":"IEEE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rsidR="00BF4946">
        <w:fldChar w:fldCharType="separate"/>
      </w:r>
      <w:r w:rsidR="00866BB5" w:rsidRPr="00866BB5">
        <w:t>[120]</w:t>
      </w:r>
      <w:r w:rsidR="00BF4946">
        <w:fldChar w:fldCharType="end"/>
      </w:r>
      <w:r w:rsidRPr="00970159">
        <w:t>. In contingency analysis, which is based on the N-1 reliability criterion, the performance of a system is tested when one component fails, to ensure that the system will still be able to operate satisfactorily after this failure</w:t>
      </w:r>
      <w:r w:rsidR="00E3235C">
        <w:fldChar w:fldCharType="begin"/>
      </w:r>
      <w:r w:rsidR="00866BB5">
        <w:instrText xml:space="preserve"> ADDIN ZOTERO_ITEM CSL_CITATION {"citationID":"ipICDqP7","properties":{"unsorted":false,"formattedCitation":"[121]","plainCitation":"[121]","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rsidR="00E3235C">
        <w:fldChar w:fldCharType="separate"/>
      </w:r>
      <w:r w:rsidR="00866BB5" w:rsidRPr="00866BB5">
        <w:t>[121]</w:t>
      </w:r>
      <w:r w:rsidR="00E3235C">
        <w:fldChar w:fldCharType="end"/>
      </w:r>
      <w:r w:rsidRPr="00970159">
        <w:t>. Often used tools for power flow analysis are MATPOWER, which is an open-source MATLAB toolbox; PSS/E, a commercial tool; and DIgSILENT PowerFactory, a commercial and popular tool in Europe</w:t>
      </w:r>
      <w:r w:rsidR="00B0261C">
        <w:fldChar w:fldCharType="begin"/>
      </w:r>
      <w:r w:rsidR="00866BB5">
        <w:instrText xml:space="preserve"> ADDIN ZOTERO_ITEM CSL_CITATION {"citationID":"BkNp7by7","properties":{"unsorted":false,"formattedCitation":"[122]","plainCitation":"[122]","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rsidR="00B0261C">
        <w:fldChar w:fldCharType="separate"/>
      </w:r>
      <w:r w:rsidR="00866BB5" w:rsidRPr="00866BB5">
        <w:t>[122]</w:t>
      </w:r>
      <w:r w:rsidR="00B0261C">
        <w:fldChar w:fldCharType="end"/>
      </w:r>
      <w:r w:rsidRPr="00970159">
        <w:t>.</w:t>
      </w:r>
    </w:p>
    <w:p w14:paraId="7A25C384" w14:textId="75E2F20C" w:rsidR="00D6323E" w:rsidRDefault="00D6323E" w:rsidP="00D6323E">
      <w:pPr>
        <w:pStyle w:val="Heading20"/>
        <w:rPr>
          <w:color w:val="auto"/>
        </w:rPr>
      </w:pPr>
      <w:r>
        <w:rPr>
          <w:color w:val="auto"/>
        </w:rPr>
        <w:t>6.2. Transient Stability and Grid Dynamics</w:t>
      </w:r>
    </w:p>
    <w:p w14:paraId="5BE98451" w14:textId="3926C7CD" w:rsidR="0070515F" w:rsidRPr="0070515F" w:rsidRDefault="0070515F" w:rsidP="00866BB5">
      <w:pPr>
        <w:spacing w:after="120"/>
        <w:ind w:firstLine="480"/>
      </w:pPr>
      <w:r w:rsidRPr="0070515F">
        <w:t>Transient stability analysis involves studying the transient dynamic response of the power system after a large fault, generator trip, or sudden load change. Transient stability is also an important issue for microgrids in data centers with high renewable penetration, due to the lack of inherent rotational inertia in inverter-based resources. Virtual inertia can be achieved by grid-forming inverters, where the reference voltage and frequency are generated by the inverter without using a grid synchronizing signal, by controlling their dynamic response, as that of a synchronous machine</w:t>
      </w:r>
      <w:r w:rsidR="00B05FA0">
        <w:fldChar w:fldCharType="begin"/>
      </w:r>
      <w:r w:rsidR="00866BB5">
        <w:instrText xml:space="preserve"> ADDIN ZOTERO_ITEM CSL_CITATION {"citationID":"EnZx5jNZ","properties":{"unsorted":false,"formattedCitation":"[18], [123]","plainCitation":"[18], [123]","noteIndex":0},"citationItems":[{"id":1927,"uris":["http://zotero.org/users/9870935/items/PZK7R79L"],"itemData":{"id":1927,"type":"article-journal","abstract":"The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rsidR="00B05FA0">
        <w:fldChar w:fldCharType="separate"/>
      </w:r>
      <w:r w:rsidR="00866BB5" w:rsidRPr="00866BB5">
        <w:t>[18], [123]</w:t>
      </w:r>
      <w:r w:rsidR="00B05FA0">
        <w:fldChar w:fldCharType="end"/>
      </w:r>
      <w:r w:rsidRPr="0070515F">
        <w:t xml:space="preserve">. The transition from on-grid to off-grid (islanded operation) is a significant transient event that occurs when the utility grid </w:t>
      </w:r>
      <w:r w:rsidRPr="0070515F">
        <w:lastRenderedPageBreak/>
        <w:t>suffers a disturbance, and for which careful design of inverter control parameters, protection settings, and load shedding schemes is required</w:t>
      </w:r>
      <w:r w:rsidR="00D52CC4">
        <w:fldChar w:fldCharType="begin"/>
      </w:r>
      <w:r w:rsidR="00866BB5">
        <w:instrText xml:space="preserve"> ADDIN ZOTERO_ITEM CSL_CITATION {"citationID":"AdxixQhk","properties":{"unsorted":false,"formattedCitation":"[124]","plainCitation":"[124]","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00D52CC4">
        <w:fldChar w:fldCharType="separate"/>
      </w:r>
      <w:r w:rsidR="00866BB5" w:rsidRPr="00866BB5">
        <w:t>[124]</w:t>
      </w:r>
      <w:r w:rsidR="00D52CC4">
        <w:fldChar w:fldCharType="end"/>
      </w:r>
      <w:r w:rsidRPr="0070515F">
        <w:t>.</w:t>
      </w:r>
    </w:p>
    <w:p w14:paraId="4AD86D2B" w14:textId="3450BB5F" w:rsidR="00D6323E" w:rsidRPr="0070515F" w:rsidRDefault="0070515F" w:rsidP="00866BB5">
      <w:pPr>
        <w:spacing w:after="120"/>
        <w:ind w:firstLine="480"/>
      </w:pPr>
      <w:r w:rsidRPr="0070515F">
        <w:t>The challenge of PLL stability arises as renewable penetration increases. However, PLL-based grid-following inverters can suffer from oscillatory operation or complete loss of synchronization in weak grid condition, when the short circuit ratio (SCR) at the point of interconnection is low, which can cause cascading failures</w:t>
      </w:r>
      <w:r w:rsidR="00A20371">
        <w:fldChar w:fldCharType="begin"/>
      </w:r>
      <w:r w:rsidR="00866BB5">
        <w:instrText xml:space="preserve"> ADDIN ZOTERO_ITEM CSL_CITATION {"citationID":"nNqJkW4n","properties":{"unsorted":false,"formattedCitation":"[125]","plainCitation":"[125]","noteIndex":0},"citationItems":[{"id":2097,"uris":["http://zotero.org/users/9870935/items/KGQXJHH9"],"itemData":{"id":2097,"type":"article-journal","container-title":"IEEE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rsidR="00A20371">
        <w:fldChar w:fldCharType="separate"/>
      </w:r>
      <w:r w:rsidR="00866BB5" w:rsidRPr="00866BB5">
        <w:t>[125]</w:t>
      </w:r>
      <w:r w:rsidR="00A20371">
        <w:fldChar w:fldCharType="end"/>
      </w:r>
      <w:r w:rsidRPr="0070515F">
        <w:t>. There are several well-documented examples of the occurrence of sub-synchronous resonance (SSR) phenomenon between inverter controls and series-compensated (SC) transmission lines, and these interactions require detailed electromagnetic transient (EMT) simulation studies for grid-connected renewable plants</w:t>
      </w:r>
      <w:r w:rsidR="009B3274">
        <w:fldChar w:fldCharType="begin"/>
      </w:r>
      <w:r w:rsidR="00866BB5">
        <w:instrText xml:space="preserve"> ADDIN ZOTERO_ITEM CSL_CITATION {"citationID":"VvGA3otY","properties":{"unsorted":false,"formattedCitation":"[126]","plainCitation":"[126]","noteIndex":0},"citationItems":[{"id":2100,"uris":["http://zotero.org/users/9870935/items/CW9DIYPL"],"itemData":{"id":2100,"type":"document","title":"Inverter-Based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rsidR="009B3274">
        <w:fldChar w:fldCharType="separate"/>
      </w:r>
      <w:r w:rsidR="00866BB5" w:rsidRPr="00866BB5">
        <w:t>[126]</w:t>
      </w:r>
      <w:r w:rsidR="009B3274">
        <w:fldChar w:fldCharType="end"/>
      </w:r>
      <w:r w:rsidRPr="0070515F">
        <w:t>.</w:t>
      </w:r>
    </w:p>
    <w:p w14:paraId="0CF7A76E" w14:textId="7C8DBB87" w:rsidR="005B0229" w:rsidRDefault="005B0229" w:rsidP="005B0229">
      <w:pPr>
        <w:pStyle w:val="Heading20"/>
        <w:rPr>
          <w:color w:val="auto"/>
        </w:rPr>
      </w:pPr>
      <w:r>
        <w:rPr>
          <w:color w:val="auto"/>
        </w:rPr>
        <w:t>6.3. Harmonic Analysis and Power Quality</w:t>
      </w:r>
    </w:p>
    <w:p w14:paraId="5D793D84" w14:textId="61CCE281" w:rsidR="00637E25" w:rsidRPr="00637E25" w:rsidRDefault="00637E25" w:rsidP="00866BB5">
      <w:pPr>
        <w:spacing w:after="120"/>
        <w:ind w:firstLine="480"/>
      </w:pPr>
      <w:r w:rsidRPr="00637E25">
        <w:t>Harmonic analysis is crucial to ensure compliance with power quality standards set in IEEE 519 and to help develop the correct mitigation. The harmonic profile of a data center microgrid depends on the combined effect of all the data center nonlinear loads such as IT equipment SMPSs, cooling system VFDs, LED lights, and the harmonic currents produced by the renewable inverter</w:t>
      </w:r>
      <w:r w:rsidR="00C44659">
        <w:fldChar w:fldCharType="begin"/>
      </w:r>
      <w:r w:rsidR="00C44659">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C44659">
        <w:fldChar w:fldCharType="separate"/>
      </w:r>
      <w:r w:rsidR="00C44659" w:rsidRPr="00C44659">
        <w:t>[22]</w:t>
      </w:r>
      <w:r w:rsidR="00C44659">
        <w:fldChar w:fldCharType="end"/>
      </w:r>
      <w:r w:rsidRPr="00637E25">
        <w:t>. Frequency-domain analysis techniques such as Fourier decomposition and harmonic impedance scanning are employed to detect resonance conditions which could increase the level of specific harmonic orders</w:t>
      </w:r>
      <w:r w:rsidR="00FE2248">
        <w:fldChar w:fldCharType="begin"/>
      </w:r>
      <w:r w:rsidR="00866BB5">
        <w:instrText xml:space="preserve"> ADDIN ZOTERO_ITEM CSL_CITATION {"citationID":"9pAXEXox","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FE2248">
        <w:fldChar w:fldCharType="separate"/>
      </w:r>
      <w:r w:rsidR="00866BB5" w:rsidRPr="00866BB5">
        <w:t>[127]</w:t>
      </w:r>
      <w:r w:rsidR="00FE2248">
        <w:fldChar w:fldCharType="end"/>
      </w:r>
      <w:r w:rsidRPr="00637E25">
        <w:t>.</w:t>
      </w:r>
    </w:p>
    <w:p w14:paraId="5A1EAF2A" w14:textId="2F275E3C" w:rsidR="005B0229" w:rsidRPr="00637E25" w:rsidRDefault="00637E25" w:rsidP="00866BB5">
      <w:pPr>
        <w:spacing w:after="120"/>
        <w:ind w:firstLine="480"/>
      </w:pPr>
      <w:r w:rsidRPr="00637E25">
        <w:t>Passive filters (tuned LC circuits), active power filters (APFs), multi-pulse rectifier configurations, and advanced inverter control algorithms to reduce harmonic current injection are all options for harmonic mitigation</w:t>
      </w:r>
      <w:r w:rsidR="00220493">
        <w:fldChar w:fldCharType="begin"/>
      </w:r>
      <w:r w:rsidR="00866BB5">
        <w:instrText xml:space="preserve"> ADDIN ZOTERO_ITEM CSL_CITATION {"citationID":"mqXTld0r","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220493">
        <w:fldChar w:fldCharType="separate"/>
      </w:r>
      <w:r w:rsidR="00866BB5" w:rsidRPr="00866BB5">
        <w:t>[127]</w:t>
      </w:r>
      <w:r w:rsidR="00220493">
        <w:fldChar w:fldCharType="end"/>
      </w:r>
      <w:r w:rsidRPr="00637E25">
        <w:t>. The choice of mitigation technology will be a function of the harmonic spectrum, dynamics of loading and cost considerations. Active filters tend to be the preferred choice for AI data centers where the loads are often irregular, as they can continuously adapt to shifts in the harmonic profile</w:t>
      </w:r>
      <w:r w:rsidR="00A85F9E">
        <w:fldChar w:fldCharType="begin"/>
      </w:r>
      <w:r w:rsidR="00866BB5">
        <w:instrText xml:space="preserve"> ADDIN ZOTERO_ITEM CSL_CITATION {"citationID":"dBxza6Dz","properties":{"unsorted":false,"formattedCitation":"[128]","plainCitation":"[128]","noteIndex":0},"citationItems":[{"id":2102,"uris":["http://zotero.org/users/9870935/items/V6QTZZ73"],"itemData":{"id":2102,"type":"article-journal","abstract":"Power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rsidR="00A85F9E">
        <w:fldChar w:fldCharType="separate"/>
      </w:r>
      <w:r w:rsidR="00866BB5" w:rsidRPr="00866BB5">
        <w:t>[128]</w:t>
      </w:r>
      <w:r w:rsidR="00A85F9E">
        <w:fldChar w:fldCharType="end"/>
      </w:r>
      <w:r w:rsidRPr="00637E25">
        <w:t>.</w:t>
      </w:r>
    </w:p>
    <w:p w14:paraId="421184FD" w14:textId="0A7C2997" w:rsidR="0089615F" w:rsidRDefault="0089615F" w:rsidP="0089615F">
      <w:pPr>
        <w:pStyle w:val="Heading20"/>
        <w:rPr>
          <w:color w:val="auto"/>
        </w:rPr>
      </w:pPr>
      <w:r>
        <w:rPr>
          <w:color w:val="auto"/>
        </w:rPr>
        <w:t>6.4. Microgrid Modeling Frameworks</w:t>
      </w:r>
    </w:p>
    <w:p w14:paraId="26A625E7" w14:textId="3D6F27C2" w:rsidR="0014185D" w:rsidRPr="0014185D" w:rsidRDefault="0014185D" w:rsidP="00866BB5">
      <w:pPr>
        <w:spacing w:after="120"/>
        <w:ind w:firstLine="480"/>
      </w:pPr>
      <w:r w:rsidRPr="0014185D">
        <w:t>There are a variety of software packages for micro-grid modeling and simulation, ranging in fidelity and in efficiency. HOMER (Hybrid Optimization Model for Electric Renewables), developed by NREL and maintained by UL Solutions, is a dispatch simulation that combines economic optimization and is particularly useful for sizing applications and comparison of technologies</w:t>
      </w:r>
      <w:r w:rsidR="00C57541">
        <w:fldChar w:fldCharType="begin"/>
      </w:r>
      <w:r w:rsidR="00866BB5">
        <w:instrText xml:space="preserve"> ADDIN ZOTERO_ITEM CSL_CITATION {"citationID":"TEOEDiB7","properties":{"unsorted":false,"formattedCitation":"[129]","plainCitation":"[129]","noteIndex":0},"citationItems":[{"id":2104,"uris":["http://zotero.org/users/9870935/items/VUEBTNAU"],"itemData":{"id":2104,"type":"post-weblog","title":"Microgrid and Hybrid Power Modeling","URL":"https://homerenergy.com/","author":[{"family":"HOMER","given":""}]}}],"schema":"https://github.com/citation-style-language/schema/raw/master/csl-citation.json"} </w:instrText>
      </w:r>
      <w:r w:rsidR="00C57541">
        <w:fldChar w:fldCharType="separate"/>
      </w:r>
      <w:r w:rsidR="00866BB5" w:rsidRPr="00866BB5">
        <w:t>[129]</w:t>
      </w:r>
      <w:r w:rsidR="00C57541">
        <w:fldChar w:fldCharType="end"/>
      </w:r>
      <w:r w:rsidRPr="0014185D">
        <w:t>. HOMER Pro has built-in component models of solar PV, wind turbines, batteries, generators, and grid interconnection and sensitivity analysis to explore parameter uncertainty. HOMER's hourly time resolution, however, might not be adequate for sub-hourly phenomena like frequency regulation and voltage transients.</w:t>
      </w:r>
    </w:p>
    <w:p w14:paraId="06976AEC" w14:textId="5BB972F9" w:rsidR="00D079A2" w:rsidRPr="0014185D" w:rsidRDefault="0014185D" w:rsidP="00866BB5">
      <w:pPr>
        <w:spacing w:after="120"/>
        <w:ind w:firstLine="480"/>
      </w:pPr>
      <w:r w:rsidRPr="0014185D">
        <w:t>For detailed electromagnetic transient simulation, MATLAB Simulink with the Simscape Electrical toolbox delivers analysis of the dynamics of inverter control, protection system co-ordination and fast-switching power electronics. There are several open-source tools available such as Pandapower (Python power flow), PyPower (MATLAB POWERWORLD port to Python), and OpenModelica (equation-based modeling) for research and preliminary engineering studies</w:t>
      </w:r>
      <w:r w:rsidR="00DC6319">
        <w:fldChar w:fldCharType="begin"/>
      </w:r>
      <w:r w:rsidR="00866BB5">
        <w:instrText xml:space="preserve"> ADDIN ZOTERO_ITEM CSL_CITATION {"citationID":"lGYuaF1J","properties":{"unsorted":false,"formattedCitation":"[130]","plainCitation":"[130]","noteIndex":0},"citationItems":[{"id":2105,"uris":["http://zotero.org/users/9870935/items/ZLEHC4S7"],"itemData":{"id":2105,"type":"paper-conference","container-title":"Proceedings of THE 22ND INTERNATIONAL CONFERENCE ON MODELING AND APPLIED SIMULATION","DOI":"10.46354/i3m.2023.mas.013","event-title":"THE 22ND INTERNATIONAL CONFERENCE ON MODELING AND APPLIED SIMULATION","ISBN":"978-88-85741-91-1","publisher":"CAL-TEK srl","source":"DOI.org (Crossref)","title":"MODELING, SIMULATION AND INTELLIGENT ALGORITHMS FOR SOLVING THE MACHINE-LOADING PROBLEM: A LITERATURE REVIEW","title-short":"MODELING, SIMULATION AND INTELLIGENT ALGORITHMS FOR SOLVING THE MACHINE-LOADING PROBLEM","URL":"https://www.cal-tek.eu/proceedings/i3m/2023/mas/013","accessed":{"date-parts":[["2026",5,18]]},"issued":{"date-parts":[["2023"]]}}}],"schema":"https://github.com/citation-style-language/schema/raw/master/csl-citation.json"} </w:instrText>
      </w:r>
      <w:r w:rsidR="00DC6319">
        <w:fldChar w:fldCharType="separate"/>
      </w:r>
      <w:r w:rsidR="00866BB5" w:rsidRPr="00866BB5">
        <w:t>[130]</w:t>
      </w:r>
      <w:r w:rsidR="00DC6319">
        <w:fldChar w:fldCharType="end"/>
      </w:r>
      <w:r w:rsidRPr="0014185D">
        <w:t xml:space="preserve">. The choice of the modeling framework </w:t>
      </w:r>
      <w:r w:rsidRPr="0014185D">
        <w:lastRenderedPageBreak/>
        <w:t>should be determined by the analysis needs: HOMER for system sizing and economic optimization, MATLAB/ETAP for detailed electrical design and protection coordination, and PSCAD/EMTDC for electromagnetic transient studies of inverter dominated systems</w:t>
      </w:r>
      <w:r w:rsidR="00A9395C">
        <w:fldChar w:fldCharType="begin"/>
      </w:r>
      <w:r w:rsidR="00866BB5">
        <w:instrText xml:space="preserve"> ADDIN ZOTERO_ITEM CSL_CITATION {"citationID":"B1rst5wh","properties":{"unsorted":false,"formattedCitation":"[131]","plainCitation":"[131]","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rsidR="00A9395C">
        <w:fldChar w:fldCharType="separate"/>
      </w:r>
      <w:r w:rsidR="00866BB5" w:rsidRPr="00866BB5">
        <w:t>[131]</w:t>
      </w:r>
      <w:r w:rsidR="00A9395C">
        <w:fldChar w:fldCharType="end"/>
      </w:r>
      <w:r w:rsidRPr="0014185D">
        <w:t>.</w:t>
      </w:r>
    </w:p>
    <w:p w14:paraId="73E5520C" w14:textId="02DFF203" w:rsidR="004B2C96" w:rsidRDefault="004B2C96" w:rsidP="004B2C96">
      <w:pPr>
        <w:pStyle w:val="Heading20"/>
        <w:rPr>
          <w:color w:val="auto"/>
        </w:rPr>
      </w:pPr>
      <w:r>
        <w:rPr>
          <w:color w:val="auto"/>
        </w:rPr>
        <w:t>6.5. Time-Series Simulation and Forecasting</w:t>
      </w:r>
    </w:p>
    <w:p w14:paraId="651BEFC8" w14:textId="6A9AB911" w:rsidR="00AA52FF" w:rsidRPr="00AA52FF" w:rsidRDefault="00AA52FF" w:rsidP="00866BB5">
      <w:pPr>
        <w:spacing w:after="120"/>
        <w:ind w:firstLine="480"/>
      </w:pPr>
      <w:r w:rsidRPr="00AA52FF">
        <w:t xml:space="preserve">To assess renewable </w:t>
      </w:r>
      <w:r w:rsidR="00B50B4A" w:rsidRPr="00AA52FF">
        <w:t>energy-based</w:t>
      </w:r>
      <w:r w:rsidRPr="00AA52FF">
        <w:t xml:space="preserve"> data center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rsidR="00491686">
        <w:fldChar w:fldCharType="begin"/>
      </w:r>
      <w:r w:rsidR="00866BB5">
        <w:instrText xml:space="preserve"> ADDIN ZOTERO_ITEM CSL_CITATION {"citationID":"bPQv1yvI","properties":{"unsorted":false,"formattedCitation":"[132]","plainCitation":"[132]","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rsidR="00491686">
        <w:fldChar w:fldCharType="separate"/>
      </w:r>
      <w:r w:rsidR="00866BB5" w:rsidRPr="00866BB5">
        <w:t>[132]</w:t>
      </w:r>
      <w:r w:rsidR="00491686">
        <w:fldChar w:fldCharType="end"/>
      </w:r>
      <w:r w:rsidRPr="00AA52FF">
        <w:t xml:space="preserve">. At </w:t>
      </w:r>
      <w:r w:rsidR="00B50B4A" w:rsidRPr="00AA52FF">
        <w:t>5-to-15-minute</w:t>
      </w:r>
      <w:r w:rsidRPr="00AA52FF">
        <w:t xml:space="preserve"> resolution, sub-hourly simulation can capture the rapid transients from cloud transients, wind gusts and load steps, which impact on power quality and frequency regulation.</w:t>
      </w:r>
    </w:p>
    <w:p w14:paraId="5D32EF46" w14:textId="669CA1C2" w:rsidR="00AA52FF" w:rsidRPr="00AA52FF" w:rsidRDefault="00AA52FF" w:rsidP="00866BB5">
      <w:pPr>
        <w:spacing w:after="120"/>
        <w:ind w:firstLine="480"/>
      </w:pPr>
      <w:r w:rsidRPr="00AA52FF">
        <w:t>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like annual energy cost, LOLE and renewable utilization fraction</w:t>
      </w:r>
      <w:r w:rsidR="00137E95">
        <w:fldChar w:fldCharType="begin"/>
      </w:r>
      <w:r w:rsidR="00866BB5">
        <w:instrText xml:space="preserve"> ADDIN ZOTERO_ITEM CSL_CITATION {"citationID":"axvHbxNa","properties":{"unsorted":false,"formattedCitation":"[133]","plainCitation":"[133]","noteIndex":0},"citationItems":[{"id":2110,"uris":["http://zotero.org/users/9870935/items/WXV5HE5P"],"itemData":{"id":2110,"type":"book","abstract":"This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137E95">
        <w:fldChar w:fldCharType="separate"/>
      </w:r>
      <w:r w:rsidR="00866BB5" w:rsidRPr="00866BB5">
        <w:t>[133]</w:t>
      </w:r>
      <w:r w:rsidR="00137E95">
        <w:fldChar w:fldCharType="end"/>
      </w:r>
      <w:r w:rsidRPr="00AA52FF">
        <w:t>. Forecast integration is essential for model-predictive control strategies and for day-ahead dispatch planning a prediction horizon of 6 to 48 hours for solar and wind is needed. The accuracy of these forecasts directly impacts the performance of optimization-based dispatch, with day-ahead solar forecast errors of 10</w:t>
      </w:r>
      <w:r w:rsidR="00394AF8">
        <w:t>-15%</w:t>
      </w:r>
      <w:r w:rsidRPr="00AA52FF">
        <w:t xml:space="preserve"> MAPE and intra-day errors of </w:t>
      </w:r>
      <w:r w:rsidR="00137E95">
        <w:t>5-10%</w:t>
      </w:r>
      <w:r w:rsidRPr="00AA52FF">
        <w:t xml:space="preserve"> MAPE being typical of state-of-the-art systems</w:t>
      </w:r>
      <w:r w:rsidR="008C1D8C">
        <w:fldChar w:fldCharType="begin"/>
      </w:r>
      <w:r w:rsidR="00866BB5">
        <w:instrText xml:space="preserve"> ADDIN ZOTERO_ITEM CSL_CITATION {"citationID":"ExCX3b0d","properties":{"unsorted":false,"formattedCitation":"[134]","plainCitation":"[134]","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8C1D8C">
        <w:fldChar w:fldCharType="separate"/>
      </w:r>
      <w:r w:rsidR="00866BB5" w:rsidRPr="00866BB5">
        <w:t>[134]</w:t>
      </w:r>
      <w:r w:rsidR="008C1D8C">
        <w:fldChar w:fldCharType="end"/>
      </w:r>
      <w:r w:rsidRPr="00AA52FF">
        <w:t>.</w:t>
      </w:r>
    </w:p>
    <w:p w14:paraId="6E5B340A" w14:textId="4F0C366E" w:rsidR="007F4093" w:rsidRDefault="007F4093" w:rsidP="007F4093">
      <w:pPr>
        <w:pStyle w:val="Heading20"/>
        <w:rPr>
          <w:color w:val="auto"/>
        </w:rPr>
      </w:pPr>
      <w:r>
        <w:rPr>
          <w:color w:val="auto"/>
        </w:rPr>
        <w:t xml:space="preserve">6.6. </w:t>
      </w:r>
      <w:r w:rsidR="003B7EEF">
        <w:rPr>
          <w:color w:val="auto"/>
        </w:rPr>
        <w:t>Machine Learning for Control and Forecasting</w:t>
      </w:r>
    </w:p>
    <w:p w14:paraId="4E85A7B0" w14:textId="15AECA81" w:rsidR="00D67F5B" w:rsidRPr="00D67F5B" w:rsidRDefault="00D67F5B" w:rsidP="00866BB5">
      <w:pPr>
        <w:spacing w:after="120"/>
        <w:ind w:firstLine="480"/>
      </w:pPr>
      <w:r w:rsidRPr="00D67F5B">
        <w:t>Machine learning techniques are increasingly being applied to both forecasting and control functions in renewable energy systems. Recent studies have shown that neural network architectures such as Long Short-Term Memory (LSTM) networks, Convolutional Neural Networks (CNN), and attention-based Transformer models can enhance the accuracy of solar and wind power forecasts by 15</w:t>
      </w:r>
      <w:r w:rsidR="00D600DA">
        <w:t>-</w:t>
      </w:r>
      <w:r w:rsidRPr="00D67F5B">
        <w:t>25</w:t>
      </w:r>
      <w:r w:rsidR="00D600DA">
        <w:t>%</w:t>
      </w:r>
      <w:r w:rsidRPr="00D67F5B">
        <w:t xml:space="preserve"> over traditional numerical weather prediction techniques</w:t>
      </w:r>
      <w:r w:rsidR="00D572C0">
        <w:fldChar w:fldCharType="begin"/>
      </w:r>
      <w:r w:rsidR="00866BB5">
        <w:instrText xml:space="preserve"> ADDIN ZOTERO_ITEM CSL_CITATION {"citationID":"aXxbu5p8","properties":{"unsorted":false,"formattedCitation":"[135]","plainCitation":"[135]","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rsidR="00D572C0">
        <w:fldChar w:fldCharType="separate"/>
      </w:r>
      <w:r w:rsidR="00866BB5" w:rsidRPr="00866BB5">
        <w:t>[135]</w:t>
      </w:r>
      <w:r w:rsidR="00D572C0">
        <w:fldChar w:fldCharType="end"/>
      </w:r>
      <w:r w:rsidRPr="00D67F5B">
        <w:t>. Deep reinforcement learning (DRL) has been proposed as a viable method to optimize dispatching policies for controlling a microgrid, in which an agent learns from an interaction with a simulated environment to find the optimal dispatching policy</w:t>
      </w:r>
      <w:r w:rsidR="00373AC1">
        <w:fldChar w:fldCharType="begin"/>
      </w:r>
      <w:r w:rsidR="00866BB5">
        <w:instrText xml:space="preserve"> ADDIN ZOTERO_ITEM CSL_CITATION {"citationID":"PKZO0BUq","properties":{"unsorted":false,"formattedCitation":"[136]","plainCitation":"[136]","noteIndex":0},"citationItems":[{"id":2114,"uris":["http://zotero.org/users/9870935/items/QF2VR9S8"],"itemData":{"id":2114,"type":"article-journal","container-title":"Journal of Energy Storage","DOI":"10.1016/j.est.2024.115114","ISSN":"2352152X","journalAbbreviation":"Journal of Energy Storage","language":"en","page":"115114","source":"DOI.org (Crossref)","title":"Reinforcement learning-based energy management system for lithium-ion battery storage in multilevel microgrid","volume":"109","author":[{"family":"Hosseini","given":"Ehsan"},{"family":"Horrillo-Quintero","given":"Pablo"},{"family":"Carrasco-Gonzalez","given":"David"},{"family":"García-Triviño","given":"Pablo"},{"family":"Sarrias-Mena","given":"Raúl"},{"family":"García-Vázquez","given":"Carlos A."},{"family":"Fernández-Ramírez","given":"Luis M."}],"issued":{"date-parts":[["2025",2]]}}}],"schema":"https://github.com/citation-style-language/schema/raw/master/csl-citation.json"} </w:instrText>
      </w:r>
      <w:r w:rsidR="00373AC1">
        <w:fldChar w:fldCharType="separate"/>
      </w:r>
      <w:r w:rsidR="00866BB5" w:rsidRPr="00866BB5">
        <w:t>[136]</w:t>
      </w:r>
      <w:r w:rsidR="00373AC1">
        <w:fldChar w:fldCharType="end"/>
      </w:r>
      <w:r w:rsidRPr="00D67F5B">
        <w:t>.</w:t>
      </w:r>
    </w:p>
    <w:p w14:paraId="2EF9C4BB" w14:textId="2B61F70A" w:rsidR="003B7EEF" w:rsidRPr="00D67F5B" w:rsidRDefault="00D67F5B" w:rsidP="00866BB5">
      <w:pPr>
        <w:spacing w:after="120"/>
        <w:ind w:firstLine="480"/>
      </w:pPr>
      <w:r w:rsidRPr="00D67F5B">
        <w:t>Digital twin concepts, which involve virtual copies of physical systems that are continuously updated with sensor data, can facilitate predictive control strategies that can anticipate and proactively adjust to varying conditions. A digital twin of a data centre microgrid can simulate the effect of the renewable generation prediction on battery dispatch, define the most suitable load scheduling periods and predict equipment degradation</w:t>
      </w:r>
      <w:r w:rsidR="000A5126">
        <w:fldChar w:fldCharType="begin"/>
      </w:r>
      <w:r w:rsidR="00866BB5">
        <w:instrText xml:space="preserve"> ADDIN ZOTERO_ITEM CSL_CITATION {"citationID":"atzHcWL3","properties":{"unsorted":false,"formattedCitation":"[137]","plainCitation":"[137]","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rsidR="000A5126">
        <w:fldChar w:fldCharType="separate"/>
      </w:r>
      <w:r w:rsidR="00866BB5" w:rsidRPr="00866BB5">
        <w:t>[137]</w:t>
      </w:r>
      <w:r w:rsidR="000A5126">
        <w:fldChar w:fldCharType="end"/>
      </w:r>
      <w:r w:rsidRPr="00D67F5B">
        <w:t>. There are still difficulties with ensuring the generalizability of machine learning models beyond the boundaries of the training data, especially for edge cases and extreme weather conditions that may have been underrepresented in the historical datasets</w:t>
      </w:r>
      <w:r w:rsidR="005705A5">
        <w:fldChar w:fldCharType="begin"/>
      </w:r>
      <w:r w:rsidR="00866BB5">
        <w:instrText xml:space="preserve"> ADDIN ZOTERO_ITEM CSL_CITATION {"citationID":"jbAPFFwd","properties":{"unsorted":false,"formattedCitation":"[138]","plainCitation":"[138]","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5705A5">
        <w:fldChar w:fldCharType="separate"/>
      </w:r>
      <w:r w:rsidR="00866BB5" w:rsidRPr="00866BB5">
        <w:t>[138]</w:t>
      </w:r>
      <w:r w:rsidR="005705A5">
        <w:fldChar w:fldCharType="end"/>
      </w:r>
      <w:r w:rsidRPr="00D67F5B">
        <w:t>.</w:t>
      </w:r>
    </w:p>
    <w:p w14:paraId="28FA0E24" w14:textId="44244C7B" w:rsidR="00314B47" w:rsidRDefault="00314B47" w:rsidP="00314B47">
      <w:pPr>
        <w:pStyle w:val="Heading10"/>
        <w:rPr>
          <w:color w:val="auto"/>
        </w:rPr>
      </w:pPr>
      <w:r>
        <w:rPr>
          <w:color w:val="auto"/>
          <w:lang w:eastAsia="zh-CN"/>
        </w:rPr>
        <w:lastRenderedPageBreak/>
        <w:t xml:space="preserve">7. </w:t>
      </w:r>
      <w:r>
        <w:rPr>
          <w:color w:val="auto"/>
        </w:rPr>
        <w:t>Framework for Renewable-Powered AI Data Centers</w:t>
      </w:r>
    </w:p>
    <w:p w14:paraId="6CED25A5" w14:textId="4CBAAF65" w:rsidR="00AE74B4" w:rsidRDefault="00AE74B4" w:rsidP="00AE74B4">
      <w:pPr>
        <w:spacing w:after="120"/>
        <w:ind w:firstLine="480"/>
      </w:pPr>
      <w:r>
        <w:t xml:space="preserve">This </w:t>
      </w:r>
      <w:r w:rsidR="002068F4">
        <w:t>section</w:t>
      </w:r>
      <w:r>
        <w:t xml:space="preserve"> presents the core contribution of this paper: a comprehensive, seven-component framework for designing, deploying, and operating AI data centers powered predominantly by renewable energy. The framework integrates site assessment, technology selection, electrical integration, control strategy, workload flexibility, economic viability, and sustainability compliance into a unified decision-making methodology.</w:t>
      </w:r>
    </w:p>
    <w:p w14:paraId="609D569F" w14:textId="3628FFD8" w:rsidR="00AE74B4" w:rsidRDefault="00AE74B4" w:rsidP="00AE74B4">
      <w:pPr>
        <w:pStyle w:val="Heading20"/>
        <w:rPr>
          <w:color w:val="auto"/>
        </w:rPr>
      </w:pPr>
      <w:r>
        <w:rPr>
          <w:color w:val="auto"/>
        </w:rPr>
        <w:t>7.1. Machine Learning for Control and Forecasting</w:t>
      </w:r>
    </w:p>
    <w:p w14:paraId="1A611A8E" w14:textId="77777777" w:rsidR="00B4497F" w:rsidRPr="00B4497F" w:rsidRDefault="00B4497F" w:rsidP="00B4497F">
      <w:pPr>
        <w:spacing w:after="120"/>
        <w:ind w:firstLine="480"/>
      </w:pPr>
      <w:r w:rsidRPr="00B4497F">
        <w:t>The framework consists of seven interrelated elements that cover key aspects of renewable-based data center design and operation. These components are not separate, but rather are interdependent, with decisions made in one component affecting and limiting choices in another component. The framework has been designed to be modular and scalable, and can be adapted to fit facilities from the small edge computing node (1-10 MW) to the hyperscale cloud data center (100+ MW) located in different geographic and climatic conditions.</w:t>
      </w:r>
    </w:p>
    <w:p w14:paraId="1A44705C" w14:textId="77777777" w:rsidR="00B4497F" w:rsidRPr="009A3002" w:rsidRDefault="00B4497F" w:rsidP="00B4497F">
      <w:pPr>
        <w:spacing w:after="120"/>
        <w:ind w:firstLine="480"/>
        <w:rPr>
          <w:color w:val="EE0000"/>
        </w:rPr>
      </w:pPr>
      <w:r w:rsidRPr="009A3002">
        <w:rPr>
          <w:color w:val="EE0000"/>
        </w:rPr>
        <w:t>[Figure: fig7_1.png - not found]</w:t>
      </w:r>
    </w:p>
    <w:p w14:paraId="4E974ACB" w14:textId="77777777" w:rsidR="00B4497F" w:rsidRPr="00B4497F" w:rsidRDefault="00B4497F" w:rsidP="00B4497F">
      <w:pPr>
        <w:spacing w:after="120"/>
        <w:ind w:firstLine="480"/>
      </w:pPr>
      <w:r w:rsidRPr="00B4497F">
        <w:t>Fig. 5. Introduced a seven-component framework architecture for AI data centres using renewables.</w:t>
      </w:r>
    </w:p>
    <w:p w14:paraId="1D1D31A1" w14:textId="2C729037" w:rsidR="00B4497F" w:rsidRPr="00B4497F" w:rsidRDefault="00B4497F" w:rsidP="00B4497F">
      <w:pPr>
        <w:spacing w:after="120"/>
        <w:ind w:firstLine="480"/>
      </w:pPr>
      <w:r w:rsidRPr="00B4497F">
        <w:t>Site Assessment (Component 1) covers renewable resource availability, grid interconnection feasibility, water and land availability, and climate resilience. Component 2 is called Technology Selection and covers optimizing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rsidR="0057330A">
        <w:t>c</w:t>
      </w:r>
      <w:r w:rsidRPr="00B4497F">
        <w:t>omponent 5) measures the extent to which load can be shifted, deferred, or prioritized. The financial performance is modeled in Component 6, Economic Viability, using LCOE, NPV, and IRR analysis. Component 7: Resilience and Sustainability focuses on reliability measures, carbon footprinting, and regulatory adherence.</w:t>
      </w:r>
    </w:p>
    <w:p w14:paraId="1B28A18D" w14:textId="4C2C646B" w:rsidR="00314B47" w:rsidRDefault="00B4497F" w:rsidP="00B4497F">
      <w:pPr>
        <w:spacing w:after="120"/>
        <w:ind w:firstLine="480"/>
      </w:pPr>
      <w:r w:rsidRPr="00B4497F">
        <w:t xml:space="preserve">The three main quantitative goals of the framework are: (1) cost of delivered energy (dollar per Megawatt-hour, $/MWh), (2) system reliability (percent uptime, &gt;99.99 percent), and (3) carbon emissions (gCO2 per kWh). The objectives are also frequently conflicting and must be balanced by means of multi-objective optimization techniques. The </w:t>
      </w:r>
      <w:r w:rsidR="0029629A" w:rsidRPr="00B4497F">
        <w:t>main</w:t>
      </w:r>
      <w:r w:rsidRPr="00B4497F">
        <w:t xml:space="preserve"> variables are the capacity factor of renewables, the duration of storage (in hours), the type of back-up power, interconnection capacity of the grid, and flexibility parameters of the demand.</w:t>
      </w:r>
    </w:p>
    <w:p w14:paraId="27AEA181" w14:textId="4C647F52" w:rsidR="0029629A" w:rsidRDefault="0029629A" w:rsidP="0029629A">
      <w:pPr>
        <w:pStyle w:val="Heading20"/>
        <w:rPr>
          <w:color w:val="auto"/>
        </w:rPr>
      </w:pPr>
      <w:r>
        <w:rPr>
          <w:color w:val="auto"/>
        </w:rPr>
        <w:t>7.2. Site Selection and Resourc Assessment</w:t>
      </w:r>
    </w:p>
    <w:p w14:paraId="51C5B550" w14:textId="77777777" w:rsidR="00D17DBD" w:rsidRPr="00D17DBD" w:rsidRDefault="00D17DBD" w:rsidP="00D17DBD">
      <w:pPr>
        <w:spacing w:after="120"/>
        <w:ind w:firstLine="480"/>
      </w:pPr>
      <w:r w:rsidRPr="00D17DBD">
        <w:t xml:space="preserve">Site selection utilizes a multi-criteria decision analysis (MCDA) approach that assigns weights to a series of criteria related to resource quality, infrastructure access, environmental factors, and economic considerations, then scores candidate locations based upon the weights </w:t>
      </w:r>
      <w:r w:rsidRPr="00D17DBD">
        <w:lastRenderedPageBreak/>
        <w:t>of the criteria. The quality of the solar resource is evaluated by the annual capacity factor target exceeding 20 percent, based on satellite data corrected for local terrain shading and typical meteorological conditions. For onshore installations, the wind resource targets a capacity factor above 25 per cent, derived from measurements taken on meteorological towers or from LiDAR, for at least one year [94].</w:t>
      </w:r>
    </w:p>
    <w:p w14:paraId="1A8E1266" w14:textId="225B849A" w:rsidR="0029629A" w:rsidRPr="00D17DBD" w:rsidRDefault="00D17DBD" w:rsidP="00866BB5">
      <w:pPr>
        <w:spacing w:after="120"/>
        <w:ind w:firstLine="480"/>
      </w:pPr>
      <w:r w:rsidRPr="00D17DBD">
        <w:t>Interconnection feasibility is also an important criterion for site selection; this will influence project viability due to the cost and time of interconnection. Interconnection costs are typically $500,000 to $2 million for sites within 5 km of existing transmission infrastructure with available capacity and $5 to $10 million when new transmission line construction is necessary [23]. Climate resilience assessment quantifies the likelihood of extreme events such as hurricanes, flooding, wildfires, and ice storms occurring that may harm renewable generation equipment, affect grid supply, or affect the performance of cooling systems</w:t>
      </w:r>
      <w:r w:rsidR="006E21DA">
        <w:fldChar w:fldCharType="begin"/>
      </w:r>
      <w:r w:rsidR="00866BB5">
        <w:instrText xml:space="preserve"> ADDIN ZOTERO_ITEM CSL_CITATION {"citationID":"trVOJ2Tp","properties":{"unsorted":false,"formattedCitation":"[139]","plainCitation":"[139]","noteIndex":0},"citationItems":[{"id":2117,"uris":["http://zotero.org/users/9870935/items/DV9F9NJF"],"itemData":{"id":2117,"type":"article-journal","container-title":"Energy","DOI":"10.1016/j.energy.2011.11.056","ISSN":"03605442","issue":"1","journalAbbreviation":"Energy","language":"en","license":"https://www.elsevier.com/tdm/userlicense/1.0/","page":"1-12","source":"DOI.org (Crossref)","title":"Energy sector vulnerability to climate change: A review","title-short":"Energy sector vulnerability to climate change","volume":"38","author":[{"family":"Schaeffer","given":"Roberto"},{"family":"Szklo","given":"Alexandre Salem"},{"family":"Pereira De Lucena","given":"André Frossard"},{"family":"Moreira Cesar Borba","given":"Bruno Soares"},{"family":"Pupo Nogueira","given":"Larissa Pinheiro"},{"family":"Fleming","given":"Fernanda Pereira"},{"family":"Troccoli","given":"Alberto"},{"family":"Harrison","given":"Mike"},{"family":"Boulahya","given":"Mohammed Sadeck"}],"issued":{"date-parts":[["2012",2]]}}}],"schema":"https://github.com/citation-style-language/schema/raw/master/csl-citation.json"} </w:instrText>
      </w:r>
      <w:r w:rsidR="006E21DA">
        <w:fldChar w:fldCharType="separate"/>
      </w:r>
      <w:r w:rsidR="00866BB5" w:rsidRPr="00866BB5">
        <w:t>[139]</w:t>
      </w:r>
      <w:r w:rsidR="006E21DA">
        <w:fldChar w:fldCharType="end"/>
      </w:r>
      <w:r w:rsidRPr="00D17DBD">
        <w:t>. In areas of the world that have a high climate risk, extra engineering interventions such as the installation of raised equipment platforms, strengthened structural ratings or redundancy upgrades may be needed, adding to capital expenses.</w:t>
      </w:r>
    </w:p>
    <w:p w14:paraId="6A1897AB" w14:textId="26AFFCF8" w:rsidR="001B3304" w:rsidRDefault="001B3304" w:rsidP="001B3304">
      <w:pPr>
        <w:pStyle w:val="Heading20"/>
        <w:rPr>
          <w:color w:val="auto"/>
        </w:rPr>
      </w:pPr>
      <w:r>
        <w:rPr>
          <w:color w:val="auto"/>
        </w:rPr>
        <w:t>7.3. Technology Mix Optimization</w:t>
      </w:r>
    </w:p>
    <w:p w14:paraId="6E6D1F16" w14:textId="57DF231D" w:rsidR="00EF0A8C" w:rsidRDefault="000E3C80" w:rsidP="00EF0A8C">
      <w:pPr>
        <w:spacing w:after="120"/>
        <w:ind w:firstLine="480"/>
      </w:pPr>
      <w:r w:rsidRPr="000E3C80">
        <w:t>The technology mix optimization is a problem that balances the mix of renewable generation, storage duration, and backup power type to minimize the total cost of the system over the expected project lifetime of 20–25 years, while also meeting reliability and emissions targets</w:t>
      </w:r>
      <w:r w:rsidR="00EF0A8C">
        <w:fldChar w:fldCharType="begin"/>
      </w:r>
      <w:r w:rsidR="00EF0A8C">
        <w:instrText xml:space="preserve"> ADDIN ZOTERO_ITEM CSL_CITATION {"citationID":"yYMe4jcT","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EF0A8C">
        <w:fldChar w:fldCharType="separate"/>
      </w:r>
      <w:r w:rsidR="00EF0A8C" w:rsidRPr="00EF0A8C">
        <w:t>[51]</w:t>
      </w:r>
      <w:r w:rsidR="00EF0A8C">
        <w:fldChar w:fldCharType="end"/>
      </w:r>
      <w:r w:rsidRPr="000E3C80">
        <w:t xml:space="preserve">. The three primary choices used as critical decision variables for this optimization are the renewable capacity expressed as a percentage of the mean load (100% or 110% or 150% of mean load or higher), storage duration scaled across 4, 8, 12, or 24 hours, and backup power technology: diesel generator, hydrogen fuel cell, grid connection, or hybrid configuration. </w:t>
      </w:r>
    </w:p>
    <w:p w14:paraId="34947438" w14:textId="6AECF915" w:rsidR="001B3304" w:rsidRPr="000E3C80" w:rsidRDefault="000E3C80" w:rsidP="00866BB5">
      <w:pPr>
        <w:spacing w:after="120"/>
        <w:ind w:firstLine="480"/>
      </w:pPr>
      <w:r w:rsidRPr="000E3C80">
        <w:t>Visually depicted in Fig. 6. Cost-emissions Pareto frontier for technology mix optimization, this modelling quantifies trade-offs needed to reconcile the economics of the system with the performance of the set of environmental targets.</w:t>
      </w:r>
      <w:r w:rsidR="00BC5EE1">
        <w:t xml:space="preserve"> </w:t>
      </w:r>
      <w:r w:rsidRPr="000E3C80">
        <w:t>Parametric sensitivity analysis shows that this optimal technology mix is most sensitive to three main parameters: (1) renewable capacity factor, with an error of</w:t>
      </w:r>
      <w:r w:rsidR="00621DDC">
        <w:t xml:space="preserve"> 5%</w:t>
      </w:r>
      <w:r w:rsidRPr="000E3C80">
        <w:t xml:space="preserve"> leading to an approximate </w:t>
      </w:r>
      <w:r w:rsidR="00621DDC">
        <w:t xml:space="preserve">15% </w:t>
      </w:r>
      <w:r w:rsidRPr="000E3C80">
        <w:t xml:space="preserve"> change in the LCOE; (2) battery storage cost, where a $20 per MWh change in the battery storage cost results in an approximate 10% change in LCOE; and (3) grid electricity price, where a 20$ per MWh increase in the grid electricity price has a significant impact on the solution and leads to a higher renewable penetration. Combining these factors, the analysis shows that hybrid systems are by far the most cost-effective in most cases. Systems with 100% to 150% renewable generation and 4 to 8 hours of battery storage and dedicated grid backup reliably achieve a highly competitive LCOE of 35$ to 80$ per MWh reliably satisfying a 99.9% system reliability target</w:t>
      </w:r>
      <w:r w:rsidR="007F7CDC">
        <w:fldChar w:fldCharType="begin"/>
      </w:r>
      <w:r w:rsidR="00866BB5">
        <w:instrText xml:space="preserve"> ADDIN ZOTERO_ITEM CSL_CITATION {"citationID":"149zuRfz","properties":{"unsorted":false,"formattedCitation":"[140]","plainCitation":"[140]","noteIndex":0},"citationItems":[{"id":2118,"uris":["http://zotero.org/users/9870935/items/J7J6PP3T"],"itemData":{"id":2118,"type":"article-journal","abstract":"In southern Algeria, diesel generators (DGs) and small-scale off-grid systems are the primary power sources for powering remote regions. These systems are unreliable, uneconomical, and environmentally unsustainable for achieving the goals of Algeria's renewable energy transition. For this context, this paper aims to explore the techno-economic feasibility of three hybrid energy systems using advanced storage systems to electrify households and agricultural lands in the Indalek area. These systems are a photovoltaic (PV)/diesel (DG)/battery energy storage system (BESS), a hydrogen-based PV/DG/fuel cell (FC)/BESS, and a hydrogen-based PV/DG/FC/pump hydro-storage (PHS) system. First, Hybrid Optimization of Multiple Electric Renewable (HOMER) software is used to conduct the techno-economic and environmental analysis to select the appropriate system. Second, the Particle Swarm Optimization (PSO) method is applied to optimize the environmental performance of the optimal configuration based on the derating factor (Fd) and the reliability level [reliability 1-loss of power supply probability (LPSP)]. The optimization is formulated as a single-objective problem, aiming to maximize renewable fraction (RF), which indirectly leads to reduced CO2 emissions. The simulation results indicate that the hydrogen-based PV/DG/FC/PHS system is the optimal system, consisting of 41.2 kW PV arrays, 100 kW DG, 250 kW FC, 50 kW electrolyzer, 19.2 kW converter, 10 kg of the hydrogen tank, and 3000 m3 reservoir. This system achieves the most techno-economic and environmental performance, with the net present cost of $284 143.20, cost of energy of 0.364 $/kW h, operating cost of $1216, reliability level of 97.28% (LPSP = 0.0272), unmet load of 0%, autonomy energy of 98.65%, RF of 91.8%, and CO2 emissions of 67 440 kg/yr. The environmental performance optimization outcomes of the hydrogen-based PV/DG/FC/PHS configuration demonstrate that at the reliability level of 100% (LPSP = 0) and the Fd of 80%, the RF increases to 99.999%, while the CO2 decreases to 62 289 kg/yr compared to the scenario with the Fd of 60%.","container-title":"Journal of Renewable and Sustainable Energy","DOI":"10.1063/5.0297401","ISSN":"1941-7012","issue":"5","language":"en","page":"056309","source":"DOI.org (Crossref)","title":"Techno-economic and environmental optimization of standalone hybrid energy systems using advanced energy storage for remote electrification in Southern Algeria","volume":"17","author":[{"family":"Bekhti","given":"Mohammed Abderahim"},{"family":"Ghomri","given":"Leila"},{"family":"Beklaouz","given":"Hadj Larbi"},{"family":"Bouddou","given":"Riyadh"}],"issued":{"date-parts":[["2025",9,1]]}}}],"schema":"https://github.com/citation-style-language/schema/raw/master/csl-citation.json"} </w:instrText>
      </w:r>
      <w:r w:rsidR="007F7CDC">
        <w:fldChar w:fldCharType="separate"/>
      </w:r>
      <w:r w:rsidR="00866BB5" w:rsidRPr="00866BB5">
        <w:t>[140]</w:t>
      </w:r>
      <w:r w:rsidR="007F7CDC">
        <w:fldChar w:fldCharType="end"/>
      </w:r>
      <w:r w:rsidRPr="000E3C80">
        <w:t>.</w:t>
      </w:r>
    </w:p>
    <w:p w14:paraId="0FF0E5DA" w14:textId="42CFBCA3" w:rsidR="0029629A" w:rsidRPr="00B4497F" w:rsidRDefault="007D006A" w:rsidP="00B4497F">
      <w:pPr>
        <w:spacing w:after="120"/>
        <w:ind w:firstLine="480"/>
      </w:pPr>
      <w:r w:rsidRPr="007D006A">
        <w:rPr>
          <w:noProof/>
        </w:rPr>
        <w:lastRenderedPageBreak/>
        <w:drawing>
          <wp:inline distT="0" distB="0" distL="0" distR="0" wp14:anchorId="36848352" wp14:editId="6E55B5B3">
            <wp:extent cx="5615940" cy="3340597"/>
            <wp:effectExtent l="0" t="0" r="3810" b="0"/>
            <wp:docPr id="7277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80516" name=""/>
                    <pic:cNvPicPr/>
                  </pic:nvPicPr>
                  <pic:blipFill rotWithShape="1">
                    <a:blip r:embed="rId12"/>
                    <a:srcRect t="7282"/>
                    <a:stretch>
                      <a:fillRect/>
                    </a:stretch>
                  </pic:blipFill>
                  <pic:spPr bwMode="auto">
                    <a:xfrm>
                      <a:off x="0" y="0"/>
                      <a:ext cx="5615940" cy="3340597"/>
                    </a:xfrm>
                    <a:prstGeom prst="rect">
                      <a:avLst/>
                    </a:prstGeom>
                    <a:ln>
                      <a:noFill/>
                    </a:ln>
                    <a:extLst>
                      <a:ext uri="{53640926-AAD7-44D8-BBD7-CCE9431645EC}">
                        <a14:shadowObscured xmlns:a14="http://schemas.microsoft.com/office/drawing/2010/main"/>
                      </a:ext>
                    </a:extLst>
                  </pic:spPr>
                </pic:pic>
              </a:graphicData>
            </a:graphic>
          </wp:inline>
        </w:drawing>
      </w:r>
    </w:p>
    <w:p w14:paraId="79BC4620" w14:textId="5F28A888" w:rsidR="005B3B34" w:rsidRDefault="005B3B34" w:rsidP="005B3B34">
      <w:pPr>
        <w:pStyle w:val="Heading20"/>
        <w:rPr>
          <w:color w:val="auto"/>
        </w:rPr>
      </w:pPr>
      <w:r>
        <w:rPr>
          <w:color w:val="auto"/>
        </w:rPr>
        <w:t>7.4. Electrical Architecture and Integration</w:t>
      </w:r>
    </w:p>
    <w:p w14:paraId="5CC0C275" w14:textId="18AF52BB" w:rsidR="00925F1B" w:rsidRPr="00925F1B" w:rsidRDefault="00925F1B" w:rsidP="00866BB5">
      <w:pPr>
        <w:spacing w:after="120"/>
        <w:ind w:firstLine="480"/>
      </w:pPr>
      <w:r w:rsidRPr="00925F1B">
        <w:t>The Electrical Architecture specifies the voltage levels, distribution topology and integration points of all the generation, storage and load elements. The selection of primary interconnection voltage is a compromise between equipment cost and power transfer capacity, with higher voltage levels (25 kV vs. 13.8 kV) also decreasing conductor size and losses, but increasing equipment cost and the required rating of switchgear and protection devices</w:t>
      </w:r>
      <w:r w:rsidR="006D0E83">
        <w:fldChar w:fldCharType="begin"/>
      </w:r>
      <w:r w:rsidR="00866BB5">
        <w:instrText xml:space="preserve"> ADDIN ZOTERO_ITEM CSL_CITATION {"citationID":"fRAGWE9K","properties":{"unsorted":false,"formattedCitation":"[65]","plainCitation":"[65]","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6D0E83">
        <w:fldChar w:fldCharType="separate"/>
      </w:r>
      <w:r w:rsidR="00866BB5" w:rsidRPr="00866BB5">
        <w:t>[65]</w:t>
      </w:r>
      <w:r w:rsidR="006D0E83">
        <w:fldChar w:fldCharType="end"/>
      </w:r>
      <w:r w:rsidRPr="00925F1B">
        <w:t>. A primary interconnection of 25 kV is generally the most economical option for a 100 MW data center, and step-down to 13.8 kV is more economical for facility distribution, while further step-down to 480 V is more economical for equipment power distribution.</w:t>
      </w:r>
    </w:p>
    <w:p w14:paraId="7C4286FD" w14:textId="0EA5974C" w:rsidR="005B3B34" w:rsidRDefault="00925F1B" w:rsidP="00866BB5">
      <w:pPr>
        <w:spacing w:after="120"/>
        <w:ind w:firstLine="480"/>
      </w:pPr>
      <w:r w:rsidRPr="00925F1B">
        <w:t>A discussion about the debate between DC and AC distribution for data centers is worth considering. While AC-DC-AC conversion in the UPS is a double conversion loss, the conversion from AC to DC and back to AC (AC-DC-AC) can be avoided by using DC distribution, which can boost efficiency by 3 - 5 percent, but involves the use of DC-rated switchgear, circuit protection, and building wiring, which are more expensive and less readily available</w:t>
      </w:r>
      <w:r w:rsidR="008729A6">
        <w:fldChar w:fldCharType="begin"/>
      </w:r>
      <w:r w:rsidR="00866BB5">
        <w:instrText xml:space="preserve"> ADDIN ZOTERO_ITEM CSL_CITATION {"citationID":"4ZtdSEc3","properties":{"unsorted":false,"formattedCitation":"[141]","plainCitation":"[141]","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8729A6">
        <w:fldChar w:fldCharType="separate"/>
      </w:r>
      <w:r w:rsidR="00866BB5" w:rsidRPr="00866BB5">
        <w:t>[141]</w:t>
      </w:r>
      <w:r w:rsidR="008729A6">
        <w:fldChar w:fldCharType="end"/>
      </w:r>
      <w:r w:rsidRPr="00925F1B">
        <w:t>. In AI data centers with a high level of renewable energy consumption, where most of the energy is likely to be sourced from inverter-based DC power, DC distribution systems can present attractive efficiency benefits that outweigh the additional cost of the equipment.</w:t>
      </w:r>
    </w:p>
    <w:p w14:paraId="38729069" w14:textId="680E27A3" w:rsidR="00581E8E" w:rsidRDefault="00581E8E" w:rsidP="00581E8E">
      <w:pPr>
        <w:pStyle w:val="Heading20"/>
        <w:rPr>
          <w:color w:val="auto"/>
        </w:rPr>
      </w:pPr>
      <w:r>
        <w:rPr>
          <w:color w:val="auto"/>
        </w:rPr>
        <w:t>7.5. Control and Dispatch Strategies</w:t>
      </w:r>
    </w:p>
    <w:p w14:paraId="42EB400A" w14:textId="77777777" w:rsidR="00163578" w:rsidRPr="00163578" w:rsidRDefault="00163578" w:rsidP="00163578">
      <w:pPr>
        <w:spacing w:after="120"/>
        <w:ind w:firstLine="480"/>
      </w:pPr>
      <w:r w:rsidRPr="00163578">
        <w:t>Control strategy is the method by which the data center can coordinate renewable generation, storage, backup power, and demand-side resources to reliably and economically meet the demand for power. The proposed framework adopts a hierarchical control structure with three different layers and each with different time scale and different control purpose.</w:t>
      </w:r>
    </w:p>
    <w:p w14:paraId="56049820" w14:textId="42BD5C84" w:rsidR="00163578" w:rsidRPr="00163578" w:rsidRDefault="00163578" w:rsidP="00163578">
      <w:pPr>
        <w:spacing w:after="120"/>
        <w:ind w:firstLine="480"/>
      </w:pPr>
      <w:r w:rsidRPr="00163578">
        <w:lastRenderedPageBreak/>
        <w:t xml:space="preserve"> </w:t>
      </w:r>
      <w:r w:rsidR="00711AA9" w:rsidRPr="00711AA9">
        <w:rPr>
          <w:noProof/>
        </w:rPr>
        <w:drawing>
          <wp:inline distT="0" distB="0" distL="0" distR="0" wp14:anchorId="75931D60" wp14:editId="18024C65">
            <wp:extent cx="5615172" cy="2449002"/>
            <wp:effectExtent l="0" t="0" r="5080" b="8890"/>
            <wp:docPr id="4243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10074" name=""/>
                    <pic:cNvPicPr/>
                  </pic:nvPicPr>
                  <pic:blipFill rotWithShape="1">
                    <a:blip r:embed="rId13"/>
                    <a:srcRect t="6412" b="17628"/>
                    <a:stretch>
                      <a:fillRect/>
                    </a:stretch>
                  </pic:blipFill>
                  <pic:spPr bwMode="auto">
                    <a:xfrm>
                      <a:off x="0" y="0"/>
                      <a:ext cx="5615940" cy="2449337"/>
                    </a:xfrm>
                    <a:prstGeom prst="rect">
                      <a:avLst/>
                    </a:prstGeom>
                    <a:ln>
                      <a:noFill/>
                    </a:ln>
                    <a:extLst>
                      <a:ext uri="{53640926-AAD7-44D8-BBD7-CCE9431645EC}">
                        <a14:shadowObscured xmlns:a14="http://schemas.microsoft.com/office/drawing/2010/main"/>
                      </a:ext>
                    </a:extLst>
                  </pic:spPr>
                </pic:pic>
              </a:graphicData>
            </a:graphic>
          </wp:inline>
        </w:drawing>
      </w:r>
    </w:p>
    <w:p w14:paraId="094CE1F7" w14:textId="77777777" w:rsidR="00163578" w:rsidRPr="00163578" w:rsidRDefault="00163578" w:rsidP="00163578">
      <w:pPr>
        <w:spacing w:after="120"/>
        <w:ind w:firstLine="480"/>
      </w:pPr>
      <w:r w:rsidRPr="00163578">
        <w:t>Fig. 7. Hierarchical control architecture for operation of a data center micro grid.</w:t>
      </w:r>
    </w:p>
    <w:p w14:paraId="65856824" w14:textId="19567398" w:rsidR="00163578" w:rsidRPr="00163578" w:rsidRDefault="00163578" w:rsidP="00866BB5">
      <w:pPr>
        <w:spacing w:after="120"/>
        <w:ind w:firstLine="480"/>
      </w:pPr>
      <w:r w:rsidRPr="00163578">
        <w:t>The device-level control (level 1) controls the grid-forming or grid-following characteristics of the inverter, reacts to frequency and voltage deviations, and offers fast frequency response at millisecond timescales. At the facility-level (Level 2), EMS operates at minute to hourly timescales, and performs dispatch optimization using model-predictive control with 24-48 hour forecast horizons</w:t>
      </w:r>
      <w:r w:rsidR="00DF6659">
        <w:fldChar w:fldCharType="begin"/>
      </w:r>
      <w:r w:rsidR="00866BB5">
        <w:instrText xml:space="preserve"> ADDIN ZOTERO_ITEM CSL_CITATION {"citationID":"twpO3hsE","properties":{"unsorted":false,"formattedCitation":"[142]","plainCitation":"[142]","noteIndex":0},"citationItems":[{"id":2122,"uris":["http://zotero.org/users/9870935/items/JQYYBKN7"],"itemData":{"id":2122,"type":"article-journal","abstract":"As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DF6659">
        <w:fldChar w:fldCharType="separate"/>
      </w:r>
      <w:r w:rsidR="00866BB5" w:rsidRPr="00866BB5">
        <w:t>[142]</w:t>
      </w:r>
      <w:r w:rsidR="00DF6659">
        <w:fldChar w:fldCharType="end"/>
      </w:r>
      <w:r w:rsidRPr="00163578">
        <w:t>. At level 3, the corporate level, the optimization is conducted at the hourly to daily time scale and involves the scheduling of multiple facilities, such as routing compute workloads to facilities that offer the best renewable conditions</w:t>
      </w:r>
      <w:r w:rsidR="0073662B">
        <w:fldChar w:fldCharType="begin"/>
      </w:r>
      <w:r w:rsidR="00866BB5">
        <w:instrText xml:space="preserve"> ADDIN ZOTERO_ITEM CSL_CITATION {"citationID":"RyTTtKMh","properties":{"unsorted":false,"formattedCitation":"[142]","plainCitation":"[142]","noteIndex":0},"citationItems":[{"id":2122,"uris":["http://zotero.org/users/9870935/items/JQYYBKN7"],"itemData":{"id":2122,"type":"article-journal","abstract":"As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73662B">
        <w:fldChar w:fldCharType="separate"/>
      </w:r>
      <w:r w:rsidR="00866BB5" w:rsidRPr="00866BB5">
        <w:t>[142]</w:t>
      </w:r>
      <w:r w:rsidR="0073662B">
        <w:fldChar w:fldCharType="end"/>
      </w:r>
      <w:r w:rsidRPr="00163578">
        <w:t>.</w:t>
      </w:r>
    </w:p>
    <w:p w14:paraId="410DDD9C" w14:textId="10EFE660" w:rsidR="00581E8E" w:rsidRDefault="00163578" w:rsidP="00866BB5">
      <w:pPr>
        <w:spacing w:after="120"/>
        <w:ind w:firstLine="480"/>
      </w:pPr>
      <w:r w:rsidRPr="00163578">
        <w:t>AI workload scheduling is a special type of demand-side resource that data centers have that the traditional electricity consumers. Training workloads, which can stand hours to days of delay without compromising service quality, can be planned to coincide with times of high renewable generation. Relaxed latency requirements for inference workloads can be spread across facilities or time-shifted within SLA limits. Energy savings of up to 10% to 20% and reductions in carbon emissions of 5% to 15% are shown by quantified benefits from industry deployments, which shows that workload scheduling alone can make a difference</w:t>
      </w:r>
      <w:r w:rsidR="00AF6E46">
        <w:fldChar w:fldCharType="begin"/>
      </w:r>
      <w:r w:rsidR="00866BB5">
        <w:instrText xml:space="preserve"> ADDIN ZOTERO_ITEM CSL_CITATION {"citationID":"2jjafZXH","properties":{"unsorted":false,"formattedCitation":"[143]","plainCitation":"[143]","noteIndex":0},"citationItems":[{"id":2123,"uris":["http://zotero.org/users/9870935/items/2LZQJ3ZJ"],"itemData":{"id":2123,"type":"article","abstract":"The amount of CO$_2$ emitted per kilowatt-hour on an electricity grid varies by time of day and substantially varies by location due to the types of generation. Networked collections of warehouse scale computers, sometimes called Hyperscale Computing, emit more carbon than needed if operated without regard to these variations in carbon intensity. This paper introduces Google's system for Carbon-Intelligent Compute Management, which actively minimizes electricity-based carbon footprint and power infrastructure costs by delaying temporally flexible workloads. The core component of the system is a suite of analytical pipelines used to gather the next day's carbon intensity forecasts, train day-ahead demand prediction models, and use risk-aware optimization to generate the next day's carbon-aware Virtual Capacity Curves (VCCs) for all datacenter clusters across Google's fleet. VCCs impose hourly limits on resources available to temporally flexible workloads while preserving overall daily capacity, enabling all such workloads to complete within a day. Data from operation shows that VCCs effectively limit hourly capacity when the grid's energy supply mix is carbon intensive and delay the execution of temporally flexible workloads to \"greener\" times.","DOI":"10.48550/ARXIV.2106.11750","license":"Creative Commons Attribution 4.0 International","note":"version: 1","publisher":"arXiv","source":"DOI.org (Datacite)","title":"Carbon-Aware Computing for Datacenters","URL":"https://arxiv.org/abs/2106.11750","author":[{"family":"Radovanovic","given":"Ana"},{"family":"Koningstein","given":"Ross"},{"family":"Schneider","given":"Ian"},{"family":"Chen","given":"Bokan"},{"family":"Duarte","given":"Alexandre"},{"family":"Roy","given":"Binz"},{"family":"Xiao","given":"Diyue"},{"family":"Haridasan","given":"Maya"},{"family":"Hung","given":"Patrick"},{"family":"Care","given":"Nick"},{"family":"Talukdar","given":"Saurav"},{"family":"Mullen","given":"Eric"},{"family":"Smith","given":"Kendal"},{"family":"Cottman","given":"MariEllen"},{"family":"Cirne","given":"Walfredo"}],"accessed":{"date-parts":[["2026",5,23]]},"issued":{"date-parts":[["2021"]]}}}],"schema":"https://github.com/citation-style-language/schema/raw/master/csl-citation.json"} </w:instrText>
      </w:r>
      <w:r w:rsidR="00AF6E46">
        <w:fldChar w:fldCharType="separate"/>
      </w:r>
      <w:r w:rsidR="00866BB5" w:rsidRPr="00866BB5">
        <w:t>[143]</w:t>
      </w:r>
      <w:r w:rsidR="00AF6E46">
        <w:fldChar w:fldCharType="end"/>
      </w:r>
      <w:r w:rsidRPr="00163578">
        <w:t>.</w:t>
      </w:r>
    </w:p>
    <w:p w14:paraId="0EC7203B" w14:textId="4F84B18F" w:rsidR="00CF6F72" w:rsidRDefault="00CF6F72" w:rsidP="00CF6F72">
      <w:pPr>
        <w:pStyle w:val="Heading20"/>
        <w:rPr>
          <w:color w:val="auto"/>
        </w:rPr>
      </w:pPr>
      <w:r>
        <w:rPr>
          <w:color w:val="auto"/>
        </w:rPr>
        <w:t>7.6. Deman</w:t>
      </w:r>
      <w:r w:rsidR="0099741A">
        <w:rPr>
          <w:color w:val="auto"/>
        </w:rPr>
        <w:t>d</w:t>
      </w:r>
      <w:r>
        <w:rPr>
          <w:color w:val="auto"/>
        </w:rPr>
        <w:t>-Side Management and Load Flexibility</w:t>
      </w:r>
    </w:p>
    <w:p w14:paraId="46E99FA4" w14:textId="225503A1" w:rsidR="000E77FA" w:rsidRPr="000E77FA" w:rsidRDefault="000E77FA" w:rsidP="00866BB5">
      <w:pPr>
        <w:spacing w:after="120"/>
        <w:ind w:firstLine="480"/>
      </w:pPr>
      <w:r w:rsidRPr="000E77FA">
        <w:t xml:space="preserve">Data center workloads are divided into one of four flexibility classes: (1) Training, highly flexible with deferral windows of hours to days, (2) Inference, less than 100 ms response time to some deferral, depending on application, (3) Analytics and Batch processing, highly flexible and easily shifted to renewable peaks, and (4) Background tasks, such as model optimization, data indexing, and system maintenance, are fully interruptible </w:t>
      </w:r>
      <w:r w:rsidR="0028220C">
        <w:fldChar w:fldCharType="begin"/>
      </w:r>
      <w:r w:rsidR="00866BB5">
        <w:instrText xml:space="preserve"> ADDIN ZOTERO_ITEM CSL_CITATION {"citationID":"oMLFJ3Xg","properties":{"unsorted":false,"formattedCitation":"[144]","plainCitation":"[144]","noteIndex":0},"citationItems":[{"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28220C">
        <w:fldChar w:fldCharType="separate"/>
      </w:r>
      <w:r w:rsidR="00866BB5" w:rsidRPr="00866BB5">
        <w:t>[144]</w:t>
      </w:r>
      <w:r w:rsidR="0028220C">
        <w:fldChar w:fldCharType="end"/>
      </w:r>
      <w:r w:rsidRPr="000E77FA">
        <w:t>. This classification allows the control system to dynamically prioritize and schedule workloads according to forecasts of renewable availability.</w:t>
      </w:r>
    </w:p>
    <w:p w14:paraId="0B4587A5" w14:textId="579D77F2" w:rsidR="00CF6F72" w:rsidRPr="000E77FA" w:rsidRDefault="000E77FA" w:rsidP="00866BB5">
      <w:pPr>
        <w:spacing w:after="120"/>
        <w:ind w:firstLine="480"/>
      </w:pPr>
      <w:r w:rsidRPr="000E77FA">
        <w:t>Workload scheduling requires changes to the job scheduling infrastructure, which are executed through Kubernetes extensions or custom scheduling plugin that calls a renewable availability API that provides 24-48 hour forecasts</w:t>
      </w:r>
      <w:r w:rsidR="007F7AF6">
        <w:fldChar w:fldCharType="begin"/>
      </w:r>
      <w:r w:rsidR="00866BB5">
        <w:instrText xml:space="preserve"> ADDIN ZOTERO_ITEM CSL_CITATION {"citationID":"xaFTh4pu","properties":{"unsorted":false,"formattedCitation":"[145]","plainCitation":"[145]","noteIndex":0},"citationItems":[{"id":2126,"uris":["http://zotero.org/users/9870935/items/5SGD5DQK"],"itemData":{"id":2126,"type":"paper-conference","container-title":"ICC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F7AF6">
        <w:fldChar w:fldCharType="separate"/>
      </w:r>
      <w:r w:rsidR="00866BB5" w:rsidRPr="00866BB5">
        <w:t>[145]</w:t>
      </w:r>
      <w:r w:rsidR="007F7AF6">
        <w:fldChar w:fldCharType="end"/>
      </w:r>
      <w:r w:rsidRPr="000E77FA">
        <w:t xml:space="preserve">. The API provides time-series data </w:t>
      </w:r>
      <w:r w:rsidRPr="000E77FA">
        <w:lastRenderedPageBreak/>
        <w:t>on the percentage of the total load to be met from renewable generation, which the scheduler can use to determine good time periods for workloads that can be deferred. SLA relaxation parameters are the maximum allowable increase in latency (usually 5</w:t>
      </w:r>
      <w:r w:rsidR="009C3032">
        <w:t>-10%</w:t>
      </w:r>
      <w:r w:rsidRPr="000E77FA">
        <w:t>) that a business can expect in return for the cost and carbon savings of more than 15</w:t>
      </w:r>
      <w:r w:rsidR="009C3032">
        <w:t>%</w:t>
      </w:r>
      <w:r w:rsidRPr="000E77FA">
        <w:t>.</w:t>
      </w:r>
    </w:p>
    <w:p w14:paraId="0B8BF1B0" w14:textId="4367B8BB" w:rsidR="003B44B7" w:rsidRDefault="003B44B7" w:rsidP="003B44B7">
      <w:pPr>
        <w:pStyle w:val="Heading20"/>
        <w:rPr>
          <w:color w:val="auto"/>
        </w:rPr>
      </w:pPr>
      <w:r>
        <w:rPr>
          <w:color w:val="auto"/>
        </w:rPr>
        <w:t>7.7. Cooling System Coordination</w:t>
      </w:r>
    </w:p>
    <w:p w14:paraId="407AEB3D" w14:textId="589A1250" w:rsidR="00613288" w:rsidRPr="00613288" w:rsidRDefault="00613288" w:rsidP="00866BB5">
      <w:pPr>
        <w:spacing w:after="120"/>
        <w:ind w:firstLine="480"/>
      </w:pPr>
      <w:r w:rsidRPr="00613288">
        <w:t>The concept of cooling system coordination is based on synchronizing the electric and thermal energy systems to optimize overall efficiency. Thermal energy storage (TES) systems, particularly ice storage and chilled water storage, enable cooling demand to be shifted to periods of abundant renewable energy or low electricity prices. If there is excess renewable energy during periods of high renewable energy, it can be utilized to generate chilled water or ice, and then stored for use during other times of low renewable energy production</w:t>
      </w:r>
      <w:r w:rsidR="00DB24DF">
        <w:fldChar w:fldCharType="begin"/>
      </w:r>
      <w:r w:rsidR="00866BB5">
        <w:instrText xml:space="preserve"> ADDIN ZOTERO_ITEM CSL_CITATION {"citationID":"9ETsUl6Y","properties":{"unsorted":false,"formattedCitation":"[79]","plainCitation":"[79]","noteIndex":0},"citationItems":[{"id":2036,"uris":["http://zotero.org/users/9870935/items/2KMJ9H69"],"itemData":{"id":2036,"type":"paper-conference","container-title":"2011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DB24DF">
        <w:fldChar w:fldCharType="separate"/>
      </w:r>
      <w:r w:rsidR="00866BB5" w:rsidRPr="00866BB5">
        <w:t>[79]</w:t>
      </w:r>
      <w:r w:rsidR="00DB24DF">
        <w:fldChar w:fldCharType="end"/>
      </w:r>
      <w:r w:rsidRPr="00613288">
        <w:t>. Dynamic setpoint management enables the cooling system temperature to vary within a control range, thereby saving energy when renewable energy sources are available and strengthening control when the grid becomes critical</w:t>
      </w:r>
      <w:r w:rsidR="0017669A">
        <w:fldChar w:fldCharType="begin"/>
      </w:r>
      <w:r w:rsidR="00866BB5">
        <w:instrText xml:space="preserve"> ADDIN ZOTERO_ITEM CSL_CITATION {"citationID":"ovfPeKR7","properties":{"unsorted":false,"formattedCitation":"[146]","plainCitation":"[146]","noteIndex":0},"citationItems":[{"id":2127,"uris":["http://zotero.org/users/9870935/items/TPD6JBT4"],"itemData":{"id":2127,"type":"article","abstract":"As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17669A">
        <w:fldChar w:fldCharType="separate"/>
      </w:r>
      <w:r w:rsidR="00866BB5" w:rsidRPr="00866BB5">
        <w:t>[146]</w:t>
      </w:r>
      <w:r w:rsidR="0017669A">
        <w:fldChar w:fldCharType="end"/>
      </w:r>
      <w:r w:rsidRPr="00613288">
        <w:t>.</w:t>
      </w:r>
    </w:p>
    <w:p w14:paraId="53D79C68" w14:textId="2F063790" w:rsidR="003B44B7" w:rsidRPr="00613288" w:rsidRDefault="00613288" w:rsidP="00866BB5">
      <w:pPr>
        <w:spacing w:after="120"/>
        <w:ind w:firstLine="480"/>
      </w:pPr>
      <w:r w:rsidRPr="00613288">
        <w:t>The efficiency benefit of liquid cooling for AI accelerators is impressive, with cooling energy per watt of IT load dropping from 0.3W to 0.5W (air cooling) to 0.1W to 0.2W (direct-to-chip liquid cooling)</w:t>
      </w:r>
      <w:r w:rsidR="00F66B81">
        <w:fldChar w:fldCharType="begin"/>
      </w:r>
      <w:r w:rsidR="00F66B81">
        <w:instrText xml:space="preserve"> ADDIN ZOTERO_ITEM CSL_CITATION {"citationID":"XJwrlQZ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F66B81">
        <w:fldChar w:fldCharType="separate"/>
      </w:r>
      <w:r w:rsidR="00F66B81" w:rsidRPr="00F66B81">
        <w:t>[34]</w:t>
      </w:r>
      <w:r w:rsidR="00F66B81">
        <w:fldChar w:fldCharType="end"/>
      </w:r>
      <w:r w:rsidRPr="00613288">
        <w:t xml:space="preserve">. Waste heat recovery involves recovering the thermal energy that the data center rejects for other applications, like district heating, greenhouse heating, or industrial process heat, in order to reduce the overall amount of energy consumed by the data center, with a benefit of </w:t>
      </w:r>
      <w:r w:rsidR="00836B83">
        <w:t>5-</w:t>
      </w:r>
      <w:r w:rsidRPr="00613288">
        <w:t>10</w:t>
      </w:r>
      <w:r w:rsidR="00836B83">
        <w:t xml:space="preserve">% </w:t>
      </w:r>
      <w:r w:rsidRPr="00613288">
        <w:t>of total energy costs</w:t>
      </w:r>
      <w:r w:rsidR="004E5D29">
        <w:fldChar w:fldCharType="begin"/>
      </w:r>
      <w:r w:rsidR="00866BB5">
        <w:instrText xml:space="preserve"> ADDIN ZOTERO_ITEM CSL_CITATION {"citationID":"pKIYxu2A","properties":{"unsorted":false,"formattedCitation":"[147]","plainCitation":"[147]","noteIndex":0},"citationItems":[{"id":2128,"uris":["http://zotero.org/users/9870935/items/I7S4GH78"],"itemData":{"id":2128,"type":"article-journal","container-title":"Information, Communication &amp; Society","DOI":"10.1080/1369118X.2025.2596872","ISSN":"1369-118X, 1468-4462","journalAbbreviation":"Information, Communication &amp; Society","language":"en","page":"1-17","source":"DOI.org (Crossref)","title":"Sustainable datacentres and eco-modernist frictions in Sweden","author":[{"family":"Sefyrin","given":"Johanna"}],"issued":{"date-parts":[["2025",12,11]]}}}],"schema":"https://github.com/citation-style-language/schema/raw/master/csl-citation.json"} </w:instrText>
      </w:r>
      <w:r w:rsidR="004E5D29">
        <w:fldChar w:fldCharType="separate"/>
      </w:r>
      <w:r w:rsidR="00866BB5" w:rsidRPr="00866BB5">
        <w:t>[147]</w:t>
      </w:r>
      <w:r w:rsidR="004E5D29">
        <w:fldChar w:fldCharType="end"/>
      </w:r>
      <w:r w:rsidRPr="00613288">
        <w:t>.</w:t>
      </w:r>
    </w:p>
    <w:p w14:paraId="41191194" w14:textId="5D49C342" w:rsidR="00E87A9C" w:rsidRDefault="00E87A9C" w:rsidP="00E87A9C">
      <w:pPr>
        <w:pStyle w:val="Heading20"/>
        <w:rPr>
          <w:color w:val="auto"/>
        </w:rPr>
      </w:pPr>
      <w:r>
        <w:rPr>
          <w:color w:val="auto"/>
        </w:rPr>
        <w:t>7.8. Economic Model and Financial Vaibility</w:t>
      </w:r>
    </w:p>
    <w:p w14:paraId="06888322" w14:textId="569AFDF3" w:rsidR="00E87A9C" w:rsidRPr="00354B1B" w:rsidRDefault="00F30983" w:rsidP="00866BB5">
      <w:pPr>
        <w:spacing w:after="120"/>
        <w:ind w:firstLine="480"/>
      </w:pPr>
      <w:r w:rsidRPr="00354B1B">
        <w:t>The economic model employs standard financial metrics including Levelized Cost of Energy (LCOE), Net Present Value (NPV), Internal Rate of Return (IRR), and payback period to evaluate the financial performance of renewable-powered data center configurations. The LCOE calculation aggregates all capital and operating costs over the project lifetime and divides by total energy delivered, discounted to present value</w:t>
      </w:r>
      <w:r w:rsidR="004C5D3A">
        <w:fldChar w:fldCharType="begin"/>
      </w:r>
      <w:r w:rsidR="00866BB5">
        <w:instrText xml:space="preserve"> ADDIN ZOTERO_ITEM CSL_CITATION {"citationID":"AU6U0yuJ","properties":{"unsorted":false,"formattedCitation":"[148]","plainCitation":"[148]","noteIndex":0},"citationItems":[{"id":2132,"uris":["http://zotero.org/users/9870935/items/786EAJKN"],"itemData":{"id":2132,"type":"document","title":"Levelized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4C5D3A">
        <w:fldChar w:fldCharType="separate"/>
      </w:r>
      <w:r w:rsidR="00866BB5" w:rsidRPr="00866BB5">
        <w:t>[148]</w:t>
      </w:r>
      <w:r w:rsidR="004C5D3A">
        <w:fldChar w:fldCharType="end"/>
      </w:r>
      <w:r w:rsidRPr="00354B1B">
        <w:t>.</w:t>
      </w:r>
    </w:p>
    <w:p w14:paraId="293606F7" w14:textId="1B219059" w:rsidR="00F31A23" w:rsidRDefault="00F31A23" w:rsidP="00F31A23">
      <w:pPr>
        <w:pStyle w:val="Caption"/>
        <w:keepNext/>
      </w:pPr>
      <w:r>
        <w:t xml:space="preserve">Table </w:t>
      </w:r>
      <w:r>
        <w:fldChar w:fldCharType="begin"/>
      </w:r>
      <w:r>
        <w:instrText xml:space="preserve"> SEQ Table \* ARABIC </w:instrText>
      </w:r>
      <w:r>
        <w:fldChar w:fldCharType="separate"/>
      </w:r>
      <w:r w:rsidR="00FF5DCC">
        <w:rPr>
          <w:noProof/>
        </w:rPr>
        <w:t>4</w:t>
      </w:r>
      <w:r>
        <w:fldChar w:fldCharType="end"/>
      </w:r>
      <w:r>
        <w:t xml:space="preserve"> </w:t>
      </w:r>
      <w:r w:rsidRPr="000B7235">
        <w:t>CAPEX Breakdown by Technology (2025–2026)</w:t>
      </w:r>
    </w:p>
    <w:tbl>
      <w:tblPr>
        <w:tblStyle w:val="Mdeck5tablebodythreelines"/>
        <w:tblW w:w="0" w:type="auto"/>
        <w:tblLook w:val="04A0" w:firstRow="1" w:lastRow="0" w:firstColumn="1" w:lastColumn="0" w:noHBand="0" w:noVBand="1"/>
      </w:tblPr>
      <w:tblGrid>
        <w:gridCol w:w="2329"/>
        <w:gridCol w:w="1793"/>
        <w:gridCol w:w="1812"/>
        <w:gridCol w:w="1650"/>
        <w:gridCol w:w="1260"/>
      </w:tblGrid>
      <w:tr w:rsidR="00F30983" w:rsidRPr="00F30983" w14:paraId="392F0304" w14:textId="77777777" w:rsidTr="00F30983">
        <w:trPr>
          <w:cnfStyle w:val="100000000000" w:firstRow="1" w:lastRow="0" w:firstColumn="0" w:lastColumn="0" w:oddVBand="0" w:evenVBand="0" w:oddHBand="0" w:evenHBand="0" w:firstRowFirstColumn="0" w:firstRowLastColumn="0" w:lastRowFirstColumn="0" w:lastRowLastColumn="0"/>
        </w:trPr>
        <w:tc>
          <w:tcPr>
            <w:tcW w:w="0" w:type="auto"/>
            <w:hideMark/>
          </w:tcPr>
          <w:p w14:paraId="06CA88B0"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Technology</w:t>
            </w:r>
          </w:p>
        </w:tc>
        <w:tc>
          <w:tcPr>
            <w:tcW w:w="0" w:type="auto"/>
            <w:hideMark/>
          </w:tcPr>
          <w:p w14:paraId="22EA7340"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CAPEX Range</w:t>
            </w:r>
          </w:p>
        </w:tc>
        <w:tc>
          <w:tcPr>
            <w:tcW w:w="0" w:type="auto"/>
            <w:hideMark/>
          </w:tcPr>
          <w:p w14:paraId="17541147"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Fixed O&amp;M (%/yr)</w:t>
            </w:r>
          </w:p>
        </w:tc>
        <w:tc>
          <w:tcPr>
            <w:tcW w:w="0" w:type="auto"/>
            <w:hideMark/>
          </w:tcPr>
          <w:p w14:paraId="0F279F05"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LCOE ($/MWh)</w:t>
            </w:r>
          </w:p>
        </w:tc>
        <w:tc>
          <w:tcPr>
            <w:tcW w:w="0" w:type="auto"/>
            <w:hideMark/>
          </w:tcPr>
          <w:p w14:paraId="7E0C4E91"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Lifetime</w:t>
            </w:r>
          </w:p>
        </w:tc>
      </w:tr>
      <w:tr w:rsidR="00F30983" w:rsidRPr="00F30983" w14:paraId="2ED52775" w14:textId="77777777" w:rsidTr="00F30983">
        <w:tc>
          <w:tcPr>
            <w:tcW w:w="0" w:type="auto"/>
            <w:hideMark/>
          </w:tcPr>
          <w:p w14:paraId="5B93917C" w14:textId="77777777" w:rsidR="00F30983" w:rsidRPr="00F30983" w:rsidRDefault="00F30983" w:rsidP="00F30983">
            <w:pPr>
              <w:pStyle w:val="TableBody"/>
              <w:spacing w:line="240" w:lineRule="auto"/>
              <w:rPr>
                <w:b/>
                <w:bCs/>
                <w:color w:val="auto"/>
                <w:lang w:val="en-US"/>
              </w:rPr>
            </w:pPr>
            <w:r w:rsidRPr="00F30983">
              <w:rPr>
                <w:b/>
                <w:bCs/>
                <w:color w:val="auto"/>
                <w:lang w:val="en-US"/>
              </w:rPr>
              <w:t>Solar PV (Utility)</w:t>
            </w:r>
          </w:p>
        </w:tc>
        <w:tc>
          <w:tcPr>
            <w:tcW w:w="0" w:type="auto"/>
            <w:hideMark/>
          </w:tcPr>
          <w:p w14:paraId="47412481" w14:textId="77777777" w:rsidR="00F30983" w:rsidRPr="00F30983" w:rsidRDefault="00F30983" w:rsidP="00F30983">
            <w:pPr>
              <w:pStyle w:val="TableBody"/>
              <w:spacing w:line="240" w:lineRule="auto"/>
              <w:rPr>
                <w:b/>
                <w:bCs/>
                <w:color w:val="auto"/>
                <w:lang w:val="en-US"/>
              </w:rPr>
            </w:pPr>
            <w:r w:rsidRPr="00F30983">
              <w:rPr>
                <w:b/>
                <w:bCs/>
                <w:color w:val="auto"/>
                <w:lang w:val="en-US"/>
              </w:rPr>
              <w:t>$900–$1,600 /kW</w:t>
            </w:r>
          </w:p>
        </w:tc>
        <w:tc>
          <w:tcPr>
            <w:tcW w:w="0" w:type="auto"/>
            <w:hideMark/>
          </w:tcPr>
          <w:p w14:paraId="29223644" w14:textId="77777777" w:rsidR="00F30983" w:rsidRPr="00F30983" w:rsidRDefault="00F30983" w:rsidP="00F30983">
            <w:pPr>
              <w:pStyle w:val="TableBody"/>
              <w:spacing w:line="240" w:lineRule="auto"/>
              <w:rPr>
                <w:b/>
                <w:bCs/>
                <w:color w:val="auto"/>
                <w:lang w:val="en-US"/>
              </w:rPr>
            </w:pPr>
            <w:r w:rsidRPr="00F30983">
              <w:rPr>
                <w:b/>
                <w:bCs/>
                <w:color w:val="auto"/>
                <w:lang w:val="en-US"/>
              </w:rPr>
              <w:t>0.4–0.8%</w:t>
            </w:r>
          </w:p>
        </w:tc>
        <w:tc>
          <w:tcPr>
            <w:tcW w:w="0" w:type="auto"/>
            <w:hideMark/>
          </w:tcPr>
          <w:p w14:paraId="20889A88" w14:textId="77777777" w:rsidR="00F30983" w:rsidRPr="00F30983" w:rsidRDefault="00F30983" w:rsidP="00F30983">
            <w:pPr>
              <w:pStyle w:val="TableBody"/>
              <w:spacing w:line="240" w:lineRule="auto"/>
              <w:rPr>
                <w:b/>
                <w:bCs/>
                <w:color w:val="auto"/>
                <w:lang w:val="en-US"/>
              </w:rPr>
            </w:pPr>
            <w:r w:rsidRPr="00F30983">
              <w:rPr>
                <w:b/>
                <w:bCs/>
                <w:color w:val="auto"/>
                <w:lang w:val="en-US"/>
              </w:rPr>
              <w:t>$50–$80</w:t>
            </w:r>
          </w:p>
        </w:tc>
        <w:tc>
          <w:tcPr>
            <w:tcW w:w="0" w:type="auto"/>
            <w:hideMark/>
          </w:tcPr>
          <w:p w14:paraId="339D265A" w14:textId="77777777" w:rsidR="00F30983" w:rsidRPr="00F30983" w:rsidRDefault="00F30983" w:rsidP="00F30983">
            <w:pPr>
              <w:pStyle w:val="TableBody"/>
              <w:spacing w:line="240" w:lineRule="auto"/>
              <w:rPr>
                <w:b/>
                <w:bCs/>
                <w:color w:val="auto"/>
                <w:lang w:val="en-US"/>
              </w:rPr>
            </w:pPr>
            <w:r w:rsidRPr="00F30983">
              <w:rPr>
                <w:b/>
                <w:bCs/>
                <w:color w:val="auto"/>
                <w:lang w:val="en-US"/>
              </w:rPr>
              <w:t>25–30 years</w:t>
            </w:r>
          </w:p>
        </w:tc>
      </w:tr>
      <w:tr w:rsidR="00F30983" w:rsidRPr="00F30983" w14:paraId="53A92FA6" w14:textId="77777777" w:rsidTr="00F30983">
        <w:tc>
          <w:tcPr>
            <w:tcW w:w="0" w:type="auto"/>
            <w:hideMark/>
          </w:tcPr>
          <w:p w14:paraId="42578866" w14:textId="77777777" w:rsidR="00F30983" w:rsidRPr="00F30983" w:rsidRDefault="00F30983" w:rsidP="00F30983">
            <w:pPr>
              <w:pStyle w:val="TableBody"/>
              <w:spacing w:line="240" w:lineRule="auto"/>
              <w:rPr>
                <w:b/>
                <w:bCs/>
                <w:color w:val="auto"/>
                <w:lang w:val="en-US"/>
              </w:rPr>
            </w:pPr>
            <w:r w:rsidRPr="00F30983">
              <w:rPr>
                <w:b/>
                <w:bCs/>
                <w:color w:val="auto"/>
                <w:lang w:val="en-US"/>
              </w:rPr>
              <w:t>Wind Onshore</w:t>
            </w:r>
          </w:p>
        </w:tc>
        <w:tc>
          <w:tcPr>
            <w:tcW w:w="0" w:type="auto"/>
            <w:hideMark/>
          </w:tcPr>
          <w:p w14:paraId="3318832D" w14:textId="77777777" w:rsidR="00F30983" w:rsidRPr="00F30983" w:rsidRDefault="00F30983" w:rsidP="00F30983">
            <w:pPr>
              <w:pStyle w:val="TableBody"/>
              <w:spacing w:line="240" w:lineRule="auto"/>
              <w:rPr>
                <w:b/>
                <w:bCs/>
                <w:color w:val="auto"/>
                <w:lang w:val="en-US"/>
              </w:rPr>
            </w:pPr>
            <w:r w:rsidRPr="00F30983">
              <w:rPr>
                <w:b/>
                <w:bCs/>
                <w:color w:val="auto"/>
                <w:lang w:val="en-US"/>
              </w:rPr>
              <w:t>$1,800–$2,600 /kW</w:t>
            </w:r>
          </w:p>
        </w:tc>
        <w:tc>
          <w:tcPr>
            <w:tcW w:w="0" w:type="auto"/>
            <w:hideMark/>
          </w:tcPr>
          <w:p w14:paraId="4E6D322F" w14:textId="77777777" w:rsidR="00F30983" w:rsidRPr="00F30983" w:rsidRDefault="00F30983" w:rsidP="00F30983">
            <w:pPr>
              <w:pStyle w:val="TableBody"/>
              <w:spacing w:line="240" w:lineRule="auto"/>
              <w:rPr>
                <w:b/>
                <w:bCs/>
                <w:color w:val="auto"/>
                <w:lang w:val="en-US"/>
              </w:rPr>
            </w:pPr>
            <w:r w:rsidRPr="00F30983">
              <w:rPr>
                <w:b/>
                <w:bCs/>
                <w:color w:val="auto"/>
                <w:lang w:val="en-US"/>
              </w:rPr>
              <w:t>1.5–2.5%</w:t>
            </w:r>
          </w:p>
        </w:tc>
        <w:tc>
          <w:tcPr>
            <w:tcW w:w="0" w:type="auto"/>
            <w:hideMark/>
          </w:tcPr>
          <w:p w14:paraId="4E2B10F0" w14:textId="77777777" w:rsidR="00F30983" w:rsidRPr="00F30983" w:rsidRDefault="00F30983" w:rsidP="00F30983">
            <w:pPr>
              <w:pStyle w:val="TableBody"/>
              <w:spacing w:line="240" w:lineRule="auto"/>
              <w:rPr>
                <w:b/>
                <w:bCs/>
                <w:color w:val="auto"/>
                <w:lang w:val="en-US"/>
              </w:rPr>
            </w:pPr>
            <w:r w:rsidRPr="00F30983">
              <w:rPr>
                <w:b/>
                <w:bCs/>
                <w:color w:val="auto"/>
                <w:lang w:val="en-US"/>
              </w:rPr>
              <w:t>$45–$70</w:t>
            </w:r>
          </w:p>
        </w:tc>
        <w:tc>
          <w:tcPr>
            <w:tcW w:w="0" w:type="auto"/>
            <w:hideMark/>
          </w:tcPr>
          <w:p w14:paraId="65359530" w14:textId="77777777" w:rsidR="00F30983" w:rsidRPr="00F30983" w:rsidRDefault="00F30983" w:rsidP="00F30983">
            <w:pPr>
              <w:pStyle w:val="TableBody"/>
              <w:spacing w:line="240" w:lineRule="auto"/>
              <w:rPr>
                <w:b/>
                <w:bCs/>
                <w:color w:val="auto"/>
                <w:lang w:val="en-US"/>
              </w:rPr>
            </w:pPr>
            <w:r w:rsidRPr="00F30983">
              <w:rPr>
                <w:b/>
                <w:bCs/>
                <w:color w:val="auto"/>
                <w:lang w:val="en-US"/>
              </w:rPr>
              <w:t>20–25 years</w:t>
            </w:r>
          </w:p>
        </w:tc>
      </w:tr>
      <w:tr w:rsidR="00F30983" w:rsidRPr="00F30983" w14:paraId="02DAD235" w14:textId="77777777" w:rsidTr="00F30983">
        <w:tc>
          <w:tcPr>
            <w:tcW w:w="0" w:type="auto"/>
            <w:hideMark/>
          </w:tcPr>
          <w:p w14:paraId="1C95CBA6" w14:textId="77777777" w:rsidR="00F30983" w:rsidRPr="00F30983" w:rsidRDefault="00F30983" w:rsidP="00F30983">
            <w:pPr>
              <w:pStyle w:val="TableBody"/>
              <w:spacing w:line="240" w:lineRule="auto"/>
              <w:rPr>
                <w:b/>
                <w:bCs/>
                <w:color w:val="auto"/>
                <w:lang w:val="en-US"/>
              </w:rPr>
            </w:pPr>
            <w:r w:rsidRPr="00F30983">
              <w:rPr>
                <w:b/>
                <w:bCs/>
                <w:color w:val="auto"/>
                <w:lang w:val="en-US"/>
              </w:rPr>
              <w:t>Li-ion Battery (4h BESS)</w:t>
            </w:r>
          </w:p>
        </w:tc>
        <w:tc>
          <w:tcPr>
            <w:tcW w:w="0" w:type="auto"/>
            <w:hideMark/>
          </w:tcPr>
          <w:p w14:paraId="39B258B3" w14:textId="77777777" w:rsidR="00F30983" w:rsidRPr="00F30983" w:rsidRDefault="00F30983" w:rsidP="00F30983">
            <w:pPr>
              <w:pStyle w:val="TableBody"/>
              <w:spacing w:line="240" w:lineRule="auto"/>
              <w:rPr>
                <w:b/>
                <w:bCs/>
                <w:color w:val="auto"/>
                <w:lang w:val="en-US"/>
              </w:rPr>
            </w:pPr>
            <w:r w:rsidRPr="00F30983">
              <w:rPr>
                <w:b/>
                <w:bCs/>
                <w:color w:val="auto"/>
                <w:lang w:val="en-US"/>
              </w:rPr>
              <w:t>$180–$320 /kWh</w:t>
            </w:r>
          </w:p>
        </w:tc>
        <w:tc>
          <w:tcPr>
            <w:tcW w:w="0" w:type="auto"/>
            <w:hideMark/>
          </w:tcPr>
          <w:p w14:paraId="0A01AA1D" w14:textId="77777777" w:rsidR="00F30983" w:rsidRPr="00F30983" w:rsidRDefault="00F30983" w:rsidP="00F30983">
            <w:pPr>
              <w:pStyle w:val="TableBody"/>
              <w:spacing w:line="240" w:lineRule="auto"/>
              <w:rPr>
                <w:b/>
                <w:bCs/>
                <w:color w:val="auto"/>
                <w:lang w:val="en-US"/>
              </w:rPr>
            </w:pPr>
            <w:r w:rsidRPr="00F30983">
              <w:rPr>
                <w:b/>
                <w:bCs/>
                <w:color w:val="auto"/>
                <w:lang w:val="en-US"/>
              </w:rPr>
              <w:t>1.0–2.0%</w:t>
            </w:r>
          </w:p>
        </w:tc>
        <w:tc>
          <w:tcPr>
            <w:tcW w:w="0" w:type="auto"/>
            <w:hideMark/>
          </w:tcPr>
          <w:p w14:paraId="7CE7E144" w14:textId="77777777" w:rsidR="00F30983" w:rsidRPr="00F30983" w:rsidRDefault="00F30983" w:rsidP="00F30983">
            <w:pPr>
              <w:pStyle w:val="TableBody"/>
              <w:spacing w:line="240" w:lineRule="auto"/>
              <w:rPr>
                <w:b/>
                <w:bCs/>
                <w:color w:val="auto"/>
                <w:lang w:val="en-US"/>
              </w:rPr>
            </w:pPr>
            <w:r w:rsidRPr="00F30983">
              <w:rPr>
                <w:b/>
                <w:bCs/>
                <w:color w:val="auto"/>
                <w:lang w:val="en-US"/>
              </w:rPr>
              <w:t>$80–$130</w:t>
            </w:r>
          </w:p>
        </w:tc>
        <w:tc>
          <w:tcPr>
            <w:tcW w:w="0" w:type="auto"/>
            <w:hideMark/>
          </w:tcPr>
          <w:p w14:paraId="66B9D986" w14:textId="77777777" w:rsidR="00F30983" w:rsidRPr="00F30983" w:rsidRDefault="00F30983" w:rsidP="00F30983">
            <w:pPr>
              <w:pStyle w:val="TableBody"/>
              <w:spacing w:line="240" w:lineRule="auto"/>
              <w:rPr>
                <w:b/>
                <w:bCs/>
                <w:color w:val="auto"/>
                <w:lang w:val="en-US"/>
              </w:rPr>
            </w:pPr>
            <w:r w:rsidRPr="00F30983">
              <w:rPr>
                <w:b/>
                <w:bCs/>
                <w:color w:val="auto"/>
                <w:lang w:val="en-US"/>
              </w:rPr>
              <w:t>15–20 years</w:t>
            </w:r>
          </w:p>
        </w:tc>
      </w:tr>
      <w:tr w:rsidR="00F30983" w:rsidRPr="00F30983" w14:paraId="60D2E6A5" w14:textId="77777777" w:rsidTr="00F30983">
        <w:tc>
          <w:tcPr>
            <w:tcW w:w="0" w:type="auto"/>
            <w:hideMark/>
          </w:tcPr>
          <w:p w14:paraId="1FBEFDA5" w14:textId="77777777" w:rsidR="00F30983" w:rsidRPr="00F30983" w:rsidRDefault="00F30983" w:rsidP="00F30983">
            <w:pPr>
              <w:pStyle w:val="TableBody"/>
              <w:spacing w:line="240" w:lineRule="auto"/>
              <w:rPr>
                <w:b/>
                <w:bCs/>
                <w:color w:val="auto"/>
                <w:lang w:val="en-US"/>
              </w:rPr>
            </w:pPr>
            <w:r w:rsidRPr="00F30983">
              <w:rPr>
                <w:b/>
                <w:bCs/>
                <w:color w:val="auto"/>
                <w:lang w:val="en-US"/>
              </w:rPr>
              <w:t>Diesel Generator</w:t>
            </w:r>
          </w:p>
        </w:tc>
        <w:tc>
          <w:tcPr>
            <w:tcW w:w="0" w:type="auto"/>
            <w:hideMark/>
          </w:tcPr>
          <w:p w14:paraId="7D1553DE" w14:textId="77777777" w:rsidR="00F30983" w:rsidRPr="00F30983" w:rsidRDefault="00F30983" w:rsidP="00F30983">
            <w:pPr>
              <w:pStyle w:val="TableBody"/>
              <w:spacing w:line="240" w:lineRule="auto"/>
              <w:rPr>
                <w:b/>
                <w:bCs/>
                <w:color w:val="auto"/>
                <w:lang w:val="en-US"/>
              </w:rPr>
            </w:pPr>
            <w:r w:rsidRPr="00F30983">
              <w:rPr>
                <w:b/>
                <w:bCs/>
                <w:color w:val="auto"/>
                <w:lang w:val="en-US"/>
              </w:rPr>
              <w:t>$400–$750 /kW</w:t>
            </w:r>
          </w:p>
        </w:tc>
        <w:tc>
          <w:tcPr>
            <w:tcW w:w="0" w:type="auto"/>
            <w:hideMark/>
          </w:tcPr>
          <w:p w14:paraId="363F73F2" w14:textId="77777777" w:rsidR="00F30983" w:rsidRPr="00F30983" w:rsidRDefault="00F30983" w:rsidP="00F30983">
            <w:pPr>
              <w:pStyle w:val="TableBody"/>
              <w:spacing w:line="240" w:lineRule="auto"/>
              <w:rPr>
                <w:b/>
                <w:bCs/>
                <w:color w:val="auto"/>
                <w:lang w:val="en-US"/>
              </w:rPr>
            </w:pPr>
            <w:r w:rsidRPr="00F30983">
              <w:rPr>
                <w:b/>
                <w:bCs/>
                <w:color w:val="auto"/>
                <w:lang w:val="en-US"/>
              </w:rPr>
              <w:t>2.0–3.5%</w:t>
            </w:r>
          </w:p>
        </w:tc>
        <w:tc>
          <w:tcPr>
            <w:tcW w:w="0" w:type="auto"/>
            <w:hideMark/>
          </w:tcPr>
          <w:p w14:paraId="3B4FCDFA" w14:textId="77777777" w:rsidR="00F30983" w:rsidRPr="00F30983" w:rsidRDefault="00F30983" w:rsidP="00F30983">
            <w:pPr>
              <w:pStyle w:val="TableBody"/>
              <w:spacing w:line="240" w:lineRule="auto"/>
              <w:rPr>
                <w:b/>
                <w:bCs/>
                <w:color w:val="auto"/>
                <w:lang w:val="en-US"/>
              </w:rPr>
            </w:pPr>
            <w:r w:rsidRPr="00F30983">
              <w:rPr>
                <w:b/>
                <w:bCs/>
                <w:color w:val="auto"/>
                <w:lang w:val="en-US"/>
              </w:rPr>
              <w:t>Fuel dependent</w:t>
            </w:r>
          </w:p>
        </w:tc>
        <w:tc>
          <w:tcPr>
            <w:tcW w:w="0" w:type="auto"/>
            <w:hideMark/>
          </w:tcPr>
          <w:p w14:paraId="7F9DB919" w14:textId="77777777" w:rsidR="00F30983" w:rsidRPr="00F30983" w:rsidRDefault="00F30983" w:rsidP="00F30983">
            <w:pPr>
              <w:pStyle w:val="TableBody"/>
              <w:spacing w:line="240" w:lineRule="auto"/>
              <w:rPr>
                <w:b/>
                <w:bCs/>
                <w:color w:val="auto"/>
                <w:lang w:val="en-US"/>
              </w:rPr>
            </w:pPr>
            <w:r w:rsidRPr="00F30983">
              <w:rPr>
                <w:b/>
                <w:bCs/>
                <w:color w:val="auto"/>
                <w:lang w:val="en-US"/>
              </w:rPr>
              <w:t>20–25 years</w:t>
            </w:r>
          </w:p>
        </w:tc>
      </w:tr>
      <w:tr w:rsidR="00F30983" w:rsidRPr="00F30983" w14:paraId="647ADA2B" w14:textId="77777777" w:rsidTr="00F30983">
        <w:tc>
          <w:tcPr>
            <w:tcW w:w="0" w:type="auto"/>
            <w:hideMark/>
          </w:tcPr>
          <w:p w14:paraId="15E73DCE" w14:textId="77777777" w:rsidR="00F30983" w:rsidRPr="00F30983" w:rsidRDefault="00F30983" w:rsidP="00F30983">
            <w:pPr>
              <w:pStyle w:val="TableBody"/>
              <w:spacing w:line="240" w:lineRule="auto"/>
              <w:rPr>
                <w:b/>
                <w:bCs/>
                <w:color w:val="auto"/>
                <w:lang w:val="en-US"/>
              </w:rPr>
            </w:pPr>
            <w:r w:rsidRPr="00F30983">
              <w:rPr>
                <w:b/>
                <w:bCs/>
                <w:color w:val="auto"/>
                <w:lang w:val="en-US"/>
              </w:rPr>
              <w:t>H2 Fuel Cell</w:t>
            </w:r>
          </w:p>
        </w:tc>
        <w:tc>
          <w:tcPr>
            <w:tcW w:w="0" w:type="auto"/>
            <w:hideMark/>
          </w:tcPr>
          <w:p w14:paraId="633AD6F5" w14:textId="77777777" w:rsidR="00F30983" w:rsidRPr="00F30983" w:rsidRDefault="00F30983" w:rsidP="00F30983">
            <w:pPr>
              <w:pStyle w:val="TableBody"/>
              <w:spacing w:line="240" w:lineRule="auto"/>
              <w:rPr>
                <w:b/>
                <w:bCs/>
                <w:color w:val="auto"/>
                <w:lang w:val="en-US"/>
              </w:rPr>
            </w:pPr>
            <w:r w:rsidRPr="00F30983">
              <w:rPr>
                <w:b/>
                <w:bCs/>
                <w:color w:val="auto"/>
                <w:lang w:val="en-US"/>
              </w:rPr>
              <w:t>$1,600–$3,200 /kW</w:t>
            </w:r>
          </w:p>
        </w:tc>
        <w:tc>
          <w:tcPr>
            <w:tcW w:w="0" w:type="auto"/>
            <w:hideMark/>
          </w:tcPr>
          <w:p w14:paraId="63556E03" w14:textId="77777777" w:rsidR="00F30983" w:rsidRPr="00F30983" w:rsidRDefault="00F30983" w:rsidP="00F30983">
            <w:pPr>
              <w:pStyle w:val="TableBody"/>
              <w:spacing w:line="240" w:lineRule="auto"/>
              <w:rPr>
                <w:b/>
                <w:bCs/>
                <w:color w:val="auto"/>
                <w:lang w:val="en-US"/>
              </w:rPr>
            </w:pPr>
            <w:r w:rsidRPr="00F30983">
              <w:rPr>
                <w:b/>
                <w:bCs/>
                <w:color w:val="auto"/>
                <w:lang w:val="en-US"/>
              </w:rPr>
              <w:t>3.0–5.0%</w:t>
            </w:r>
          </w:p>
        </w:tc>
        <w:tc>
          <w:tcPr>
            <w:tcW w:w="0" w:type="auto"/>
            <w:hideMark/>
          </w:tcPr>
          <w:p w14:paraId="5F6A5057" w14:textId="77777777" w:rsidR="00F30983" w:rsidRPr="00F30983" w:rsidRDefault="00F30983" w:rsidP="00F30983">
            <w:pPr>
              <w:pStyle w:val="TableBody"/>
              <w:spacing w:line="240" w:lineRule="auto"/>
              <w:rPr>
                <w:b/>
                <w:bCs/>
                <w:color w:val="auto"/>
                <w:lang w:val="en-US"/>
              </w:rPr>
            </w:pPr>
            <w:r w:rsidRPr="00F30983">
              <w:rPr>
                <w:b/>
                <w:bCs/>
                <w:color w:val="auto"/>
                <w:lang w:val="en-US"/>
              </w:rPr>
              <w:t>$140–$220</w:t>
            </w:r>
          </w:p>
        </w:tc>
        <w:tc>
          <w:tcPr>
            <w:tcW w:w="0" w:type="auto"/>
            <w:hideMark/>
          </w:tcPr>
          <w:p w14:paraId="0C98FEFD" w14:textId="77777777" w:rsidR="00F30983" w:rsidRPr="00F30983" w:rsidRDefault="00F30983" w:rsidP="00F30983">
            <w:pPr>
              <w:pStyle w:val="TableBody"/>
              <w:spacing w:line="240" w:lineRule="auto"/>
              <w:rPr>
                <w:b/>
                <w:bCs/>
                <w:color w:val="auto"/>
                <w:lang w:val="en-US"/>
              </w:rPr>
            </w:pPr>
            <w:r w:rsidRPr="00F30983">
              <w:rPr>
                <w:b/>
                <w:bCs/>
                <w:color w:val="auto"/>
                <w:lang w:val="en-US"/>
              </w:rPr>
              <w:t>12–15 years</w:t>
            </w:r>
          </w:p>
        </w:tc>
      </w:tr>
      <w:tr w:rsidR="00F30983" w:rsidRPr="00F30983" w14:paraId="380A59EB" w14:textId="77777777" w:rsidTr="00F30983">
        <w:tc>
          <w:tcPr>
            <w:tcW w:w="0" w:type="auto"/>
            <w:hideMark/>
          </w:tcPr>
          <w:p w14:paraId="58108E8B" w14:textId="77777777" w:rsidR="00F30983" w:rsidRPr="00F30983" w:rsidRDefault="00F30983" w:rsidP="00F30983">
            <w:pPr>
              <w:pStyle w:val="TableBody"/>
              <w:spacing w:line="240" w:lineRule="auto"/>
              <w:rPr>
                <w:b/>
                <w:bCs/>
                <w:color w:val="auto"/>
                <w:lang w:val="en-US"/>
              </w:rPr>
            </w:pPr>
            <w:r w:rsidRPr="00F30983">
              <w:rPr>
                <w:b/>
                <w:bCs/>
                <w:color w:val="auto"/>
                <w:lang w:val="en-US"/>
              </w:rPr>
              <w:t>Grid Electricity</w:t>
            </w:r>
          </w:p>
        </w:tc>
        <w:tc>
          <w:tcPr>
            <w:tcW w:w="0" w:type="auto"/>
            <w:hideMark/>
          </w:tcPr>
          <w:p w14:paraId="0E394C0E"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c>
          <w:tcPr>
            <w:tcW w:w="0" w:type="auto"/>
            <w:hideMark/>
          </w:tcPr>
          <w:p w14:paraId="47277B98"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c>
          <w:tcPr>
            <w:tcW w:w="0" w:type="auto"/>
            <w:hideMark/>
          </w:tcPr>
          <w:p w14:paraId="50BD4D23" w14:textId="77777777" w:rsidR="00F30983" w:rsidRPr="00F30983" w:rsidRDefault="00F30983" w:rsidP="00F30983">
            <w:pPr>
              <w:pStyle w:val="TableBody"/>
              <w:spacing w:line="240" w:lineRule="auto"/>
              <w:rPr>
                <w:b/>
                <w:bCs/>
                <w:color w:val="auto"/>
                <w:lang w:val="en-US"/>
              </w:rPr>
            </w:pPr>
            <w:r w:rsidRPr="00F30983">
              <w:rPr>
                <w:b/>
                <w:bCs/>
                <w:color w:val="auto"/>
                <w:lang w:val="en-US"/>
              </w:rPr>
              <w:t>$85–$160</w:t>
            </w:r>
          </w:p>
        </w:tc>
        <w:tc>
          <w:tcPr>
            <w:tcW w:w="0" w:type="auto"/>
            <w:hideMark/>
          </w:tcPr>
          <w:p w14:paraId="0945062B"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r>
    </w:tbl>
    <w:p w14:paraId="15A054B7" w14:textId="77777777" w:rsidR="00F30983" w:rsidRPr="00E87A9C" w:rsidRDefault="00F30983" w:rsidP="00F30983">
      <w:pPr>
        <w:pStyle w:val="Heading20"/>
        <w:rPr>
          <w:i w:val="0"/>
          <w:iCs/>
          <w:color w:val="auto"/>
        </w:rPr>
      </w:pPr>
    </w:p>
    <w:p w14:paraId="5E4E0394" w14:textId="77777777" w:rsidR="00CF6F72" w:rsidRPr="00163578" w:rsidRDefault="00CF6F72" w:rsidP="00AF6E46">
      <w:pPr>
        <w:spacing w:after="120"/>
        <w:ind w:firstLine="480"/>
      </w:pPr>
    </w:p>
    <w:p w14:paraId="006518C1" w14:textId="51F1CF12" w:rsidR="00354B1B" w:rsidRDefault="00354B1B" w:rsidP="00866BB5">
      <w:pPr>
        <w:spacing w:after="120"/>
        <w:ind w:firstLine="480"/>
      </w:pPr>
      <w:r>
        <w:t>The U.S. Inflation Reduction Act (IRA) and the subsequent extensions into 2025 and 2026 offer substantial financial benefits which dramatically enhance project economics. For solar, energy storage systems (BESS), and qualifying hydrogen production equipment, the Investment Tax Credit (ITC) of 30 percent baseline of eligible project costs effectively decreases capital expenditure by about 30 percent</w:t>
      </w:r>
      <w:r w:rsidR="004E7936">
        <w:fldChar w:fldCharType="begin"/>
      </w:r>
      <w:r w:rsidR="00866BB5">
        <w:instrText xml:space="preserve"> ADDIN ZOTERO_ITEM CSL_CITATION {"citationID":"HM1dLL2m","properties":{"unsorted":false,"formattedCitation":"[149]","plainCitation":"[149]","noteIndex":0},"citationItems":[{"id":2133,"uris":["http://zotero.org/users/9870935/items/DBM7MVTI"],"itemData":{"id":2133,"type":"post-weblog","title":"Summary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4E7936">
        <w:fldChar w:fldCharType="separate"/>
      </w:r>
      <w:r w:rsidR="00866BB5" w:rsidRPr="00866BB5">
        <w:t>[149]</w:t>
      </w:r>
      <w:r w:rsidR="004E7936">
        <w:fldChar w:fldCharType="end"/>
      </w:r>
      <w:r>
        <w:t>. The ITC can be combined with domestic content bonuses, energy community stackability, and accelerated depreciation under MACRS (5-year recovery for solar and battery storage, 7-year for wind), which can boost the effective ITC to 40 to 50 percent of total project cost.</w:t>
      </w:r>
    </w:p>
    <w:p w14:paraId="6E43C1E6" w14:textId="0610602D" w:rsidR="00581E8E" w:rsidRPr="00925F1B" w:rsidRDefault="00354B1B" w:rsidP="00866BB5">
      <w:pPr>
        <w:spacing w:after="120"/>
        <w:ind w:firstLine="480"/>
      </w:pPr>
      <w:r>
        <w:t>By applying an improved discount rate of 7.5</w:t>
      </w:r>
      <w:r w:rsidR="00775467">
        <w:t xml:space="preserve">% </w:t>
      </w:r>
      <w:r>
        <w:t>(due to the sustained higher macroeconomic interest rate) and central cost estimates, payback periods for hybrid renewable systems using stacked ITCs range from 4 to 8 years, while without federal incentives, payback periods are between 9 and 16 years</w:t>
      </w:r>
      <w:r w:rsidR="00B11F1D">
        <w:fldChar w:fldCharType="begin"/>
      </w:r>
      <w:r w:rsidR="00866BB5">
        <w:instrText xml:space="preserve"> ADDIN ZOTERO_ITEM CSL_CITATION {"citationID":"PgzIkKnz","properties":{"unsorted":false,"formattedCitation":"[150]","plainCitation":"[150]","noteIndex":0},"citationItems":[{"id":2135,"uris":["http://zotero.org/users/9870935/items/LS7EG3UL"],"itemData":{"id":2135,"type":"article-journal","language":"en","source":"Zotero","title":"Characteristics of Power Plants Seeking Transmission Interconnection As of the End of 2024","author":[{"family":"Rand","given":"Joseph"},{"family":"Manderlink","given":"Nick"},{"family":"Zhang","given":"Steven"},{"family":"Talley","given":"Chris"},{"family":"Gorman","given":"Will"},{"family":"Seel","given":"Joachim"},{"family":"Kemp","given":"Julie Mulvaney"},{"family":"Jeong","given":"Seongeun"},{"family":"Kahrl","given":"Fritz"}]}}],"schema":"https://github.com/citation-style-language/schema/raw/master/csl-citation.json"} </w:instrText>
      </w:r>
      <w:r w:rsidR="00B11F1D">
        <w:fldChar w:fldCharType="separate"/>
      </w:r>
      <w:r w:rsidR="00866BB5" w:rsidRPr="00866BB5">
        <w:t>[150]</w:t>
      </w:r>
      <w:r w:rsidR="00B11F1D">
        <w:fldChar w:fldCharType="end"/>
      </w:r>
      <w:r>
        <w:t>.</w:t>
      </w:r>
    </w:p>
    <w:p w14:paraId="348C5F1B" w14:textId="01AB33ED" w:rsidR="0019198D" w:rsidRDefault="0019198D" w:rsidP="0019198D">
      <w:pPr>
        <w:pStyle w:val="Heading20"/>
        <w:rPr>
          <w:color w:val="auto"/>
        </w:rPr>
      </w:pPr>
      <w:r>
        <w:rPr>
          <w:color w:val="auto"/>
        </w:rPr>
        <w:t>7.9. Reliability and Resilience Metrics</w:t>
      </w:r>
    </w:p>
    <w:p w14:paraId="41663005" w14:textId="7AFEE8B5" w:rsidR="00DB0B99" w:rsidRPr="00DB0B99" w:rsidRDefault="00DB0B99" w:rsidP="00866BB5">
      <w:pPr>
        <w:spacing w:after="120"/>
        <w:ind w:firstLine="480"/>
      </w:pPr>
      <w:r w:rsidRPr="00DB0B99">
        <w:t>The framework sets reliability objectives consistent with the worth of AI computing workloads. Availability is the main reliability metric, representing the percentage of time that the system provides adequate power to keep all critical computing functions running. Target availability is 99.99% or 52.6 minutes per year</w:t>
      </w:r>
      <w:r w:rsidR="00762DCD">
        <w:fldChar w:fldCharType="begin"/>
      </w:r>
      <w:r w:rsidR="00866BB5">
        <w:instrText xml:space="preserve"> ADDIN ZOTERO_ITEM CSL_CITATION {"citationID":"U6VB0uq4","properties":{"unsorted":false,"formattedCitation":"[151]","plainCitation":"[151]","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762DCD">
        <w:fldChar w:fldCharType="separate"/>
      </w:r>
      <w:r w:rsidR="00866BB5" w:rsidRPr="00866BB5">
        <w:t>[151]</w:t>
      </w:r>
      <w:r w:rsidR="00762DCD">
        <w:fldChar w:fldCharType="end"/>
      </w:r>
      <w:r w:rsidRPr="00DB0B99">
        <w:t>. A complementary metric that quantifies the expected frequency of insufficient "generation events" is Loss of Load Expectation (LOLE), which is measured in hours per year. A data center aiming for 99.99</w:t>
      </w:r>
      <w:r w:rsidR="008257C1">
        <w:t xml:space="preserve">% </w:t>
      </w:r>
      <w:r w:rsidRPr="00DB0B99">
        <w:t>availability would expect to experience around 0.1 hours of LOLE per year.</w:t>
      </w:r>
    </w:p>
    <w:p w14:paraId="07FDFD00" w14:textId="3DDD5F0A" w:rsidR="004B2C96" w:rsidRPr="00DB0B99" w:rsidRDefault="00DB0B99" w:rsidP="00866BB5">
      <w:pPr>
        <w:spacing w:after="120"/>
        <w:ind w:firstLine="480"/>
      </w:pPr>
      <w:r w:rsidRPr="00DB0B99">
        <w:t>Energy resilience represents the period of time (typically in hours) the facility can sustain its operations during a full grid outage using stored energy, and is crucial to disaster preparedness. If normal load conditions are used, a data center with 8h of battery storage and 72h of diesel fuel can operate for more than 80h if the power grid fails</w:t>
      </w:r>
      <w:r w:rsidR="00A91417">
        <w:fldChar w:fldCharType="begin"/>
      </w:r>
      <w:r w:rsidR="00866BB5">
        <w:instrText xml:space="preserve"> ADDIN ZOTERO_ITEM CSL_CITATION {"citationID":"hNx0eRYE","properties":{"unsorted":false,"formattedCitation":"[152]","plainCitation":"[152]","noteIndex":0},"citationItems":[{"id":2138,"uris":["http://zotero.org/users/9870935/items/S7ZKHMNS"],"itemData":{"id":2138,"type":"document","title":"NFPA 110 Type 10 Requirements for Emergency Power Systems","URL":"https://www.cummins.com/sites/default/files/2019-03/PowerHour_NFPA110.pdf","author":[{"family":"NFPA","given":""}]}}],"schema":"https://github.com/citation-style-language/schema/raw/master/csl-citation.json"} </w:instrText>
      </w:r>
      <w:r w:rsidR="00A91417">
        <w:fldChar w:fldCharType="separate"/>
      </w:r>
      <w:r w:rsidR="00866BB5" w:rsidRPr="00866BB5">
        <w:t>[152]</w:t>
      </w:r>
      <w:r w:rsidR="00A91417">
        <w:fldChar w:fldCharType="end"/>
      </w:r>
      <w:r w:rsidRPr="00DB0B99">
        <w:t>. The N-1 contingency criterion states that if any one component, such as a generator, a battery string or a grid feed is lost, then the system is still reliable.</w:t>
      </w:r>
    </w:p>
    <w:p w14:paraId="72CFEECC" w14:textId="6DFD1874" w:rsidR="00426773" w:rsidRDefault="00426773" w:rsidP="00426773">
      <w:pPr>
        <w:pStyle w:val="Heading20"/>
        <w:rPr>
          <w:color w:val="auto"/>
        </w:rPr>
      </w:pPr>
      <w:r>
        <w:rPr>
          <w:color w:val="auto"/>
        </w:rPr>
        <w:t xml:space="preserve">7.10. </w:t>
      </w:r>
      <w:r w:rsidR="005E1042">
        <w:rPr>
          <w:color w:val="auto"/>
        </w:rPr>
        <w:t>Carbon Accounting and Sustainability</w:t>
      </w:r>
    </w:p>
    <w:p w14:paraId="3F5A64EC" w14:textId="0BF78DB9" w:rsidR="005E1042" w:rsidRPr="005E1042" w:rsidRDefault="005E1042" w:rsidP="00866BB5">
      <w:pPr>
        <w:spacing w:after="120"/>
        <w:ind w:firstLine="480"/>
      </w:pPr>
      <w:r w:rsidRPr="005E1042">
        <w:t>The framework covers the full scope of the Greenhouse Gas Protocol. Scope 1 emissions include direct emissions from burning fuel in backup generators and fuel cells, usually making up less than 1</w:t>
      </w:r>
      <w:r w:rsidR="006D435C">
        <w:t xml:space="preserve">% </w:t>
      </w:r>
      <w:r w:rsidRPr="005E1042">
        <w:t>of the total emissions from a facility with low usage of its back-up generators</w:t>
      </w:r>
      <w:r w:rsidR="00E2506A">
        <w:fldChar w:fldCharType="begin"/>
      </w:r>
      <w:r w:rsidR="00866BB5">
        <w:instrText xml:space="preserve"> ADDIN ZOTERO_ITEM CSL_CITATION {"citationID":"4f9aWF2j","properties":{"unsorted":false,"formattedCitation":"[153]","plainCitation":"[153]","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E2506A">
        <w:fldChar w:fldCharType="separate"/>
      </w:r>
      <w:r w:rsidR="00866BB5" w:rsidRPr="00866BB5">
        <w:t>[153]</w:t>
      </w:r>
      <w:r w:rsidR="00E2506A">
        <w:fldChar w:fldCharType="end"/>
      </w:r>
      <w:r w:rsidRPr="005E1042">
        <w:t>. The largest are Scope 2 emissions, purchased electricity, and they are the first to be reduced by purchasing renewables. These are known as scope 3 emissions, representing around 5 to 10 grams of CO2 per kWh over the asset's lifetime and can be mitigated by implementing circular economy approaches, such as embodied carbon in equipment manufacturing or end-of-life disposal, respectively</w:t>
      </w:r>
      <w:r w:rsidR="00984CA9">
        <w:fldChar w:fldCharType="begin"/>
      </w:r>
      <w:r w:rsidR="00866BB5">
        <w:instrText xml:space="preserve"> ADDIN ZOTERO_ITEM CSL_CITATION {"citationID":"mW0ul4pI","properties":{"unsorted":false,"formattedCitation":"[154]","plainCitation":"[154]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984CA9">
        <w:fldChar w:fldCharType="separate"/>
      </w:r>
      <w:r w:rsidR="00866BB5" w:rsidRPr="00866BB5">
        <w:t>[154]</w:t>
      </w:r>
      <w:r w:rsidR="00984CA9">
        <w:fldChar w:fldCharType="end"/>
      </w:r>
      <w:r w:rsidRPr="005E1042">
        <w:t>.</w:t>
      </w:r>
    </w:p>
    <w:p w14:paraId="148FE59F" w14:textId="3B670937" w:rsidR="005E1042" w:rsidRPr="005E1042" w:rsidRDefault="005E1042" w:rsidP="00F81B79">
      <w:pPr>
        <w:spacing w:after="120"/>
        <w:ind w:firstLine="480"/>
      </w:pPr>
      <w:r w:rsidRPr="005E1042">
        <w:t xml:space="preserve">The 24/7 Carbon-Free Energy (CFE) standard, which calls for matching carbon-free generation time to electricity consumption time, is considered the most stringent sustainability measure and is being embraced by many of the industry's largest operators, </w:t>
      </w:r>
      <w:r w:rsidRPr="005E1042">
        <w:lastRenderedPageBreak/>
        <w:t>such as Google and Microsoft</w:t>
      </w:r>
      <w:r w:rsidR="00F81B79">
        <w:fldChar w:fldCharType="begin"/>
      </w:r>
      <w:r w:rsidR="00F81B79">
        <w:instrText xml:space="preserve"> ADDIN ZOTERO_ITEM CSL_CITATION {"citationID":"I9rd0fZt","properties":{"unsorted":false,"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rsidR="00F81B79">
        <w:fldChar w:fldCharType="separate"/>
      </w:r>
      <w:r w:rsidR="00F81B79" w:rsidRPr="00F81B79">
        <w:t>[6]</w:t>
      </w:r>
      <w:r w:rsidR="00F81B79">
        <w:fldChar w:fldCharType="end"/>
      </w:r>
      <w:r w:rsidRPr="005E1042">
        <w:t>. 24/7 CFE will require the implementation of sophisticated forecasts and control systems that can optimise energy dispatch every hour, along with clear procurement of time-matched renewable energy via PPAs or on-site generation. The framework suggests that annual renewable energy matching should be implemented first, followed by hourly matching when the control systems and the market mechanisms are advanced.</w:t>
      </w:r>
    </w:p>
    <w:p w14:paraId="6BB99EAE" w14:textId="31970997" w:rsidR="001A3F06" w:rsidRDefault="001A3F06" w:rsidP="001A3F06">
      <w:pPr>
        <w:pStyle w:val="Heading10"/>
        <w:rPr>
          <w:color w:val="auto"/>
        </w:rPr>
      </w:pPr>
      <w:r>
        <w:rPr>
          <w:color w:val="auto"/>
          <w:lang w:eastAsia="zh-CN"/>
        </w:rPr>
        <w:t xml:space="preserve">8. </w:t>
      </w:r>
      <w:r>
        <w:rPr>
          <w:color w:val="auto"/>
        </w:rPr>
        <w:t>Case Studies: Real-World Deployments</w:t>
      </w:r>
    </w:p>
    <w:p w14:paraId="6D8F8E8F" w14:textId="30E796F3" w:rsidR="00C3415F" w:rsidRDefault="00C3415F" w:rsidP="00C3415F">
      <w:pPr>
        <w:spacing w:after="120"/>
        <w:ind w:firstLine="480"/>
      </w:pPr>
      <w:r>
        <w:t xml:space="preserve">This </w:t>
      </w:r>
      <w:r w:rsidR="002068F4">
        <w:t>section</w:t>
      </w:r>
      <w:r>
        <w:t xml:space="preserve">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781EB42B" w14:textId="51482166" w:rsidR="00A75EF8" w:rsidRDefault="00A75EF8" w:rsidP="00A75EF8">
      <w:pPr>
        <w:pStyle w:val="Heading20"/>
        <w:rPr>
          <w:color w:val="auto"/>
        </w:rPr>
      </w:pPr>
      <w:r>
        <w:rPr>
          <w:color w:val="auto"/>
        </w:rPr>
        <w:t>8.1. Google Data Centers: Renewable Energy Matching</w:t>
      </w:r>
    </w:p>
    <w:p w14:paraId="16F88AED" w14:textId="061D88C7" w:rsidR="00B40CF9" w:rsidRPr="00B40CF9" w:rsidRDefault="00B40CF9" w:rsidP="00E92130">
      <w:pPr>
        <w:spacing w:after="120"/>
        <w:ind w:firstLine="480"/>
      </w:pPr>
      <w:r w:rsidRPr="00B40CF9">
        <w:t xml:space="preserve">Google has over 100 data center facilities worldwide and has set the most aggressive renewable energy goal in the technology industry: 24/7 carbon-free energy (CFE) for all local data center electricity grids where it operates by 2030. Google's aggressive purchasing approach has resulted in a growing clean energy portfolio, with the company now having over 22 GW of total renewable energy contracts through a global portfolio of more than 170 power purchase agreements (PPAs) that include utility-scale solar power, onshore wind, geothermal, and battery storage solutions. Driven by the growing computational workload of the generative AI age, Google met an important milestone in its operations, raising the hourly 24/7 CFE score for its entire facilities global footprint to 66 percent, while 9 of 20 primary data center grid regions achieved an 80 percent, hourly CFE score </w:t>
      </w:r>
      <w:r w:rsidR="00A155CD">
        <w:fldChar w:fldCharType="begin"/>
      </w:r>
      <w:r w:rsidR="00A155CD">
        <w:instrText xml:space="preserve"> ADDIN ZOTERO_ITEM CSL_CITATION {"citationID":"ic18cWPX","properties":{"unsorted":false,"formattedCitation":"[55]","plainCitation":"[55]","noteIndex":0},"citationItems":[{"id":1995,"uris":["http://zotero.org/users/9870935/items/ZZ4BDIPH"],"itemData":{"id":1995,"type":"post-weblog","title":"Google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A155CD">
        <w:fldChar w:fldCharType="separate"/>
      </w:r>
      <w:r w:rsidR="00A155CD" w:rsidRPr="00E92130">
        <w:t>[55]</w:t>
      </w:r>
      <w:r w:rsidR="00A155CD">
        <w:fldChar w:fldCharType="end"/>
      </w:r>
      <w:r w:rsidRPr="00B40CF9">
        <w:t>.</w:t>
      </w:r>
    </w:p>
    <w:p w14:paraId="241308D5" w14:textId="2A27BA67" w:rsidR="00B40CF9" w:rsidRPr="00B40CF9" w:rsidRDefault="00B40CF9" w:rsidP="00B40CF9">
      <w:pPr>
        <w:spacing w:after="120"/>
        <w:ind w:firstLine="480"/>
      </w:pPr>
      <w:r w:rsidRPr="00B40CF9">
        <w:t>A number of key technical installations are in place and marked as part of this infrastructure strategy, such as the 50 MW on-site wind generation array at the Council Bluffs facility in Iowa that directly connects with the data center's electrical distribution system and exports excess peak capacity back to the regional transmission organization. Likewise, a portfolios of wind and solar combined PPA power plants greater than 200 MW installed in Chile's Atacama Desert takes advantage of complementary resource timing patterns, as the wind is found to occur in times of low solar irradiance, and the solar resource is found to occur in times of high wind speed in the localized thermal wind zones. Modern infrastructure blueprints for AI workloads in the modern era of Gemini place a strong emphasis on deep grid integration and spatial load shaping. This includes specialized, direct backlinks with utility scale battery storage networks to enable facilities to shift flexible server demand from high-carbon time periods to when there is high local renewable generation</w:t>
      </w:r>
      <w:r w:rsidR="00B2096E">
        <w:fldChar w:fldCharType="begin"/>
      </w:r>
      <w:r w:rsidR="00C90ABC">
        <w:instrText xml:space="preserve"> ADDIN ZOTERO_ITEM CSL_CITATION {"citationID":"Q8pR1MCS","properties":{"unsorted":false,"formattedCitation":"[55]","plainCitation":"[55]","noteIndex":0},"citationItems":[{"id":1995,"uris":["http://zotero.org/users/9870935/items/ZZ4BDIPH"],"itemData":{"id":1995,"type":"post-weblog","title":"Google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B2096E">
        <w:fldChar w:fldCharType="separate"/>
      </w:r>
      <w:r w:rsidR="00B2096E" w:rsidRPr="00E92130">
        <w:t>[55]</w:t>
      </w:r>
      <w:r w:rsidR="00B2096E">
        <w:fldChar w:fldCharType="end"/>
      </w:r>
      <w:r w:rsidRPr="00B40CF9">
        <w:t>.</w:t>
      </w:r>
    </w:p>
    <w:p w14:paraId="526CA61F" w14:textId="40953220" w:rsidR="00A75EF8" w:rsidRPr="00B40CF9" w:rsidRDefault="00B40CF9" w:rsidP="00B40CF9">
      <w:pPr>
        <w:spacing w:after="120"/>
        <w:ind w:firstLine="480"/>
      </w:pPr>
      <w:r w:rsidRPr="00B40CF9">
        <w:t xml:space="preserve">Structured corporate PPAs have reliably proven their ability to protect against short-term fluctuations in wholesale grid electricity markets for 15-25 year contracts and energy cost metrics ranging from $30 to $50 per MWh – values that are more predictable than the $70-120 per MWh that can be found across main commercial markets </w:t>
      </w:r>
      <w:r w:rsidR="00B34AEE">
        <w:fldChar w:fldCharType="begin"/>
      </w:r>
      <w:r w:rsidR="00C90ABC">
        <w:instrText xml:space="preserve"> ADDIN ZOTERO_ITEM CSL_CITATION {"citationID":"ovp4JwlY","properties":{"unsorted":false,"formattedCitation":"[55]","plainCitation":"[55]","noteIndex":0},"citationItems":[{"id":1995,"uris":["http://zotero.org/users/9870935/items/ZZ4BDIPH"],"itemData":{"id":1995,"type":"post-weblog","title":"Google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B34AEE">
        <w:fldChar w:fldCharType="separate"/>
      </w:r>
      <w:r w:rsidR="00B34AEE" w:rsidRPr="00E92130">
        <w:t>[55]</w:t>
      </w:r>
      <w:r w:rsidR="00B34AEE">
        <w:fldChar w:fldCharType="end"/>
      </w:r>
      <w:r w:rsidRPr="00B40CF9">
        <w:t xml:space="preserve"> – across the board. The company's focus on geographic distribution and its use of carbon-aware software scheduling allows it to dynamically place non-interactive compute workloads to facilities that </w:t>
      </w:r>
      <w:r w:rsidRPr="00B40CF9">
        <w:lastRenderedPageBreak/>
        <w:t>are in the best condition for generating clean energy. This distributed computing approach is a basic solution that eliminates the penalties associated with local over-provisioning in physical facilities and chemical storage that would otherwise burden individual facilities. Concrete industry validation for strict site assessment, multi-technology resource aggregation, carbon-aware control strategies, and long term economic viability is provided by framework validation, which correlates Google's active portfolio to Components 1, 2, 4 and 6 of the proposed architecture.</w:t>
      </w:r>
    </w:p>
    <w:p w14:paraId="20D78066" w14:textId="04AE74F7" w:rsidR="006D1510" w:rsidRDefault="006D1510" w:rsidP="006D1510">
      <w:pPr>
        <w:pStyle w:val="Heading20"/>
        <w:rPr>
          <w:color w:val="auto"/>
        </w:rPr>
      </w:pPr>
      <w:r>
        <w:rPr>
          <w:color w:val="auto"/>
        </w:rPr>
        <w:t>8.2. Meta: Fuel Cell Integration at Prinveille</w:t>
      </w:r>
    </w:p>
    <w:p w14:paraId="72C5E02D" w14:textId="25F20E00" w:rsidR="00D64775" w:rsidRPr="00D64775" w:rsidRDefault="00D64775" w:rsidP="00C90ABC">
      <w:pPr>
        <w:spacing w:after="120"/>
        <w:ind w:firstLine="480"/>
      </w:pPr>
      <w:r w:rsidRPr="00D64775">
        <w:t>Meta (Facebook) has been following a unique path with its focus on fuel cell technology in its Prineville, OR data center campus. It has 5 MW of Bloom Energy solid oxide fuel cells (SOFCs) using natural gas as the main onsite generation resource, 1 MW of onsite solar canopy generation, and 50 MW of contracted wind energy through PPAs</w:t>
      </w:r>
      <w:r w:rsidR="00C90ABC">
        <w:fldChar w:fldCharType="begin"/>
      </w:r>
      <w:r w:rsidR="00C90ABC">
        <w:instrText xml:space="preserve"> ADDIN ZOTERO_ITEM CSL_CITATION {"citationID":"bKFO0NJY","properties":{"unsorted":false,"formattedCitation":"[57]","plainCitation":"[57]","noteIndex":0},"citationItems":[{"id":1998,"uris":["http://zotero.org/users/9870935/items/3PR5HCM7"],"itemData":{"id":1998,"type":"post-weblog","title":"2025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C90ABC">
        <w:fldChar w:fldCharType="separate"/>
      </w:r>
      <w:r w:rsidR="00C90ABC" w:rsidRPr="00C90ABC">
        <w:t>[57]</w:t>
      </w:r>
      <w:r w:rsidR="00C90ABC">
        <w:fldChar w:fldCharType="end"/>
      </w:r>
      <w:r w:rsidRPr="00D64775">
        <w:t>. When used as combined heat and power (CHP) systems, the fuel cells' electrical efficiency is about 60</w:t>
      </w:r>
      <w:r w:rsidR="00C90ABC">
        <w:t xml:space="preserve">% </w:t>
      </w:r>
      <w:r w:rsidRPr="00D64775">
        <w:t>and the waste heat is recovered for building heating, yielding overall CHP efficiency of more than 80</w:t>
      </w:r>
      <w:r w:rsidR="00C90ABC">
        <w:t>%</w:t>
      </w:r>
      <w:r w:rsidR="00C90ABC">
        <w:fldChar w:fldCharType="begin"/>
      </w:r>
      <w:r w:rsidR="00C90ABC">
        <w:instrText xml:space="preserve"> ADDIN ZOTERO_ITEM CSL_CITATION {"citationID":"hobQYeKo","properties":{"unsorted":false,"formattedCitation":"[57]","plainCitation":"[57]","noteIndex":0},"citationItems":[{"id":1998,"uris":["http://zotero.org/users/9870935/items/3PR5HCM7"],"itemData":{"id":1998,"type":"post-weblog","title":"2025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C90ABC">
        <w:fldChar w:fldCharType="separate"/>
      </w:r>
      <w:r w:rsidR="00C90ABC" w:rsidRPr="00C90ABC">
        <w:t>[57]</w:t>
      </w:r>
      <w:r w:rsidR="00C90ABC">
        <w:fldChar w:fldCharType="end"/>
      </w:r>
      <w:r w:rsidRPr="00D64775">
        <w:t>.</w:t>
      </w:r>
    </w:p>
    <w:p w14:paraId="613ED9AF" w14:textId="632462DF" w:rsidR="006D1510" w:rsidRPr="00D64775" w:rsidRDefault="00D64775" w:rsidP="00866BB5">
      <w:pPr>
        <w:spacing w:after="120"/>
        <w:ind w:firstLine="480"/>
      </w:pPr>
      <w:r w:rsidRPr="00D64775">
        <w:t>Performance metrics show a facility PUE of ~1.10, one of the lowest in the industry, and fuel cell up time in the high 90's percent. But there are some problems that have arisen. The cost of replacing fuel cell stacks ($1 to $3 million every 5 to 8 years) is a large operating cost and the use of the natural gas feedstock introduces a pathway for carbon emissions that is incompatible with net zero commitments</w:t>
      </w:r>
      <w:r w:rsidR="00C45569">
        <w:fldChar w:fldCharType="begin"/>
      </w:r>
      <w:r w:rsidR="00866BB5">
        <w:instrText xml:space="preserve"> ADDIN ZOTERO_ITEM CSL_CITATION {"citationID":"afh57Dbe","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C45569">
        <w:fldChar w:fldCharType="separate"/>
      </w:r>
      <w:r w:rsidR="00866BB5" w:rsidRPr="00866BB5">
        <w:t>[155]</w:t>
      </w:r>
      <w:r w:rsidR="00C45569">
        <w:fldChar w:fldCharType="end"/>
      </w:r>
      <w:r w:rsidRPr="00D64775">
        <w:t>. One of the factors with which Meta is working on decarbonizing its fuel usage is to shift from natural gas to green hydrogen as its fuel source, but it is unclear when this shift will happen or if it will be a costly process due to the lack of hydrogen production and distribution infrastructure. Fuel cells are shown to be a suitable bridge technology (Component 2: Technology Selection) but not necessarily the future preferred solution as battery storage costs are decreasing.</w:t>
      </w:r>
    </w:p>
    <w:p w14:paraId="40D62A7A" w14:textId="11EBB39E" w:rsidR="009C1130" w:rsidRDefault="009C1130" w:rsidP="009C1130">
      <w:pPr>
        <w:pStyle w:val="Heading20"/>
        <w:rPr>
          <w:color w:val="auto"/>
        </w:rPr>
      </w:pPr>
      <w:r>
        <w:rPr>
          <w:color w:val="auto"/>
        </w:rPr>
        <w:t>8.3. Microsoft: Modular Design and Nuclear Partnership</w:t>
      </w:r>
    </w:p>
    <w:p w14:paraId="74F5817B" w14:textId="49863A1D" w:rsidR="000A408E" w:rsidRPr="000A408E" w:rsidRDefault="000A408E" w:rsidP="00D40A09">
      <w:pPr>
        <w:spacing w:after="120"/>
        <w:ind w:firstLine="480"/>
      </w:pPr>
      <w:r w:rsidRPr="000A408E">
        <w:t>Microsoft has been looking at two innovative solutions for sustainable data center infrastructure: the experimental Project Natick which is an underwater data center, and baseload power supply with nuclear energy. The 99.9</w:t>
      </w:r>
      <w:r w:rsidR="002951E4">
        <w:t xml:space="preserve">% </w:t>
      </w:r>
      <w:r w:rsidRPr="000A408E">
        <w:t>reliability of Project Natick Phase 2, which was deployed off the coast of Scotland, was attributed to the less corrosive environment of the water and the nitrogen-filled sealed container preventing humidity-induced failures, and the results showed an eight-fold reduction in failure rates when compared with facilities of similar capacity on land</w:t>
      </w:r>
      <w:r w:rsidR="00D40A09">
        <w:fldChar w:fldCharType="begin"/>
      </w:r>
      <w:r w:rsidR="00D40A09">
        <w:instrText xml:space="preserve"> ADDIN ZOTERO_ITEM CSL_CITATION {"citationID":"IW33EuXw","properties":{"unsorted":false,"formattedCitation":"[60]","plainCitation":"[60]","noteIndex":0},"citationItems":[{"id":2001,"uris":["http://zotero.org/users/9870935/items/2FD7ZXSC"],"itemData":{"id":2001,"type":"article-journal","language":"en","source":"Zotero","title":"Project Natick — Microsoft's Self-sufficient Underwater Datacenters","author":[{"family":"Simon","given":"Kevin"}]}}],"schema":"https://github.com/citation-style-language/schema/raw/master/csl-citation.json"} </w:instrText>
      </w:r>
      <w:r w:rsidR="00D40A09">
        <w:fldChar w:fldCharType="separate"/>
      </w:r>
      <w:r w:rsidR="00D40A09" w:rsidRPr="00D40A09">
        <w:t>[60]</w:t>
      </w:r>
      <w:r w:rsidR="00D40A09">
        <w:fldChar w:fldCharType="end"/>
      </w:r>
      <w:r w:rsidRPr="000A408E">
        <w:t>.</w:t>
      </w:r>
    </w:p>
    <w:p w14:paraId="0975375C" w14:textId="3B8D6E70" w:rsidR="000A408E" w:rsidRPr="000A408E" w:rsidRDefault="000A408E" w:rsidP="00E74A80">
      <w:pPr>
        <w:spacing w:after="120"/>
        <w:ind w:firstLine="480"/>
      </w:pPr>
      <w:r w:rsidRPr="000A408E">
        <w:t>The most sizeable corporate nuclear energy pledge so far from Microsoft is a partnership to restart the Three Mile Island Unit 1 reactor (Crane Clean Energy Center) to supply 835 MW of baseload energy for its artificial intelligence operations</w:t>
      </w:r>
      <w:r w:rsidR="00D34D14">
        <w:fldChar w:fldCharType="begin"/>
      </w:r>
      <w:r w:rsidR="00D34D14">
        <w:instrText xml:space="preserve"> ADDIN ZOTERO_ITEM CSL_CITATION {"citationID":"r6PHcJZZ","properties":{"unsorted":false,"formattedCitation":"[59]","plainCitation":"[59]","noteIndex":0},"citationItems":[{"id":2005,"uris":["http://zotero.org/users/9870935/items/GPXLWD7A"],"itemData":{"id":2005,"type":"article-journal","abstract":"This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Centers","volume":"12","author":[{"family":"Panchal","given":"Yash"},{"family":"Dubey","given":"Shivam"},{"family":"Pathak","given":"Rashmi"}],"issued":{"date-parts":[["2025"]]}}}],"schema":"https://github.com/citation-style-language/schema/raw/master/csl-citation.json"} </w:instrText>
      </w:r>
      <w:r w:rsidR="00D34D14">
        <w:fldChar w:fldCharType="separate"/>
      </w:r>
      <w:r w:rsidR="00D34D14" w:rsidRPr="00D34D14">
        <w:t>[59]</w:t>
      </w:r>
      <w:r w:rsidR="00D34D14">
        <w:fldChar w:fldCharType="end"/>
      </w:r>
      <w:r w:rsidRPr="000A408E">
        <w:t xml:space="preserve">. Also, Microsoft has backed Helion Energy, a fusion energy start-up with the goal of making it commercially viable by </w:t>
      </w:r>
      <w:r w:rsidR="00D40A09" w:rsidRPr="000A408E">
        <w:t>2028 and</w:t>
      </w:r>
      <w:r w:rsidRPr="000A408E">
        <w:t xml:space="preserve"> has signed a deal to buy electricity generated by fusion</w:t>
      </w:r>
      <w:r w:rsidR="00E74A80">
        <w:fldChar w:fldCharType="begin"/>
      </w:r>
      <w:r w:rsidR="00E74A80">
        <w:instrText xml:space="preserve"> ADDIN ZOTERO_ITEM CSL_CITATION {"citationID":"8f2UmqPT","properties":{"unsorted":false,"formattedCitation":"[156]","plainCitation":"[156]","noteIndex":0},"citationItems":[{"id":2143,"uris":["http://zotero.org/users/9870935/items/QQ6IISPJ"],"itemData":{"id":2143,"type":"document","title":"U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E74A80">
        <w:fldChar w:fldCharType="separate"/>
      </w:r>
      <w:r w:rsidR="00E74A80" w:rsidRPr="00E74A80">
        <w:t>[156]</w:t>
      </w:r>
      <w:r w:rsidR="00E74A80">
        <w:fldChar w:fldCharType="end"/>
      </w:r>
      <w:r w:rsidRPr="000A408E">
        <w:t xml:space="preserve">. A second option for this nuclear integration with data centers is small modular reactors (SMRs), which can range in size from 50 to 300 MW, and are not expected to be commercialized until the </w:t>
      </w:r>
      <w:r w:rsidRPr="000A408E">
        <w:lastRenderedPageBreak/>
        <w:t>2020s or beyond. Framework alignment: Microsoft's approach is aligned with and validates Component 7 (Resilience and Sustainability), and shows how next generation technologies will augment renewable energy systems.</w:t>
      </w:r>
    </w:p>
    <w:p w14:paraId="70D978A5" w14:textId="3A5D8108" w:rsidR="000A408E" w:rsidRPr="000A408E" w:rsidRDefault="000A408E" w:rsidP="000A408E">
      <w:pPr>
        <w:pStyle w:val="Heading20"/>
        <w:jc w:val="both"/>
        <w:rPr>
          <w:color w:val="auto"/>
        </w:rPr>
      </w:pPr>
      <w:r w:rsidRPr="000A408E">
        <w:rPr>
          <w:color w:val="auto"/>
        </w:rPr>
        <w:t>8.4 Equinix</w:t>
      </w:r>
      <w:r w:rsidR="00A4549A">
        <w:rPr>
          <w:color w:val="auto"/>
        </w:rPr>
        <w:t xml:space="preserve">: </w:t>
      </w:r>
      <w:r w:rsidR="00A4549A" w:rsidRPr="000A408E">
        <w:rPr>
          <w:color w:val="auto"/>
        </w:rPr>
        <w:t>Distributed Solar PPAs:</w:t>
      </w:r>
    </w:p>
    <w:p w14:paraId="61F642EE" w14:textId="01488020" w:rsidR="000A408E" w:rsidRPr="000A408E" w:rsidRDefault="000A408E" w:rsidP="00004DA8">
      <w:pPr>
        <w:spacing w:after="120"/>
        <w:ind w:firstLine="480"/>
      </w:pPr>
      <w:r w:rsidRPr="000A408E">
        <w:t>As a global provider of more than 260 data centers in 33 countries, Equinix has taken a multi-location approach to renewable procurement, based on the geographic distribution of its locations. The company has signed more than 350 MW of solar and wind power through PPAs in California, Arizona, Texas, the Midwest U.S. and several European countries. Equinix has also published a sustainability report for 2024, which shows that 96 percent of its global portfolio is covered by renewable energy, and that Equinix will reach 100 percent by 2030</w:t>
      </w:r>
      <w:r w:rsidR="00F04E69">
        <w:fldChar w:fldCharType="begin"/>
      </w:r>
      <w:r w:rsidR="00F04E69">
        <w:instrText xml:space="preserve"> ADDIN ZOTERO_ITEM CSL_CITATION {"citationID":"xSrZql8g","properties":{"unsorted":false,"formattedCitation":"[62]","plainCitation":"[62]","noteIndex":0},"citationItems":[{"id":2007,"uris":["http://zotero.org/users/9870935/items/KHWRQFNN"],"itemData":{"id":2007,"type":"post-weblog","title":"Sustainability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F04E69">
        <w:fldChar w:fldCharType="separate"/>
      </w:r>
      <w:r w:rsidR="00F04E69" w:rsidRPr="00004DA8">
        <w:t>[62]</w:t>
      </w:r>
      <w:r w:rsidR="00F04E69">
        <w:fldChar w:fldCharType="end"/>
      </w:r>
      <w:r w:rsidRPr="000A408E">
        <w:t>.</w:t>
      </w:r>
    </w:p>
    <w:p w14:paraId="3F72A15E" w14:textId="77777777" w:rsidR="000A408E" w:rsidRPr="000A408E" w:rsidRDefault="000A408E" w:rsidP="000A408E">
      <w:pPr>
        <w:spacing w:after="120"/>
        <w:ind w:firstLine="480"/>
      </w:pPr>
      <w:r w:rsidRPr="000A408E">
        <w:t>The financial model shows that PPA pricing in the markets at $40 to $60 per MWh, based on long-term (15 to 20 year) contracts, is lower than historical grid rates in most Equinix markets, which yields cost savings and price stability. The company's multi-facility load balancing enables routing of customer workloads to facilities with different renewable profiles, allowing for a virtual power plant that helps to balance the aggregate renewable variability. Yet, there are barriers to be faced in the part of the world where access to PPA is poor and in the markets where the cost of connecting to the grid is high compared to the savings from electricity. The distributed approach employed by Equinix is found to be a good solution to the two components – Workload Flexibility and Economic Viability – on validation of the framework.</w:t>
      </w:r>
    </w:p>
    <w:p w14:paraId="2BA5651F" w14:textId="124A499E" w:rsidR="000A408E" w:rsidRPr="000A408E" w:rsidRDefault="000A408E" w:rsidP="000A408E">
      <w:pPr>
        <w:pStyle w:val="Heading20"/>
        <w:jc w:val="both"/>
        <w:rPr>
          <w:color w:val="auto"/>
        </w:rPr>
      </w:pPr>
      <w:r w:rsidRPr="000A408E">
        <w:rPr>
          <w:color w:val="auto"/>
        </w:rPr>
        <w:t>8.5 Apple</w:t>
      </w:r>
      <w:r w:rsidR="00483956">
        <w:rPr>
          <w:color w:val="auto"/>
        </w:rPr>
        <w:t>:</w:t>
      </w:r>
      <w:r w:rsidR="00483956" w:rsidRPr="000A408E">
        <w:rPr>
          <w:color w:val="auto"/>
        </w:rPr>
        <w:t xml:space="preserve">100 </w:t>
      </w:r>
      <w:r w:rsidR="00483956">
        <w:rPr>
          <w:color w:val="auto"/>
        </w:rPr>
        <w:t>P</w:t>
      </w:r>
      <w:r w:rsidR="00483956" w:rsidRPr="000A408E">
        <w:rPr>
          <w:color w:val="auto"/>
        </w:rPr>
        <w:t xml:space="preserve">ercent </w:t>
      </w:r>
      <w:r w:rsidR="00483956">
        <w:rPr>
          <w:color w:val="auto"/>
        </w:rPr>
        <w:t>R</w:t>
      </w:r>
      <w:r w:rsidR="00483956" w:rsidRPr="000A408E">
        <w:rPr>
          <w:color w:val="auto"/>
        </w:rPr>
        <w:t xml:space="preserve">enewable </w:t>
      </w:r>
      <w:r w:rsidR="00483956">
        <w:rPr>
          <w:color w:val="auto"/>
        </w:rPr>
        <w:t>C</w:t>
      </w:r>
      <w:r w:rsidR="00483956" w:rsidRPr="000A408E">
        <w:rPr>
          <w:color w:val="auto"/>
        </w:rPr>
        <w:t>ommitment</w:t>
      </w:r>
    </w:p>
    <w:p w14:paraId="0325252A" w14:textId="28868569" w:rsidR="000A408E" w:rsidRPr="000A408E" w:rsidRDefault="000A408E" w:rsidP="00556DF7">
      <w:pPr>
        <w:spacing w:after="120"/>
        <w:ind w:firstLine="480"/>
      </w:pPr>
      <w:r w:rsidRPr="000A408E">
        <w:t xml:space="preserve">Apple has now made a full 100% commitment to renewable energy powering all of its global operations, including data centres, </w:t>
      </w:r>
      <w:r w:rsidR="00D221DC" w:rsidRPr="000A408E">
        <w:t>corporate</w:t>
      </w:r>
      <w:r w:rsidRPr="000A408E">
        <w:t xml:space="preserve"> buildings and retail stores, as well as its manufacturing supply chain. The Maiden, North Carolina data center is a flagship facility, using 10 MW of Bloom Energy fuel cells, and a 100-acre solar array producing around 42 million kWh per year on site. Apple's strategy includes owned generation on site (where possible), long-term PPAs and renewable energy certificates to meet its goals</w:t>
      </w:r>
      <w:r w:rsidR="00556DF7">
        <w:fldChar w:fldCharType="begin"/>
      </w:r>
      <w:r w:rsidR="00556DF7">
        <w:instrText xml:space="preserve"> ADDIN ZOTERO_ITEM CSL_CITATION {"citationID":"7UxY0Xko","properties":{"unsorted":false,"formattedCitation":"[64]","plainCitation":"[64]","noteIndex":0},"citationItems":[{"id":2010,"uris":["http://zotero.org/users/9870935/items/36ZP5SVZ"],"itemData":{"id":2010,"type":"post-weblog","title":"Environmental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556DF7">
        <w:fldChar w:fldCharType="separate"/>
      </w:r>
      <w:r w:rsidR="00556DF7" w:rsidRPr="00556DF7">
        <w:t>[64]</w:t>
      </w:r>
      <w:r w:rsidR="00556DF7">
        <w:fldChar w:fldCharType="end"/>
      </w:r>
      <w:r w:rsidRPr="000A408E">
        <w:t>.</w:t>
      </w:r>
    </w:p>
    <w:p w14:paraId="0328E807" w14:textId="491122F1" w:rsidR="009C1130" w:rsidRDefault="000A408E" w:rsidP="000A408E">
      <w:pPr>
        <w:spacing w:after="120"/>
        <w:ind w:firstLine="480"/>
      </w:pPr>
      <w:r w:rsidRPr="000A408E">
        <w:t>The price difference for a 100</w:t>
      </w:r>
      <w:r w:rsidR="00556DF7">
        <w:t xml:space="preserve">% </w:t>
      </w:r>
      <w:r w:rsidRPr="000A408E">
        <w:t>renewable power mix is estimated at 10</w:t>
      </w:r>
      <w:r w:rsidR="00556DF7">
        <w:t>-</w:t>
      </w:r>
      <w:r w:rsidRPr="000A408E">
        <w:t>20</w:t>
      </w:r>
      <w:r w:rsidR="00556DF7">
        <w:t>%</w:t>
      </w:r>
      <w:r w:rsidRPr="000A408E">
        <w:t xml:space="preserve"> higher than using conventional grid electricity, although Apple says efficiencies from self-generated power and from the grid via revenue streams mitigate this cost </w:t>
      </w:r>
      <w:r w:rsidR="00AA35E2">
        <w:fldChar w:fldCharType="begin"/>
      </w:r>
      <w:r w:rsidR="003E44F5">
        <w:instrText xml:space="preserve"> ADDIN ZOTERO_ITEM CSL_CITATION {"citationID":"oiRUWADX","properties":{"unsorted":false,"formattedCitation":"[64]","plainCitation":"[64]","noteIndex":0},"citationItems":[{"id":2010,"uris":["http://zotero.org/users/9870935/items/36ZP5SVZ"],"itemData":{"id":2010,"type":"post-weblog","title":"Environmental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AA35E2">
        <w:fldChar w:fldCharType="separate"/>
      </w:r>
      <w:r w:rsidR="00AA35E2" w:rsidRPr="00556DF7">
        <w:t>[64]</w:t>
      </w:r>
      <w:r w:rsidR="00AA35E2">
        <w:fldChar w:fldCharType="end"/>
      </w:r>
      <w:r w:rsidRPr="000A408E">
        <w:t>. Some of the main issues are high capital costs of building owned generation, supply chain limitations with renewable equipment and saturated PPA markets in certain areas. The staged, portfolio approach is a lesson learned in the Apple story that reinforces Component 7 (Sustainability) and underscores the need for long-term strategic planning to meet comprehensive renewable energy goals.</w:t>
      </w:r>
    </w:p>
    <w:p w14:paraId="1CC928C8" w14:textId="1F8CA234" w:rsidR="00FC26B6" w:rsidRDefault="00FC26B6" w:rsidP="00FC26B6">
      <w:pPr>
        <w:pStyle w:val="Heading20"/>
        <w:jc w:val="both"/>
        <w:rPr>
          <w:color w:val="auto"/>
        </w:rPr>
      </w:pPr>
      <w:r w:rsidRPr="000A408E">
        <w:rPr>
          <w:color w:val="auto"/>
        </w:rPr>
        <w:t>8.</w:t>
      </w:r>
      <w:r>
        <w:rPr>
          <w:color w:val="auto"/>
        </w:rPr>
        <w:t>6</w:t>
      </w:r>
      <w:r w:rsidRPr="000A408E">
        <w:rPr>
          <w:color w:val="auto"/>
        </w:rPr>
        <w:t xml:space="preserve"> </w:t>
      </w:r>
      <w:r>
        <w:rPr>
          <w:color w:val="auto"/>
        </w:rPr>
        <w:t>Comparative Analysis</w:t>
      </w:r>
    </w:p>
    <w:p w14:paraId="592642CF" w14:textId="752387EC" w:rsidR="00516167" w:rsidRDefault="00516167" w:rsidP="00516167">
      <w:pPr>
        <w:pStyle w:val="Caption"/>
        <w:keepNext/>
      </w:pPr>
      <w:r>
        <w:lastRenderedPageBreak/>
        <w:t xml:space="preserve">Table </w:t>
      </w:r>
      <w:r>
        <w:fldChar w:fldCharType="begin"/>
      </w:r>
      <w:r>
        <w:instrText xml:space="preserve"> SEQ Table \* ARABIC </w:instrText>
      </w:r>
      <w:r>
        <w:fldChar w:fldCharType="separate"/>
      </w:r>
      <w:r w:rsidR="00FF5DCC">
        <w:rPr>
          <w:noProof/>
        </w:rPr>
        <w:t>5</w:t>
      </w:r>
      <w:r>
        <w:fldChar w:fldCharType="end"/>
      </w:r>
      <w:r>
        <w:t xml:space="preserve"> </w:t>
      </w:r>
      <w:r w:rsidRPr="0060176D">
        <w:t xml:space="preserve">Comparative </w:t>
      </w:r>
      <w:r>
        <w:t>a</w:t>
      </w:r>
      <w:r w:rsidRPr="0060176D">
        <w:t xml:space="preserve">nalysis of </w:t>
      </w:r>
      <w:r>
        <w:t>i</w:t>
      </w:r>
      <w:r w:rsidRPr="0060176D">
        <w:t xml:space="preserve">ndustry </w:t>
      </w:r>
      <w:r>
        <w:t>c</w:t>
      </w:r>
      <w:r w:rsidRPr="0060176D">
        <w:t xml:space="preserve">ase </w:t>
      </w:r>
      <w:r>
        <w:t>s</w:t>
      </w:r>
      <w:r w:rsidRPr="0060176D">
        <w:t>tudies</w:t>
      </w:r>
    </w:p>
    <w:tbl>
      <w:tblPr>
        <w:tblStyle w:val="Mdeck5tablebodythreelines"/>
        <w:tblW w:w="5000" w:type="pct"/>
        <w:tblLook w:val="04A0" w:firstRow="1" w:lastRow="0" w:firstColumn="1" w:lastColumn="0" w:noHBand="0" w:noVBand="1"/>
      </w:tblPr>
      <w:tblGrid>
        <w:gridCol w:w="1463"/>
        <w:gridCol w:w="1740"/>
        <w:gridCol w:w="1564"/>
        <w:gridCol w:w="1565"/>
        <w:gridCol w:w="1300"/>
        <w:gridCol w:w="1212"/>
      </w:tblGrid>
      <w:tr w:rsidR="00612AA0" w14:paraId="3714B258" w14:textId="77777777" w:rsidTr="003C05F8">
        <w:trPr>
          <w:cnfStyle w:val="100000000000" w:firstRow="1" w:lastRow="0" w:firstColumn="0" w:lastColumn="0" w:oddVBand="0" w:evenVBand="0" w:oddHBand="0" w:evenHBand="0" w:firstRowFirstColumn="0" w:firstRowLastColumn="0" w:lastRowFirstColumn="0" w:lastRowLastColumn="0"/>
        </w:trPr>
        <w:tc>
          <w:tcPr>
            <w:tcW w:w="827" w:type="pct"/>
          </w:tcPr>
          <w:p w14:paraId="6FE7FF8A"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Organization</w:t>
            </w:r>
          </w:p>
        </w:tc>
        <w:tc>
          <w:tcPr>
            <w:tcW w:w="984" w:type="pct"/>
          </w:tcPr>
          <w:p w14:paraId="324356F5"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Approach</w:t>
            </w:r>
          </w:p>
        </w:tc>
        <w:tc>
          <w:tcPr>
            <w:tcW w:w="884" w:type="pct"/>
          </w:tcPr>
          <w:p w14:paraId="5C6BB85D"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Renewable %</w:t>
            </w:r>
          </w:p>
        </w:tc>
        <w:tc>
          <w:tcPr>
            <w:tcW w:w="885" w:type="pct"/>
          </w:tcPr>
          <w:p w14:paraId="2B8CACF1"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Storage</w:t>
            </w:r>
          </w:p>
        </w:tc>
        <w:tc>
          <w:tcPr>
            <w:tcW w:w="735" w:type="pct"/>
          </w:tcPr>
          <w:p w14:paraId="4ED35545"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Backup</w:t>
            </w:r>
          </w:p>
        </w:tc>
        <w:tc>
          <w:tcPr>
            <w:tcW w:w="685" w:type="pct"/>
          </w:tcPr>
          <w:p w14:paraId="1C7B08FE"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Est. LCOE</w:t>
            </w:r>
          </w:p>
        </w:tc>
      </w:tr>
      <w:tr w:rsidR="00612AA0" w14:paraId="2D05F564" w14:textId="77777777" w:rsidTr="003C05F8">
        <w:tc>
          <w:tcPr>
            <w:tcW w:w="827" w:type="pct"/>
          </w:tcPr>
          <w:p w14:paraId="300AAB0B" w14:textId="77777777" w:rsidR="00612AA0" w:rsidRPr="00612AA0" w:rsidRDefault="00612AA0" w:rsidP="00612AA0">
            <w:pPr>
              <w:pStyle w:val="TableBody"/>
              <w:spacing w:line="240" w:lineRule="auto"/>
              <w:rPr>
                <w:b/>
                <w:bCs/>
                <w:color w:val="auto"/>
                <w:lang w:val="en-US"/>
              </w:rPr>
            </w:pPr>
            <w:r w:rsidRPr="00612AA0">
              <w:rPr>
                <w:b/>
                <w:bCs/>
                <w:color w:val="auto"/>
                <w:lang w:val="en-US"/>
              </w:rPr>
              <w:t>Google</w:t>
            </w:r>
          </w:p>
        </w:tc>
        <w:tc>
          <w:tcPr>
            <w:tcW w:w="984" w:type="pct"/>
          </w:tcPr>
          <w:p w14:paraId="24508D01" w14:textId="77777777" w:rsidR="00612AA0" w:rsidRPr="00612AA0" w:rsidRDefault="00612AA0" w:rsidP="00612AA0">
            <w:pPr>
              <w:pStyle w:val="TableBody"/>
              <w:spacing w:line="240" w:lineRule="auto"/>
              <w:rPr>
                <w:b/>
                <w:bCs/>
                <w:color w:val="auto"/>
                <w:lang w:val="en-US"/>
              </w:rPr>
            </w:pPr>
            <w:r w:rsidRPr="00612AA0">
              <w:rPr>
                <w:b/>
                <w:bCs/>
                <w:color w:val="auto"/>
                <w:lang w:val="en-US"/>
              </w:rPr>
              <w:t>PPAs + Load Shift</w:t>
            </w:r>
          </w:p>
        </w:tc>
        <w:tc>
          <w:tcPr>
            <w:tcW w:w="884" w:type="pct"/>
          </w:tcPr>
          <w:p w14:paraId="413E2832" w14:textId="77777777" w:rsidR="00612AA0" w:rsidRPr="00612AA0" w:rsidRDefault="00612AA0" w:rsidP="00612AA0">
            <w:pPr>
              <w:pStyle w:val="TableBody"/>
              <w:spacing w:line="240" w:lineRule="auto"/>
              <w:rPr>
                <w:b/>
                <w:bCs/>
                <w:color w:val="auto"/>
                <w:lang w:val="en-US"/>
              </w:rPr>
            </w:pPr>
            <w:r w:rsidRPr="00612AA0">
              <w:rPr>
                <w:b/>
                <w:bCs/>
                <w:color w:val="auto"/>
                <w:lang w:val="en-US"/>
              </w:rPr>
              <w:t>&gt;64% hourly</w:t>
            </w:r>
          </w:p>
        </w:tc>
        <w:tc>
          <w:tcPr>
            <w:tcW w:w="885" w:type="pct"/>
          </w:tcPr>
          <w:p w14:paraId="0898CEEC" w14:textId="77777777" w:rsidR="00612AA0" w:rsidRPr="00612AA0" w:rsidRDefault="00612AA0" w:rsidP="00612AA0">
            <w:pPr>
              <w:pStyle w:val="TableBody"/>
              <w:spacing w:line="240" w:lineRule="auto"/>
              <w:rPr>
                <w:b/>
                <w:bCs/>
                <w:color w:val="auto"/>
                <w:lang w:val="en-US"/>
              </w:rPr>
            </w:pPr>
            <w:r w:rsidRPr="00612AA0">
              <w:rPr>
                <w:b/>
                <w:bCs/>
                <w:color w:val="auto"/>
                <w:lang w:val="en-US"/>
              </w:rPr>
              <w:t>Grid-scale BESS</w:t>
            </w:r>
          </w:p>
        </w:tc>
        <w:tc>
          <w:tcPr>
            <w:tcW w:w="735" w:type="pct"/>
          </w:tcPr>
          <w:p w14:paraId="6946F585"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6245DB96" w14:textId="77777777" w:rsidR="00612AA0" w:rsidRPr="00612AA0" w:rsidRDefault="00612AA0" w:rsidP="00612AA0">
            <w:pPr>
              <w:pStyle w:val="TableBody"/>
              <w:spacing w:line="240" w:lineRule="auto"/>
              <w:rPr>
                <w:b/>
                <w:bCs/>
                <w:color w:val="auto"/>
                <w:lang w:val="en-US"/>
              </w:rPr>
            </w:pPr>
            <w:r w:rsidRPr="00612AA0">
              <w:rPr>
                <w:b/>
                <w:bCs/>
                <w:color w:val="auto"/>
                <w:lang w:val="en-US"/>
              </w:rPr>
              <w:t>$40-60/MWh</w:t>
            </w:r>
          </w:p>
        </w:tc>
      </w:tr>
      <w:tr w:rsidR="00612AA0" w14:paraId="4DD4D8D9" w14:textId="77777777" w:rsidTr="003C05F8">
        <w:tc>
          <w:tcPr>
            <w:tcW w:w="827" w:type="pct"/>
          </w:tcPr>
          <w:p w14:paraId="58A3C662" w14:textId="77777777" w:rsidR="00612AA0" w:rsidRPr="00612AA0" w:rsidRDefault="00612AA0" w:rsidP="00612AA0">
            <w:pPr>
              <w:pStyle w:val="TableBody"/>
              <w:spacing w:line="240" w:lineRule="auto"/>
              <w:rPr>
                <w:b/>
                <w:bCs/>
                <w:color w:val="auto"/>
                <w:lang w:val="en-US"/>
              </w:rPr>
            </w:pPr>
            <w:r w:rsidRPr="00612AA0">
              <w:rPr>
                <w:b/>
                <w:bCs/>
                <w:color w:val="auto"/>
                <w:lang w:val="en-US"/>
              </w:rPr>
              <w:t>Meta</w:t>
            </w:r>
          </w:p>
        </w:tc>
        <w:tc>
          <w:tcPr>
            <w:tcW w:w="984" w:type="pct"/>
          </w:tcPr>
          <w:p w14:paraId="1DFE7B44" w14:textId="77777777" w:rsidR="00612AA0" w:rsidRPr="00612AA0" w:rsidRDefault="00612AA0" w:rsidP="00612AA0">
            <w:pPr>
              <w:pStyle w:val="TableBody"/>
              <w:spacing w:line="240" w:lineRule="auto"/>
              <w:rPr>
                <w:b/>
                <w:bCs/>
                <w:color w:val="auto"/>
                <w:lang w:val="en-US"/>
              </w:rPr>
            </w:pPr>
            <w:r w:rsidRPr="00612AA0">
              <w:rPr>
                <w:b/>
                <w:bCs/>
                <w:color w:val="auto"/>
                <w:lang w:val="en-US"/>
              </w:rPr>
              <w:t>Hybrid Fuel Cell</w:t>
            </w:r>
          </w:p>
        </w:tc>
        <w:tc>
          <w:tcPr>
            <w:tcW w:w="884" w:type="pct"/>
          </w:tcPr>
          <w:p w14:paraId="46CB9520" w14:textId="77777777" w:rsidR="00612AA0" w:rsidRPr="00612AA0" w:rsidRDefault="00612AA0" w:rsidP="00612AA0">
            <w:pPr>
              <w:pStyle w:val="TableBody"/>
              <w:spacing w:line="240" w:lineRule="auto"/>
              <w:rPr>
                <w:b/>
                <w:bCs/>
                <w:color w:val="auto"/>
                <w:lang w:val="en-US"/>
              </w:rPr>
            </w:pPr>
            <w:r w:rsidRPr="00612AA0">
              <w:rPr>
                <w:b/>
                <w:bCs/>
                <w:color w:val="auto"/>
                <w:lang w:val="en-US"/>
              </w:rPr>
              <w:t>~100% (annual)</w:t>
            </w:r>
          </w:p>
        </w:tc>
        <w:tc>
          <w:tcPr>
            <w:tcW w:w="885" w:type="pct"/>
          </w:tcPr>
          <w:p w14:paraId="0B24DA06" w14:textId="77777777" w:rsidR="00612AA0" w:rsidRPr="00612AA0" w:rsidRDefault="00612AA0" w:rsidP="00612AA0">
            <w:pPr>
              <w:pStyle w:val="TableBody"/>
              <w:spacing w:line="240" w:lineRule="auto"/>
              <w:rPr>
                <w:b/>
                <w:bCs/>
                <w:color w:val="auto"/>
                <w:lang w:val="en-US"/>
              </w:rPr>
            </w:pPr>
            <w:r w:rsidRPr="00612AA0">
              <w:rPr>
                <w:b/>
                <w:bCs/>
                <w:color w:val="auto"/>
                <w:lang w:val="en-US"/>
              </w:rPr>
              <w:t>Fuel Cell</w:t>
            </w:r>
          </w:p>
        </w:tc>
        <w:tc>
          <w:tcPr>
            <w:tcW w:w="735" w:type="pct"/>
          </w:tcPr>
          <w:p w14:paraId="1FCCD327" w14:textId="77777777" w:rsidR="00612AA0" w:rsidRPr="00612AA0" w:rsidRDefault="00612AA0" w:rsidP="00612AA0">
            <w:pPr>
              <w:pStyle w:val="TableBody"/>
              <w:spacing w:line="240" w:lineRule="auto"/>
              <w:rPr>
                <w:b/>
                <w:bCs/>
                <w:color w:val="auto"/>
                <w:lang w:val="en-US"/>
              </w:rPr>
            </w:pPr>
            <w:r w:rsidRPr="00612AA0">
              <w:rPr>
                <w:b/>
                <w:bCs/>
                <w:color w:val="auto"/>
                <w:lang w:val="en-US"/>
              </w:rPr>
              <w:t>Nat Gas</w:t>
            </w:r>
          </w:p>
        </w:tc>
        <w:tc>
          <w:tcPr>
            <w:tcW w:w="685" w:type="pct"/>
          </w:tcPr>
          <w:p w14:paraId="0FCD30C6" w14:textId="77777777" w:rsidR="00612AA0" w:rsidRPr="00612AA0" w:rsidRDefault="00612AA0" w:rsidP="00612AA0">
            <w:pPr>
              <w:pStyle w:val="TableBody"/>
              <w:spacing w:line="240" w:lineRule="auto"/>
              <w:rPr>
                <w:b/>
                <w:bCs/>
                <w:color w:val="auto"/>
                <w:lang w:val="en-US"/>
              </w:rPr>
            </w:pPr>
            <w:r w:rsidRPr="00612AA0">
              <w:rPr>
                <w:b/>
                <w:bCs/>
                <w:color w:val="auto"/>
                <w:lang w:val="en-US"/>
              </w:rPr>
              <w:t>$50-80/MWh</w:t>
            </w:r>
          </w:p>
        </w:tc>
      </w:tr>
      <w:tr w:rsidR="00612AA0" w14:paraId="3CC11C7D" w14:textId="77777777" w:rsidTr="003C05F8">
        <w:tc>
          <w:tcPr>
            <w:tcW w:w="827" w:type="pct"/>
          </w:tcPr>
          <w:p w14:paraId="798FCA28" w14:textId="77777777" w:rsidR="00612AA0" w:rsidRPr="00612AA0" w:rsidRDefault="00612AA0" w:rsidP="00612AA0">
            <w:pPr>
              <w:pStyle w:val="TableBody"/>
              <w:spacing w:line="240" w:lineRule="auto"/>
              <w:rPr>
                <w:b/>
                <w:bCs/>
                <w:color w:val="auto"/>
                <w:lang w:val="en-US"/>
              </w:rPr>
            </w:pPr>
            <w:r w:rsidRPr="00612AA0">
              <w:rPr>
                <w:b/>
                <w:bCs/>
                <w:color w:val="auto"/>
                <w:lang w:val="en-US"/>
              </w:rPr>
              <w:t>Microsoft</w:t>
            </w:r>
          </w:p>
        </w:tc>
        <w:tc>
          <w:tcPr>
            <w:tcW w:w="984" w:type="pct"/>
          </w:tcPr>
          <w:p w14:paraId="1C4B4BC2" w14:textId="77777777" w:rsidR="00612AA0" w:rsidRPr="00612AA0" w:rsidRDefault="00612AA0" w:rsidP="00612AA0">
            <w:pPr>
              <w:pStyle w:val="TableBody"/>
              <w:spacing w:line="240" w:lineRule="auto"/>
              <w:rPr>
                <w:b/>
                <w:bCs/>
                <w:color w:val="auto"/>
                <w:lang w:val="en-US"/>
              </w:rPr>
            </w:pPr>
            <w:r w:rsidRPr="00612AA0">
              <w:rPr>
                <w:b/>
                <w:bCs/>
                <w:color w:val="auto"/>
                <w:lang w:val="en-US"/>
              </w:rPr>
              <w:t>Modular + Nuclear</w:t>
            </w:r>
          </w:p>
        </w:tc>
        <w:tc>
          <w:tcPr>
            <w:tcW w:w="884" w:type="pct"/>
          </w:tcPr>
          <w:p w14:paraId="0FA60242" w14:textId="77777777" w:rsidR="00612AA0" w:rsidRPr="00612AA0" w:rsidRDefault="00612AA0" w:rsidP="00612AA0">
            <w:pPr>
              <w:pStyle w:val="TableBody"/>
              <w:spacing w:line="240" w:lineRule="auto"/>
              <w:rPr>
                <w:b/>
                <w:bCs/>
                <w:color w:val="auto"/>
                <w:lang w:val="en-US"/>
              </w:rPr>
            </w:pPr>
            <w:r w:rsidRPr="00612AA0">
              <w:rPr>
                <w:b/>
                <w:bCs/>
                <w:color w:val="auto"/>
                <w:lang w:val="en-US"/>
              </w:rPr>
              <w:t>TBD</w:t>
            </w:r>
          </w:p>
        </w:tc>
        <w:tc>
          <w:tcPr>
            <w:tcW w:w="885" w:type="pct"/>
          </w:tcPr>
          <w:p w14:paraId="6EB15AF7" w14:textId="77777777" w:rsidR="00612AA0" w:rsidRPr="00612AA0" w:rsidRDefault="00612AA0" w:rsidP="00612AA0">
            <w:pPr>
              <w:pStyle w:val="TableBody"/>
              <w:spacing w:line="240" w:lineRule="auto"/>
              <w:rPr>
                <w:b/>
                <w:bCs/>
                <w:color w:val="auto"/>
                <w:lang w:val="en-US"/>
              </w:rPr>
            </w:pPr>
            <w:r w:rsidRPr="00612AA0">
              <w:rPr>
                <w:b/>
                <w:bCs/>
                <w:color w:val="auto"/>
                <w:lang w:val="en-US"/>
              </w:rPr>
              <w:t>Nuclear (future)</w:t>
            </w:r>
          </w:p>
        </w:tc>
        <w:tc>
          <w:tcPr>
            <w:tcW w:w="735" w:type="pct"/>
          </w:tcPr>
          <w:p w14:paraId="24FBB064"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66AAAD24" w14:textId="77777777" w:rsidR="00612AA0" w:rsidRPr="00612AA0" w:rsidRDefault="00612AA0" w:rsidP="00612AA0">
            <w:pPr>
              <w:pStyle w:val="TableBody"/>
              <w:spacing w:line="240" w:lineRule="auto"/>
              <w:rPr>
                <w:b/>
                <w:bCs/>
                <w:color w:val="auto"/>
                <w:lang w:val="en-US"/>
              </w:rPr>
            </w:pPr>
            <w:r w:rsidRPr="00612AA0">
              <w:rPr>
                <w:b/>
                <w:bCs/>
                <w:color w:val="auto"/>
                <w:lang w:val="en-US"/>
              </w:rPr>
              <w:t>TBD</w:t>
            </w:r>
          </w:p>
        </w:tc>
      </w:tr>
      <w:tr w:rsidR="00612AA0" w14:paraId="6767BCDC" w14:textId="77777777" w:rsidTr="003C05F8">
        <w:tc>
          <w:tcPr>
            <w:tcW w:w="827" w:type="pct"/>
          </w:tcPr>
          <w:p w14:paraId="576EBC27" w14:textId="77777777" w:rsidR="00612AA0" w:rsidRPr="00612AA0" w:rsidRDefault="00612AA0" w:rsidP="00612AA0">
            <w:pPr>
              <w:pStyle w:val="TableBody"/>
              <w:spacing w:line="240" w:lineRule="auto"/>
              <w:rPr>
                <w:b/>
                <w:bCs/>
                <w:color w:val="auto"/>
                <w:lang w:val="en-US"/>
              </w:rPr>
            </w:pPr>
            <w:r w:rsidRPr="00612AA0">
              <w:rPr>
                <w:b/>
                <w:bCs/>
                <w:color w:val="auto"/>
                <w:lang w:val="en-US"/>
              </w:rPr>
              <w:t>Equinix</w:t>
            </w:r>
          </w:p>
        </w:tc>
        <w:tc>
          <w:tcPr>
            <w:tcW w:w="984" w:type="pct"/>
          </w:tcPr>
          <w:p w14:paraId="4E350EB7" w14:textId="77777777" w:rsidR="00612AA0" w:rsidRPr="00612AA0" w:rsidRDefault="00612AA0" w:rsidP="00612AA0">
            <w:pPr>
              <w:pStyle w:val="TableBody"/>
              <w:spacing w:line="240" w:lineRule="auto"/>
              <w:rPr>
                <w:b/>
                <w:bCs/>
                <w:color w:val="auto"/>
                <w:lang w:val="en-US"/>
              </w:rPr>
            </w:pPr>
            <w:r w:rsidRPr="00612AA0">
              <w:rPr>
                <w:b/>
                <w:bCs/>
                <w:color w:val="auto"/>
                <w:lang w:val="en-US"/>
              </w:rPr>
              <w:t>Distributed PPAs</w:t>
            </w:r>
          </w:p>
        </w:tc>
        <w:tc>
          <w:tcPr>
            <w:tcW w:w="884" w:type="pct"/>
          </w:tcPr>
          <w:p w14:paraId="6482678F" w14:textId="77777777" w:rsidR="00612AA0" w:rsidRPr="00612AA0" w:rsidRDefault="00612AA0" w:rsidP="00612AA0">
            <w:pPr>
              <w:pStyle w:val="TableBody"/>
              <w:spacing w:line="240" w:lineRule="auto"/>
              <w:rPr>
                <w:b/>
                <w:bCs/>
                <w:color w:val="auto"/>
                <w:lang w:val="en-US"/>
              </w:rPr>
            </w:pPr>
            <w:r w:rsidRPr="00612AA0">
              <w:rPr>
                <w:b/>
                <w:bCs/>
                <w:color w:val="auto"/>
                <w:lang w:val="en-US"/>
              </w:rPr>
              <w:t>96% (global)</w:t>
            </w:r>
          </w:p>
        </w:tc>
        <w:tc>
          <w:tcPr>
            <w:tcW w:w="885" w:type="pct"/>
          </w:tcPr>
          <w:p w14:paraId="79CBB40F" w14:textId="77777777" w:rsidR="00612AA0" w:rsidRPr="00612AA0" w:rsidRDefault="00612AA0" w:rsidP="00612AA0">
            <w:pPr>
              <w:pStyle w:val="TableBody"/>
              <w:spacing w:line="240" w:lineRule="auto"/>
              <w:rPr>
                <w:b/>
                <w:bCs/>
                <w:color w:val="auto"/>
                <w:lang w:val="en-US"/>
              </w:rPr>
            </w:pPr>
            <w:r w:rsidRPr="00612AA0">
              <w:rPr>
                <w:b/>
                <w:bCs/>
                <w:color w:val="auto"/>
                <w:lang w:val="en-US"/>
              </w:rPr>
              <w:t>Minimal</w:t>
            </w:r>
          </w:p>
        </w:tc>
        <w:tc>
          <w:tcPr>
            <w:tcW w:w="735" w:type="pct"/>
          </w:tcPr>
          <w:p w14:paraId="16C79EDC"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032617B2" w14:textId="77777777" w:rsidR="00612AA0" w:rsidRPr="00612AA0" w:rsidRDefault="00612AA0" w:rsidP="00612AA0">
            <w:pPr>
              <w:pStyle w:val="TableBody"/>
              <w:spacing w:line="240" w:lineRule="auto"/>
              <w:rPr>
                <w:b/>
                <w:bCs/>
                <w:color w:val="auto"/>
                <w:lang w:val="en-US"/>
              </w:rPr>
            </w:pPr>
            <w:r w:rsidRPr="00612AA0">
              <w:rPr>
                <w:b/>
                <w:bCs/>
                <w:color w:val="auto"/>
                <w:lang w:val="en-US"/>
              </w:rPr>
              <w:t>$35-60/MWh</w:t>
            </w:r>
          </w:p>
        </w:tc>
      </w:tr>
      <w:tr w:rsidR="00612AA0" w14:paraId="3F3D68DE" w14:textId="77777777" w:rsidTr="003C05F8">
        <w:tc>
          <w:tcPr>
            <w:tcW w:w="827" w:type="pct"/>
          </w:tcPr>
          <w:p w14:paraId="11C542C8" w14:textId="77777777" w:rsidR="00612AA0" w:rsidRPr="00612AA0" w:rsidRDefault="00612AA0" w:rsidP="00612AA0">
            <w:pPr>
              <w:pStyle w:val="TableBody"/>
              <w:spacing w:line="240" w:lineRule="auto"/>
              <w:rPr>
                <w:b/>
                <w:bCs/>
                <w:color w:val="auto"/>
                <w:lang w:val="en-US"/>
              </w:rPr>
            </w:pPr>
            <w:r w:rsidRPr="00612AA0">
              <w:rPr>
                <w:b/>
                <w:bCs/>
                <w:color w:val="auto"/>
                <w:lang w:val="en-US"/>
              </w:rPr>
              <w:t>Apple</w:t>
            </w:r>
          </w:p>
        </w:tc>
        <w:tc>
          <w:tcPr>
            <w:tcW w:w="984" w:type="pct"/>
          </w:tcPr>
          <w:p w14:paraId="579FAAA0" w14:textId="77777777" w:rsidR="00612AA0" w:rsidRPr="00612AA0" w:rsidRDefault="00612AA0" w:rsidP="00612AA0">
            <w:pPr>
              <w:pStyle w:val="TableBody"/>
              <w:spacing w:line="240" w:lineRule="auto"/>
              <w:rPr>
                <w:b/>
                <w:bCs/>
                <w:color w:val="auto"/>
                <w:lang w:val="en-US"/>
              </w:rPr>
            </w:pPr>
            <w:r w:rsidRPr="00612AA0">
              <w:rPr>
                <w:b/>
                <w:bCs/>
                <w:color w:val="auto"/>
                <w:lang w:val="en-US"/>
              </w:rPr>
              <w:t>Owned + PPAs</w:t>
            </w:r>
          </w:p>
        </w:tc>
        <w:tc>
          <w:tcPr>
            <w:tcW w:w="884" w:type="pct"/>
          </w:tcPr>
          <w:p w14:paraId="2361B044" w14:textId="77777777" w:rsidR="00612AA0" w:rsidRPr="00612AA0" w:rsidRDefault="00612AA0" w:rsidP="00612AA0">
            <w:pPr>
              <w:pStyle w:val="TableBody"/>
              <w:spacing w:line="240" w:lineRule="auto"/>
              <w:rPr>
                <w:b/>
                <w:bCs/>
                <w:color w:val="auto"/>
                <w:lang w:val="en-US"/>
              </w:rPr>
            </w:pPr>
            <w:r w:rsidRPr="00612AA0">
              <w:rPr>
                <w:b/>
                <w:bCs/>
                <w:color w:val="auto"/>
                <w:lang w:val="en-US"/>
              </w:rPr>
              <w:t>100% (annual)</w:t>
            </w:r>
          </w:p>
        </w:tc>
        <w:tc>
          <w:tcPr>
            <w:tcW w:w="885" w:type="pct"/>
          </w:tcPr>
          <w:p w14:paraId="75B3E902" w14:textId="77777777" w:rsidR="00612AA0" w:rsidRPr="00612AA0" w:rsidRDefault="00612AA0" w:rsidP="00612AA0">
            <w:pPr>
              <w:pStyle w:val="TableBody"/>
              <w:spacing w:line="240" w:lineRule="auto"/>
              <w:rPr>
                <w:b/>
                <w:bCs/>
                <w:color w:val="auto"/>
                <w:lang w:val="en-US"/>
              </w:rPr>
            </w:pPr>
            <w:r w:rsidRPr="00612AA0">
              <w:rPr>
                <w:b/>
                <w:bCs/>
                <w:color w:val="auto"/>
                <w:lang w:val="en-US"/>
              </w:rPr>
              <w:t>On-site solar</w:t>
            </w:r>
          </w:p>
        </w:tc>
        <w:tc>
          <w:tcPr>
            <w:tcW w:w="735" w:type="pct"/>
          </w:tcPr>
          <w:p w14:paraId="11FED66F" w14:textId="77777777" w:rsidR="00612AA0" w:rsidRPr="00612AA0" w:rsidRDefault="00612AA0" w:rsidP="00612AA0">
            <w:pPr>
              <w:pStyle w:val="TableBody"/>
              <w:spacing w:line="240" w:lineRule="auto"/>
              <w:rPr>
                <w:b/>
                <w:bCs/>
                <w:color w:val="auto"/>
                <w:lang w:val="en-US"/>
              </w:rPr>
            </w:pPr>
            <w:r w:rsidRPr="00612AA0">
              <w:rPr>
                <w:b/>
                <w:bCs/>
                <w:color w:val="auto"/>
                <w:lang w:val="en-US"/>
              </w:rPr>
              <w:t>Rare</w:t>
            </w:r>
          </w:p>
        </w:tc>
        <w:tc>
          <w:tcPr>
            <w:tcW w:w="685" w:type="pct"/>
          </w:tcPr>
          <w:p w14:paraId="78751898" w14:textId="77777777" w:rsidR="00612AA0" w:rsidRPr="00612AA0" w:rsidRDefault="00612AA0" w:rsidP="00612AA0">
            <w:pPr>
              <w:pStyle w:val="TableBody"/>
              <w:spacing w:line="240" w:lineRule="auto"/>
              <w:rPr>
                <w:b/>
                <w:bCs/>
                <w:color w:val="auto"/>
                <w:lang w:val="en-US"/>
              </w:rPr>
            </w:pPr>
            <w:r w:rsidRPr="00612AA0">
              <w:rPr>
                <w:b/>
                <w:bCs/>
                <w:color w:val="auto"/>
                <w:lang w:val="en-US"/>
              </w:rPr>
              <w:t>$60-90/MWh</w:t>
            </w:r>
          </w:p>
        </w:tc>
      </w:tr>
    </w:tbl>
    <w:p w14:paraId="567FFF88" w14:textId="77777777" w:rsidR="003C05F8" w:rsidRDefault="003C05F8" w:rsidP="003C05F8">
      <w:pPr>
        <w:spacing w:after="120"/>
        <w:ind w:firstLine="480"/>
      </w:pPr>
      <w:r>
        <w:t>Common success factors identified across all five case studies include: (1) long-term renewable procurement through PPAs or owned generation, providing price stability and supply certainty; (2) geographic diversification of data center capacity across regions with complementary renewable resources; (3) active engagement in workload flexibility and load shifting to maximize renewable utilization;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169A63F1" w14:textId="2C90619B" w:rsidR="00EC0439" w:rsidRDefault="00EC0439" w:rsidP="00EC0439">
      <w:pPr>
        <w:pStyle w:val="Heading10"/>
        <w:rPr>
          <w:color w:val="auto"/>
        </w:rPr>
      </w:pPr>
      <w:r>
        <w:rPr>
          <w:color w:val="auto"/>
          <w:lang w:eastAsia="zh-CN"/>
        </w:rPr>
        <w:t xml:space="preserve">9. </w:t>
      </w:r>
      <w:r>
        <w:rPr>
          <w:color w:val="auto"/>
        </w:rPr>
        <w:t>Technical Challenges and Solutions</w:t>
      </w:r>
    </w:p>
    <w:p w14:paraId="5E784FAE" w14:textId="3F96B946" w:rsidR="00770EE9" w:rsidRDefault="00770EE9" w:rsidP="00770EE9">
      <w:pPr>
        <w:spacing w:after="120"/>
        <w:ind w:firstLine="480"/>
      </w:pPr>
      <w:r>
        <w:t xml:space="preserve">This </w:t>
      </w:r>
      <w:r w:rsidR="002068F4">
        <w:t>section</w:t>
      </w:r>
      <w:r>
        <w:t xml:space="preserve">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040DC28A" w14:textId="77777777" w:rsidR="003F24D0" w:rsidRPr="003F24D0" w:rsidRDefault="003F24D0" w:rsidP="00820A59">
      <w:pPr>
        <w:pStyle w:val="Heading20"/>
        <w:jc w:val="both"/>
        <w:rPr>
          <w:color w:val="auto"/>
        </w:rPr>
      </w:pPr>
      <w:r w:rsidRPr="003F24D0">
        <w:rPr>
          <w:color w:val="auto"/>
        </w:rPr>
        <w:t>9.1 Intermittency and Predictability</w:t>
      </w:r>
    </w:p>
    <w:p w14:paraId="1EECDA56" w14:textId="340A88DA" w:rsidR="003F24D0" w:rsidRPr="003F24D0" w:rsidRDefault="003F24D0" w:rsidP="00CF09BC">
      <w:pPr>
        <w:spacing w:after="120"/>
        <w:ind w:firstLine="480"/>
      </w:pPr>
      <w:r w:rsidRPr="003F24D0">
        <w:t>Solar and wind power are intermittent, and this intermittency can be seen on various timescales ranging from transients on the timescale of seconds or minutes, to a seasonal fluctuation in the resource. The high errors in day-ahead forecasts (10-15</w:t>
      </w:r>
      <w:r w:rsidR="008B333D">
        <w:t xml:space="preserve">% </w:t>
      </w:r>
      <w:r w:rsidRPr="003F24D0">
        <w:t>MAPE) and intra-hour forecasts (5-10</w:t>
      </w:r>
      <w:r w:rsidR="008B333D">
        <w:t xml:space="preserve">% </w:t>
      </w:r>
      <w:r w:rsidRPr="003F24D0">
        <w:t>MAPE) introduce uncertainty in dispatch planning that must be addressed through the use of storage, demand response, and grid interconnection</w:t>
      </w:r>
      <w:r w:rsidR="003E44F5">
        <w:fldChar w:fldCharType="begin"/>
      </w:r>
      <w:r w:rsidR="003E44F5">
        <w:instrText xml:space="preserve"> ADDIN ZOTERO_ITEM CSL_CITATION {"citationID":"B5ImwyE7","properties":{"unsorted":false,"formattedCitation":"[134]","plainCitation":"[134]","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3E44F5">
        <w:fldChar w:fldCharType="separate"/>
      </w:r>
      <w:r w:rsidR="003E44F5" w:rsidRPr="003E44F5">
        <w:t>[134]</w:t>
      </w:r>
      <w:r w:rsidR="003E44F5">
        <w:fldChar w:fldCharType="end"/>
      </w:r>
      <w:r w:rsidRPr="003F24D0">
        <w:t>. The storage duration needed to meet typical shortfalls in renewables varies with the resource profile, with solar-only systems needing 4 to 8 hours of storage to meet evening peak requirements, and wind dominated systems in regions with 24 to 72 hours of storage lulls needing 24 to 72 hours of storage</w:t>
      </w:r>
      <w:r w:rsidR="00CF09BC">
        <w:fldChar w:fldCharType="begin"/>
      </w:r>
      <w:r w:rsidR="00CF09BC">
        <w:instrText xml:space="preserve"> ADDIN ZOTERO_ITEM CSL_CITATION {"citationID":"AurF55j7","properties":{"unsorted":false,"formattedCitation":"[76]","plainCitation":"[76]","noteIndex":0},"citationItems":[{"id":2031,"uris":["http://zotero.org/users/9870935/items/AC53WR7L"],"itemData":{"id":2031,"type":"article-journal","abstract":"The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00CF09BC">
        <w:fldChar w:fldCharType="separate"/>
      </w:r>
      <w:r w:rsidR="00CF09BC" w:rsidRPr="00CF09BC">
        <w:t>[76]</w:t>
      </w:r>
      <w:r w:rsidR="00CF09BC">
        <w:fldChar w:fldCharType="end"/>
      </w:r>
      <w:r w:rsidRPr="003F24D0">
        <w:t>.</w:t>
      </w:r>
    </w:p>
    <w:p w14:paraId="7F80E38A" w14:textId="53942816" w:rsidR="003F24D0" w:rsidRPr="003F24D0" w:rsidRDefault="003F24D0" w:rsidP="00820A59">
      <w:pPr>
        <w:spacing w:after="120"/>
        <w:ind w:firstLine="480"/>
      </w:pPr>
      <w:r w:rsidRPr="003F24D0">
        <w:t>The use of geographic diversity in dispersed facilities offers a strong tool for minimizing overall variability. Spatial smoothing from facilities with distances greater than 500 km can lower the coefficient of variation of combined renewable energy generation by 40 to 60</w:t>
      </w:r>
      <w:r w:rsidR="0019592A">
        <w:t xml:space="preserve">% </w:t>
      </w:r>
      <w:r w:rsidRPr="003F24D0">
        <w:t>when compared to a single-site deployment</w:t>
      </w:r>
      <w:r w:rsidR="0019592A">
        <w:fldChar w:fldCharType="begin"/>
      </w:r>
      <w:r w:rsidR="0019592A">
        <w:instrText xml:space="preserve"> ADDIN ZOTERO_ITEM CSL_CITATION {"citationID":"ntStXCHv","properties":{"unsorted":false,"formattedCitation":"[98]","plainCitation":"[98]","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19592A">
        <w:fldChar w:fldCharType="separate"/>
      </w:r>
      <w:r w:rsidR="0019592A" w:rsidRPr="0019592A">
        <w:t>[98]</w:t>
      </w:r>
      <w:r w:rsidR="0019592A">
        <w:fldChar w:fldCharType="end"/>
      </w:r>
      <w:r w:rsidRPr="003F24D0">
        <w:t xml:space="preserve">. For multi-facility operators, this natural smoothing effect will lessen the need for per-facility </w:t>
      </w:r>
      <w:r w:rsidR="00C52C71" w:rsidRPr="003F24D0">
        <w:t>storage and</w:t>
      </w:r>
      <w:r w:rsidRPr="003F24D0">
        <w:t xml:space="preserve"> allow for more efficient use of common grid interconnection capacity. The use of advanced forecasting techniques such </w:t>
      </w:r>
      <w:r w:rsidRPr="003F24D0">
        <w:lastRenderedPageBreak/>
        <w:t>as ensemble numerical weather prediction and cloud tracking using satellites has further enhanced the predictability of weather events, with machine learning post-processing reducing the MAPE by up to 15-25</w:t>
      </w:r>
      <w:r w:rsidR="00C52C71">
        <w:t>%</w:t>
      </w:r>
      <w:r w:rsidR="00820A59">
        <w:fldChar w:fldCharType="begin"/>
      </w:r>
      <w:r w:rsidR="00820A59">
        <w:instrText xml:space="preserve"> ADDIN ZOTERO_ITEM CSL_CITATION {"citationID":"0CGGN4om","properties":{"unsorted":false,"formattedCitation":"[157]","plainCitation":"[157]","noteIndex":0},"citationItems":[{"id":217,"uris":["http://zotero.org/users/9870935/items/MST8XCTD"],"itemData":{"id":217,"type":"article-journal","container-title":"IEEE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820A59">
        <w:fldChar w:fldCharType="separate"/>
      </w:r>
      <w:r w:rsidR="00820A59" w:rsidRPr="00820A59">
        <w:t>[157]</w:t>
      </w:r>
      <w:r w:rsidR="00820A59">
        <w:fldChar w:fldCharType="end"/>
      </w:r>
      <w:r w:rsidRPr="003F24D0">
        <w:t>.</w:t>
      </w:r>
    </w:p>
    <w:p w14:paraId="0EA61E38" w14:textId="77777777" w:rsidR="003F24D0" w:rsidRPr="00820A59" w:rsidRDefault="003F24D0" w:rsidP="00820A59">
      <w:pPr>
        <w:pStyle w:val="Heading20"/>
        <w:jc w:val="both"/>
        <w:rPr>
          <w:color w:val="auto"/>
        </w:rPr>
      </w:pPr>
      <w:r w:rsidRPr="00820A59">
        <w:rPr>
          <w:color w:val="auto"/>
        </w:rPr>
        <w:t>9.2 Grid Stability and Frequency Control</w:t>
      </w:r>
    </w:p>
    <w:p w14:paraId="15E21234" w14:textId="351C3683" w:rsidR="003F24D0" w:rsidRPr="003F24D0" w:rsidRDefault="003F24D0" w:rsidP="001A7127">
      <w:pPr>
        <w:spacing w:after="120"/>
        <w:ind w:firstLine="480"/>
      </w:pPr>
      <w:r w:rsidRPr="003F24D0">
        <w:t>Synchronous generators are being replaced by inverter-based resources, which diminishes the natural inertia that helps regulate grid frequency when disturbances happen, making it more difficult to keep the frequency within acceptable limits. With high levels of renewable generation (above 50</w:t>
      </w:r>
      <w:r w:rsidR="001A7127">
        <w:t>%</w:t>
      </w:r>
      <w:r w:rsidRPr="003F24D0">
        <w:t xml:space="preserve">) the rate of change of frequency (RoCoF)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w:t>
      </w:r>
      <w:r w:rsidR="00CB0BDB" w:rsidRPr="003F24D0">
        <w:t>using</w:t>
      </w:r>
      <w:r w:rsidRPr="003F24D0">
        <w:t xml:space="preserve"> control algorithms which replicate the inertial reaction of a synchronous machine</w:t>
      </w:r>
      <w:r w:rsidR="00CB0BDB">
        <w:fldChar w:fldCharType="begin"/>
      </w:r>
      <w:r w:rsidR="00CB0BDB">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00CB0BDB">
        <w:fldChar w:fldCharType="separate"/>
      </w:r>
      <w:r w:rsidR="00CB0BDB" w:rsidRPr="001A7127">
        <w:t>[18]</w:t>
      </w:r>
      <w:r w:rsidR="00CB0BDB">
        <w:fldChar w:fldCharType="end"/>
      </w:r>
      <w:r w:rsidRPr="003F24D0">
        <w:t>.</w:t>
      </w:r>
    </w:p>
    <w:p w14:paraId="1CE10FC9" w14:textId="0C7C844F" w:rsidR="003F24D0" w:rsidRPr="003F24D0" w:rsidRDefault="003F24D0" w:rsidP="004211F1">
      <w:pPr>
        <w:spacing w:after="120"/>
        <w:ind w:firstLine="480"/>
      </w:pPr>
      <w:r w:rsidRPr="003F24D0">
        <w:t xml:space="preserve">Weak grid conditions, where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deployment of grid-forming inverters, synchronous condensers (rotating masses without generation capacity) that provide inertia and reactive power support, STATCOM devices for dynamic voltage regulation, and fast frequency response of battery systems that can inject or absorb power in sub-second time </w:t>
      </w:r>
      <w:r w:rsidR="00080FE2">
        <w:fldChar w:fldCharType="begin"/>
      </w:r>
      <w:r w:rsidR="00080FE2">
        <w:instrText xml:space="preserve"> ADDIN ZOTERO_ITEM CSL_CITATION {"citationID":"MGfld3cH","properties":{"unsorted":false,"formattedCitation":"[158]","plainCitation":"[158]","noteIndex":0},"citationItems":[{"id":1100,"uris":["http://zotero.org/users/9870935/items/E7VUD4ZH"],"itemData":{"id":1100,"type":"article-journal","abstract":"Abstract\n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00080FE2">
        <w:fldChar w:fldCharType="separate"/>
      </w:r>
      <w:r w:rsidR="00080FE2" w:rsidRPr="004211F1">
        <w:t>[158]</w:t>
      </w:r>
      <w:r w:rsidR="00080FE2">
        <w:fldChar w:fldCharType="end"/>
      </w:r>
      <w:r w:rsidRPr="003F24D0">
        <w:t>.</w:t>
      </w:r>
    </w:p>
    <w:p w14:paraId="01276305" w14:textId="3F9DF331" w:rsidR="003F24D0" w:rsidRPr="00CD0542" w:rsidRDefault="00CD0542" w:rsidP="00CD0542">
      <w:pPr>
        <w:pStyle w:val="Heading20"/>
        <w:jc w:val="both"/>
        <w:rPr>
          <w:color w:val="auto"/>
        </w:rPr>
      </w:pPr>
      <w:r>
        <w:rPr>
          <w:color w:val="auto"/>
        </w:rPr>
        <w:t xml:space="preserve">9.3 </w:t>
      </w:r>
      <w:r w:rsidR="003F24D0" w:rsidRPr="00CD0542">
        <w:rPr>
          <w:color w:val="auto"/>
        </w:rPr>
        <w:t>Power quality and Harmonic Distortion</w:t>
      </w:r>
    </w:p>
    <w:p w14:paraId="5F0E77DA" w14:textId="598A12F2" w:rsidR="003F24D0" w:rsidRPr="003F24D0" w:rsidRDefault="003F24D0" w:rsidP="00C901E2">
      <w:pPr>
        <w:spacing w:after="120"/>
        <w:ind w:firstLine="480"/>
      </w:pPr>
      <w:r w:rsidRPr="003F24D0">
        <w:t>Data center loads contribute harmonics in several ways: SMPSs consume non-sinusoidal current that includes harmonics of the third, fifth and seventh order;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w:t>
      </w:r>
      <w:r w:rsidR="00C901E2">
        <w:t xml:space="preserve">% </w:t>
      </w:r>
      <w:r w:rsidRPr="003F24D0">
        <w:t>at the POC, especially when the load is light and the harmonic currents are significant portions of the total current</w:t>
      </w:r>
      <w:r w:rsidR="00C901E2">
        <w:fldChar w:fldCharType="begin"/>
      </w:r>
      <w:r w:rsidR="00C901E2">
        <w:instrText xml:space="preserve"> ADDIN ZOTERO_ITEM CSL_CITATION {"citationID":"UtPmplxF","properties":{"unsorted":false,"formattedCitation":"[54]","plainCitation":"[54]","noteIndex":0},"citationItems":[{"id":1993,"uris":["http://zotero.org/users/9870935/items/2D54TKGT"],"itemData":{"id":1993,"type":"paper-conference","container-title":"2024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C901E2">
        <w:fldChar w:fldCharType="separate"/>
      </w:r>
      <w:r w:rsidR="00C901E2" w:rsidRPr="00C901E2">
        <w:t>[54]</w:t>
      </w:r>
      <w:r w:rsidR="00C901E2">
        <w:fldChar w:fldCharType="end"/>
      </w:r>
      <w:r w:rsidRPr="003F24D0">
        <w:t>.</w:t>
      </w:r>
    </w:p>
    <w:p w14:paraId="4918D983" w14:textId="5A754CE0" w:rsidR="003F24D0" w:rsidRPr="003F24D0" w:rsidRDefault="003F24D0" w:rsidP="00217ECC">
      <w:pPr>
        <w:spacing w:after="120"/>
        <w:ind w:firstLine="480"/>
      </w:pPr>
      <w:r w:rsidRPr="003F24D0">
        <w:t>Active power filters (APFs) continuously monitor harmonic currents and feed the compensating currents into the system, resulting in a reduction of THD down to less than 3</w:t>
      </w:r>
      <w:r w:rsidR="000F592A">
        <w:t>%</w:t>
      </w:r>
      <w:r w:rsidRPr="003F24D0">
        <w:t xml:space="preserve">; Multi-pulse rectifiers (12-pulse, 18-pulse or 24-pulse) are a natural solution for cancellation of low-order harmonics through phase-shifting transformer configurations; Passive LC filters tuned to the harmonic frequencies are other solutions which are available. In the case of renewable powered data centers, a combination of inverter harmonics and load harmonics requires system-level analysis </w:t>
      </w:r>
      <w:r w:rsidR="000F592A" w:rsidRPr="003F24D0">
        <w:t>using</w:t>
      </w:r>
      <w:r w:rsidRPr="003F24D0">
        <w:t xml:space="preserve"> harmonic impedance scanning and frequency domain simulation to determine the resonance conditions that may amplify harmonics of interest</w:t>
      </w:r>
      <w:r w:rsidR="00217ECC">
        <w:fldChar w:fldCharType="begin"/>
      </w:r>
      <w:r w:rsidR="00217ECC">
        <w:instrText xml:space="preserve"> ADDIN ZOTERO_ITEM CSL_CITATION {"citationID":"NFe4OOQX","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217ECC">
        <w:fldChar w:fldCharType="separate"/>
      </w:r>
      <w:r w:rsidR="00217ECC" w:rsidRPr="00217ECC">
        <w:t>[127]</w:t>
      </w:r>
      <w:r w:rsidR="00217ECC">
        <w:fldChar w:fldCharType="end"/>
      </w:r>
      <w:r w:rsidRPr="003F24D0">
        <w:t>.</w:t>
      </w:r>
    </w:p>
    <w:p w14:paraId="595D4A6F" w14:textId="77777777" w:rsidR="003F24D0" w:rsidRPr="00FC528D" w:rsidRDefault="003F24D0" w:rsidP="00FC528D">
      <w:pPr>
        <w:pStyle w:val="Heading20"/>
        <w:jc w:val="both"/>
        <w:rPr>
          <w:color w:val="auto"/>
        </w:rPr>
      </w:pPr>
      <w:r w:rsidRPr="00FC528D">
        <w:rPr>
          <w:color w:val="auto"/>
        </w:rPr>
        <w:t>9.4 Grid Interconnection Complexity</w:t>
      </w:r>
    </w:p>
    <w:p w14:paraId="6AFD67FA" w14:textId="6887A32A" w:rsidR="003F24D0" w:rsidRPr="003F24D0" w:rsidRDefault="003F24D0" w:rsidP="009B3EC2">
      <w:pPr>
        <w:spacing w:after="120"/>
        <w:ind w:firstLine="480"/>
      </w:pPr>
      <w:r w:rsidRPr="003F24D0">
        <w:lastRenderedPageBreak/>
        <w:t>Grid interconnection is still one of the biggest hurdles to the deployment of renewable energy at the scale of data centers. Interconnection queues have increased significantly in crowded grid areas; for example, the interconnection queue at CAISO has grown to over 2,000 projects representing more than 1,000 GW of proposed capacity, and the interconnection queue at PJM has grown to more than 3,000 projects. The general interconnection timeline is 2 to 4 years and involves feasibility study (3 to 6 months), system impact study (6 to 12 months), facilities study (6 to 12 months), and construction (12 to 24 months). Project costs may vary from $50,000 for simple distribution level interconnections to $500,000 or more for projects involving distribution or transmission level grid upgrades</w:t>
      </w:r>
      <w:r w:rsidR="009B3EC2">
        <w:fldChar w:fldCharType="begin"/>
      </w:r>
      <w:r w:rsidR="009B3EC2">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9B3EC2">
        <w:fldChar w:fldCharType="separate"/>
      </w:r>
      <w:r w:rsidR="009B3EC2" w:rsidRPr="009B3EC2">
        <w:t>[24]</w:t>
      </w:r>
      <w:r w:rsidR="009B3EC2">
        <w:fldChar w:fldCharType="end"/>
      </w:r>
      <w:r w:rsidRPr="003F24D0">
        <w:t>.</w:t>
      </w:r>
    </w:p>
    <w:p w14:paraId="168AD1FE" w14:textId="21DCD9AB" w:rsidR="003F24D0" w:rsidRPr="003F24D0" w:rsidRDefault="003F24D0" w:rsidP="002A05B5">
      <w:pPr>
        <w:spacing w:after="120"/>
        <w:ind w:firstLine="480"/>
      </w:pPr>
      <w:r w:rsidRPr="003F24D0">
        <w:t>FERC Order 2023, issued in July 2023, is designed to resolve interconnection delays in several ways, including: setting a uniform timeframe for the completion of studies (180 days for cluster studies); identifying pre-certified equipment categories that would be exempt from detailed individual studies; and making changes to how the costs of upgrades are shared, moving shared upgrade costs to the requesting parties</w:t>
      </w:r>
      <w:r w:rsidR="00AB6923">
        <w:fldChar w:fldCharType="begin"/>
      </w:r>
      <w:r w:rsidR="00831A6A">
        <w:instrText xml:space="preserve"> ADDIN ZOTERO_ITEM CSL_CITATION {"citationID":"kbAiY4Ky","properties":{"unsorted":false,"formattedCitation":"[159]","plainCitation":"[159]","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AB6923">
        <w:fldChar w:fldCharType="separate"/>
      </w:r>
      <w:r w:rsidR="00AB6923" w:rsidRPr="00AB6923">
        <w:t>[159]</w:t>
      </w:r>
      <w:r w:rsidR="00AB6923">
        <w:fldChar w:fldCharType="end"/>
      </w:r>
      <w:r w:rsidRPr="003F24D0">
        <w:t>. IEEE 1547-2018 provides technical requirements for interconnection of distributed energy resources (DERs), such as anti-islanding protection, voltage and frequency ride-through, and power quality limits, while IEEE 2800-2022 specifies the performance requirements for larger inverter-based distributed energy resources (IBDERs) at transmission voltage levels</w:t>
      </w:r>
      <w:r w:rsidR="002A05B5">
        <w:fldChar w:fldCharType="begin"/>
      </w:r>
      <w:r w:rsidR="002A05B5">
        <w:instrText xml:space="preserve"> ADDIN ZOTERO_ITEM CSL_CITATION {"citationID":"aTXS1liU","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2A05B5">
        <w:fldChar w:fldCharType="separate"/>
      </w:r>
      <w:r w:rsidR="002A05B5" w:rsidRPr="002A05B5">
        <w:t>[53]</w:t>
      </w:r>
      <w:r w:rsidR="002A05B5">
        <w:fldChar w:fldCharType="end"/>
      </w:r>
      <w:r w:rsidRPr="003F24D0">
        <w:t>.</w:t>
      </w:r>
    </w:p>
    <w:p w14:paraId="44F4C726" w14:textId="586735EB" w:rsidR="00EF1B88" w:rsidRPr="00FC528D" w:rsidRDefault="00EF1B88" w:rsidP="00EF1B88">
      <w:pPr>
        <w:pStyle w:val="Heading20"/>
        <w:jc w:val="both"/>
        <w:rPr>
          <w:color w:val="auto"/>
        </w:rPr>
      </w:pPr>
      <w:r w:rsidRPr="00FC528D">
        <w:rPr>
          <w:color w:val="auto"/>
        </w:rPr>
        <w:t>9.</w:t>
      </w:r>
      <w:r>
        <w:rPr>
          <w:color w:val="auto"/>
        </w:rPr>
        <w:t>5</w:t>
      </w:r>
      <w:r w:rsidRPr="00FC528D">
        <w:rPr>
          <w:color w:val="auto"/>
        </w:rPr>
        <w:t xml:space="preserve"> </w:t>
      </w:r>
      <w:r>
        <w:rPr>
          <w:color w:val="auto"/>
        </w:rPr>
        <w:t>Demand-side Management and AI Workload Flexibility</w:t>
      </w:r>
    </w:p>
    <w:p w14:paraId="235ECCDB" w14:textId="1B5292A9" w:rsidR="003F24D0" w:rsidRPr="003F24D0" w:rsidRDefault="003F24D0" w:rsidP="00EB7271">
      <w:pPr>
        <w:spacing w:after="120"/>
        <w:ind w:firstLine="480"/>
      </w:pPr>
      <w:r w:rsidRPr="003F24D0">
        <w:t>AI workload flexibility is a distinct and growing demand-side resource, and it can have the potential to substantially decrease the cost and complexity of integrating renewable energy. Training workloads (often hours to weeks to complete, not latency-sensitive) can be deferred to times of low latency demand and high renewable generation</w:t>
      </w:r>
      <w:r w:rsidR="00EB7271">
        <w:fldChar w:fldCharType="begin"/>
      </w:r>
      <w:r w:rsidR="00EB7271">
        <w:instrText xml:space="preserve"> ADDIN ZOTERO_ITEM CSL_CITATION {"citationID":"SNAvsnwi","properties":{"unsorted":false,"formattedCitation":"[145]","plainCitation":"[145]","noteIndex":0},"citationItems":[{"id":2126,"uris":["http://zotero.org/users/9870935/items/5SGD5DQK"],"itemData":{"id":2126,"type":"paper-conference","container-title":"ICC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EB7271">
        <w:fldChar w:fldCharType="separate"/>
      </w:r>
      <w:r w:rsidR="00EB7271" w:rsidRPr="00EB7271">
        <w:t>[145]</w:t>
      </w:r>
      <w:r w:rsidR="00EB7271">
        <w:fldChar w:fldCharType="end"/>
      </w:r>
      <w:r w:rsidRPr="003F24D0">
        <w:t>. Deferral windows of hours to days make batch processing workloads such as data preprocessing, model validation, and analytics even more flexible. Time-shift can be used for inference workloads that do not need to have a high latency requirement, like batch image inference or non-interactive recommendations, within SLA.</w:t>
      </w:r>
    </w:p>
    <w:p w14:paraId="452D7B57" w14:textId="403E9CF8" w:rsidR="00EC0439" w:rsidRPr="003F24D0" w:rsidRDefault="003F24D0" w:rsidP="00F9340C">
      <w:pPr>
        <w:spacing w:after="120"/>
        <w:ind w:firstLine="480"/>
      </w:pPr>
      <w:r w:rsidRPr="003F24D0">
        <w:t>Energy cost reduction of 10</w:t>
      </w:r>
      <w:r w:rsidR="00044C5D">
        <w:t>-</w:t>
      </w:r>
      <w:r w:rsidRPr="003F24D0">
        <w:t>20</w:t>
      </w:r>
      <w:r w:rsidR="00044C5D">
        <w:t>%</w:t>
      </w:r>
      <w:r w:rsidRPr="003F24D0">
        <w:t xml:space="preserve"> through time-of-use rate optimization and carbon reduction of 5</w:t>
      </w:r>
      <w:r w:rsidR="00044C5D">
        <w:t>-</w:t>
      </w:r>
      <w:r w:rsidRPr="003F24D0">
        <w:t xml:space="preserve"> 15</w:t>
      </w:r>
      <w:r w:rsidR="00044C5D">
        <w:t xml:space="preserve">% </w:t>
      </w:r>
      <w:r w:rsidRPr="003F24D0">
        <w:t>through increased use of on-site renewable generation are indicated by quantified benefits from industry deployments and simulation studies</w:t>
      </w:r>
      <w:r w:rsidR="00F9340C">
        <w:fldChar w:fldCharType="begin"/>
      </w:r>
      <w:r w:rsidR="00F9340C">
        <w:instrText xml:space="preserve"> ADDIN ZOTERO_ITEM CSL_CITATION {"citationID":"0JMNKF3g","properties":{"unsorted":false,"formattedCitation":"[160]","plainCitation":"[160]","noteIndex":0},"citationItems":[{"id":79,"uris":["http://zotero.org/users/9870935/items/FT42XEM5"],"itemData":{"id":79,"type":"article-journal","container-title":"IEEE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9340C">
        <w:fldChar w:fldCharType="separate"/>
      </w:r>
      <w:r w:rsidR="00F9340C" w:rsidRPr="00F9340C">
        <w:t>[160]</w:t>
      </w:r>
      <w:r w:rsidR="00F9340C">
        <w:fldChar w:fldCharType="end"/>
      </w:r>
      <w:r w:rsidRPr="003F24D0">
        <w:t xml:space="preserve">. It requires integration between the workload scheduler (usually Kubernetes-based) and the energy management system, and the renewable availability API delivers </w:t>
      </w:r>
      <w:r w:rsidR="00C45362" w:rsidRPr="003F24D0">
        <w:t>24-to-48-hour</w:t>
      </w:r>
      <w:r w:rsidRPr="003F24D0">
        <w:t xml:space="preserve"> forecasts of renewable generation as a portion of total load </w:t>
      </w:r>
      <w:r w:rsidR="00C45362">
        <w:fldChar w:fldCharType="begin"/>
      </w:r>
      <w:r w:rsidR="007711F0">
        <w:instrText xml:space="preserve"> ADDIN ZOTERO_ITEM CSL_CITATION {"citationID":"LieaEasU","properties":{"unsorted":false,"formattedCitation":"[145]","plainCitation":"[145]","noteIndex":0},"citationItems":[{"id":2126,"uris":["http://zotero.org/users/9870935/items/5SGD5DQK"],"itemData":{"id":2126,"type":"paper-conference","container-title":"ICC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C45362">
        <w:fldChar w:fldCharType="separate"/>
      </w:r>
      <w:r w:rsidR="00C45362" w:rsidRPr="00EB7271">
        <w:t>[145]</w:t>
      </w:r>
      <w:r w:rsidR="00C45362">
        <w:fldChar w:fldCharType="end"/>
      </w:r>
      <w:r w:rsidRPr="003F24D0">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72E7A6BC" w14:textId="77777777" w:rsidR="00BD4B33" w:rsidRPr="00BD4B33" w:rsidRDefault="00BD4B33" w:rsidP="00BD4B33">
      <w:pPr>
        <w:pStyle w:val="Heading20"/>
        <w:jc w:val="both"/>
        <w:rPr>
          <w:color w:val="auto"/>
        </w:rPr>
      </w:pPr>
      <w:r w:rsidRPr="00BD4B33">
        <w:rPr>
          <w:color w:val="auto"/>
        </w:rPr>
        <w:t>9.6 Energy Storage Control and Battery Management</w:t>
      </w:r>
    </w:p>
    <w:p w14:paraId="3BF4630C" w14:textId="55EAA401" w:rsidR="00BD4B33" w:rsidRPr="00BD4B33" w:rsidRDefault="00BD4B33" w:rsidP="00655A07">
      <w:pPr>
        <w:spacing w:after="120"/>
        <w:ind w:firstLine="480"/>
      </w:pPr>
      <w:r w:rsidRPr="00BD4B33">
        <w:t xml:space="preserve">There are several criteria for optimal battery dispatch: most renewables usage, least energy cost, longest battery life, and sufficient reserve for emergency backup. The state of </w:t>
      </w:r>
      <w:r w:rsidRPr="00BD4B33">
        <w:lastRenderedPageBreak/>
        <w:t>charge (SOC) setpoint optimization defines the charging and discharging timing according to current state and future forecasting, where the most advanced approach is model-predictive control (MPC)</w:t>
      </w:r>
      <w:r w:rsidR="007711F0">
        <w:fldChar w:fldCharType="begin"/>
      </w:r>
      <w:r w:rsidR="007711F0">
        <w:instrText xml:space="preserve"> ADDIN ZOTERO_ITEM CSL_CITATION {"citationID":"qyaUl6tX","properties":{"unsorted":false,"formattedCitation":"[115]","plainCitation":"[115]","noteIndex":0},"citationItems":[{"id":2086,"uris":["http://zotero.org/users/9870935/items/PSX5T5NE"],"itemData":{"id":2086,"type":"article-journal","abstract":"Renewable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007711F0">
        <w:fldChar w:fldCharType="separate"/>
      </w:r>
      <w:r w:rsidR="007711F0" w:rsidRPr="007711F0">
        <w:t>[115]</w:t>
      </w:r>
      <w:r w:rsidR="007711F0">
        <w:fldChar w:fldCharType="end"/>
      </w:r>
      <w:r w:rsidRPr="00BD4B33">
        <w:t>. The economic factor of battery ageing: deep cycling (depth of discharge above 80</w:t>
      </w:r>
      <w:r w:rsidR="00F03B21">
        <w:t>%</w:t>
      </w:r>
      <w:r w:rsidRPr="00BD4B33">
        <w:t>) decreases battery life, while shallow cycling increases battery life, but at the cost of reduced energy capacity for renewable time-shift. Studies have shown that maximum depth of discharge of 50</w:t>
      </w:r>
      <w:r w:rsidR="00F03B21">
        <w:t xml:space="preserve">% </w:t>
      </w:r>
      <w:r w:rsidRPr="00BD4B33">
        <w:t>can nearly double cycle life, indicating that appropriately oversizing battery systems may provide better lifetime economics, albeit at higher initial capital cost</w:t>
      </w:r>
      <w:r w:rsidR="00655A07">
        <w:fldChar w:fldCharType="begin"/>
      </w:r>
      <w:r w:rsidR="00655A07">
        <w:instrText xml:space="preserve"> ADDIN ZOTERO_ITEM CSL_CITATION {"citationID":"QHLWj7wZ","properties":{"unsorted":false,"formattedCitation":"[104]","plainCitation":"[104]","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00655A07">
        <w:fldChar w:fldCharType="separate"/>
      </w:r>
      <w:r w:rsidR="00655A07" w:rsidRPr="00655A07">
        <w:t>[104]</w:t>
      </w:r>
      <w:r w:rsidR="00655A07">
        <w:fldChar w:fldCharType="end"/>
      </w:r>
      <w:r w:rsidRPr="00BD4B33">
        <w:t>.</w:t>
      </w:r>
    </w:p>
    <w:p w14:paraId="29889ACD" w14:textId="4FFED306" w:rsidR="00BD4B33" w:rsidRPr="00BD4B33" w:rsidRDefault="00BD4B33" w:rsidP="00F30DD8">
      <w:pPr>
        <w:spacing w:after="120"/>
        <w:ind w:firstLine="480"/>
      </w:pPr>
      <w:r w:rsidRPr="00BD4B33">
        <w:t>Dual-use battery strategies can enhance financial return on battery investment by enabling both renewable integration and grid services (frequency regulation, capacity markets, ancillary services). The estimated revenue from a 100 MW data center with 10 MW of available battery capacity for frequency regulation is approximately $3 million per year at PJM market rates of about $75 per MW per hour for 4,000 hours per year</w:t>
      </w:r>
      <w:r w:rsidR="00831A6A">
        <w:fldChar w:fldCharType="begin"/>
      </w:r>
      <w:r w:rsidR="00831A6A">
        <w:instrText xml:space="preserve"> ADDIN ZOTERO_ITEM CSL_CITATION {"citationID":"4jwvGc6g","properties":{"unsorted":false,"formattedCitation":"[161]","plainCitation":"[161]","noteIndex":0},"citationItems":[{"id":2147,"uris":["http://zotero.org/users/9870935/items/CEYBWQ95"],"itemData":{"id":2147,"type":"article-journal","container-title":"Energy","DOI":"10.1016/j.energy.2020.117285","ISSN":"03605442","journalAbbreviation":"Energy","language":"en","page":"117285","source":"DOI.org (Crossref)","title":"Optimization of sizing and frequency control in battery/supercapacitor hybrid energy storage system for fuel cell ship","volume":"197","author":[{"family":"Chen","given":"Hui"},{"family":"Zhang","given":"Zehui"},{"family":"Guan","given":"Cong"},{"family":"Gao","given":"Haibo"}],"issued":{"date-parts":[["2020",4]]}}}],"schema":"https://github.com/citation-style-language/schema/raw/master/csl-citation.json"} </w:instrText>
      </w:r>
      <w:r w:rsidR="00831A6A">
        <w:fldChar w:fldCharType="separate"/>
      </w:r>
      <w:r w:rsidR="00831A6A" w:rsidRPr="00831A6A">
        <w:t>[161]</w:t>
      </w:r>
      <w:r w:rsidR="00831A6A">
        <w:fldChar w:fldCharType="end"/>
      </w:r>
      <w:r w:rsidRPr="00BD4B33">
        <w:t>. Remaining useful life (RUL) prediction and scheduling of maintenance tasks can be achieved by state-of-health (SOH) monitoring with machine-learning approaches trained on cycling data, which helps to minimize the likelihood of unexpected capacity degradation</w:t>
      </w:r>
      <w:r w:rsidR="00F30DD8">
        <w:fldChar w:fldCharType="begin"/>
      </w:r>
      <w:r w:rsidR="00F30DD8">
        <w:instrText xml:space="preserve"> ADDIN ZOTERO_ITEM CSL_CITATION {"citationID":"qxkXnTwN","properties":{"unsorted":false,"formattedCitation":"[162]","plainCitation":"[162]","noteIndex":0},"citationItems":[{"id":2149,"uris":["http://zotero.org/users/9870935/items/9CUAPP72"],"itemData":{"id":2149,"type":"article-journal","abstract":"Abstract\n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30DD8">
        <w:fldChar w:fldCharType="separate"/>
      </w:r>
      <w:r w:rsidR="00F30DD8" w:rsidRPr="00F30DD8">
        <w:t>[162]</w:t>
      </w:r>
      <w:r w:rsidR="00F30DD8">
        <w:fldChar w:fldCharType="end"/>
      </w:r>
      <w:r w:rsidRPr="00BD4B33">
        <w:t>.</w:t>
      </w:r>
    </w:p>
    <w:p w14:paraId="78A78356" w14:textId="77777777" w:rsidR="00BD4B33" w:rsidRPr="00FD5E90" w:rsidRDefault="00BD4B33" w:rsidP="00FD5E90">
      <w:pPr>
        <w:pStyle w:val="Heading20"/>
        <w:jc w:val="both"/>
        <w:rPr>
          <w:color w:val="auto"/>
        </w:rPr>
      </w:pPr>
      <w:r w:rsidRPr="00FD5E90">
        <w:rPr>
          <w:color w:val="auto"/>
        </w:rPr>
        <w:t>9.7 Hydrogen and Fuel Cell Challenges</w:t>
      </w:r>
    </w:p>
    <w:p w14:paraId="4D66646A" w14:textId="2D87AEF0" w:rsidR="00BD4B33" w:rsidRPr="00BD4B33" w:rsidRDefault="00BD4B33" w:rsidP="005A2E15">
      <w:pPr>
        <w:spacing w:after="120"/>
        <w:ind w:firstLine="480"/>
      </w:pPr>
      <w:r w:rsidRPr="00BD4B33">
        <w:t>Hydrogen fuel cells have the theoretical potential to deliver long-duration back-up power (48+ hours proven), and produce zero direct emissions, but are still costly, inefficient and lacking in infrastructure. Microsoft's 3 MW demo project at their data center proved the technical viability, but also pointed to the cost problem: Fuel cell electricity is currently costing $150 to $250/</w:t>
      </w:r>
      <w:r w:rsidR="005A2E15">
        <w:t>M</w:t>
      </w:r>
      <w:r w:rsidRPr="00BD4B33">
        <w:t>Wh, compared to grid electricity or battery storage which cost $50 to $80/MWh at the same time</w:t>
      </w:r>
      <w:r w:rsidR="007803A3">
        <w:fldChar w:fldCharType="begin"/>
      </w:r>
      <w:r w:rsidR="007803A3">
        <w:instrText xml:space="preserve"> ADDIN ZOTERO_ITEM CSL_CITATION {"citationID":"ONo7xelO","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803A3">
        <w:fldChar w:fldCharType="separate"/>
      </w:r>
      <w:r w:rsidR="007803A3" w:rsidRPr="007803A3">
        <w:t>[155]</w:t>
      </w:r>
      <w:r w:rsidR="007803A3">
        <w:fldChar w:fldCharType="end"/>
      </w:r>
      <w:r w:rsidRPr="00BD4B33">
        <w:t>. The CAPEX of the electrolyzer, which ranges from $1,000-$2,000/kW, is another constraint for on-site GH production, and is decreasing as the size of the plants increases</w:t>
      </w:r>
      <w:r w:rsidR="005A2E15">
        <w:fldChar w:fldCharType="begin"/>
      </w:r>
      <w:r w:rsidR="005A2E15">
        <w:instrText xml:space="preserve"> ADDIN ZOTERO_ITEM CSL_CITATION {"citationID":"EK3ZfdLP","properties":{"unsorted":false,"formattedCitation":"[107]","plainCitation":"[107]","noteIndex":0},"citationItems":[{"id":2076,"uris":["http://zotero.org/users/9870935/items/WSZ9BQJG"],"itemData":{"id":2076,"type":"article-journal","abstract":"Abstract\n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5A2E15">
        <w:fldChar w:fldCharType="separate"/>
      </w:r>
      <w:r w:rsidR="005A2E15" w:rsidRPr="005A2E15">
        <w:t>[107]</w:t>
      </w:r>
      <w:r w:rsidR="005A2E15">
        <w:fldChar w:fldCharType="end"/>
      </w:r>
      <w:r w:rsidRPr="00BD4B33">
        <w:t>.</w:t>
      </w:r>
    </w:p>
    <w:p w14:paraId="6C271F2E" w14:textId="612775A2" w:rsidR="00BD4B33" w:rsidRPr="00BD4B33" w:rsidRDefault="00BD4B33" w:rsidP="00651340">
      <w:pPr>
        <w:spacing w:after="120"/>
        <w:ind w:firstLine="480"/>
      </w:pPr>
      <w:r w:rsidRPr="00BD4B33">
        <w:t>Greater fuel cell efficiency occurs at full load (55 to 60</w:t>
      </w:r>
      <w:r w:rsidR="00CA4C67">
        <w:t>%</w:t>
      </w:r>
      <w:r w:rsidRPr="00BD4B33">
        <w:t>) versus partial load (40 to 50</w:t>
      </w:r>
      <w:r w:rsidR="00CA4C67">
        <w:t>%</w:t>
      </w:r>
      <w:r w:rsidRPr="00BD4B33">
        <w:t>), resulting in an operational compromise between backup duration and efficiency</w:t>
      </w:r>
      <w:r w:rsidR="00CA4C67">
        <w:fldChar w:fldCharType="begin"/>
      </w:r>
      <w:r w:rsidR="00CA4C67">
        <w:instrText xml:space="preserve"> ADDIN ZOTERO_ITEM CSL_CITATION {"citationID":"TVLyO4rw","properties":{"unsorted":false,"formattedCitation":"[154]","plainCitation":"[154]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CA4C67">
        <w:fldChar w:fldCharType="separate"/>
      </w:r>
      <w:r w:rsidR="00CA4C67" w:rsidRPr="00CA4C67">
        <w:t>[154]</w:t>
      </w:r>
      <w:r w:rsidR="00CA4C67">
        <w:fldChar w:fldCharType="end"/>
      </w:r>
      <w:r w:rsidRPr="00BD4B33">
        <w:t>. Safety requirements for hydrogen storage, including pressure vessel certification, leak detection, and ventilation systems, add to the complexity and cost of fuel cell installations. The IEA expects the cost of green hydrogen to drop to $2 per kg by 2030 and $1 per kg by 2040 under the best of conditions, putting fuel cells in economic competition with data center backup by the mid-2030s</w:t>
      </w:r>
      <w:r w:rsidR="00651340">
        <w:fldChar w:fldCharType="begin"/>
      </w:r>
      <w:r w:rsidR="00651340">
        <w:instrText xml:space="preserve"> ADDIN ZOTERO_ITEM CSL_CITATION {"citationID":"9bTL2YbA","properties":{"unsorted":false,"formattedCitation":"[49]","plainCitation":"[49]","noteIndex":0},"citationItems":[{"id":1987,"uris":["http://zotero.org/users/9870935/items/2TYM8STM"],"itemData":{"id":1987,"type":"article-journal","abstract":"The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651340">
        <w:fldChar w:fldCharType="separate"/>
      </w:r>
      <w:r w:rsidR="00651340" w:rsidRPr="00651340">
        <w:t>[49]</w:t>
      </w:r>
      <w:r w:rsidR="00651340">
        <w:fldChar w:fldCharType="end"/>
      </w:r>
      <w:r w:rsidRPr="00BD4B33">
        <w:t>.</w:t>
      </w:r>
    </w:p>
    <w:p w14:paraId="33E41E66" w14:textId="77777777" w:rsidR="00BD4B33" w:rsidRPr="00901B3D" w:rsidRDefault="00BD4B33" w:rsidP="00901B3D">
      <w:pPr>
        <w:pStyle w:val="Heading20"/>
        <w:jc w:val="both"/>
        <w:rPr>
          <w:color w:val="auto"/>
        </w:rPr>
      </w:pPr>
      <w:r w:rsidRPr="00901B3D">
        <w:rPr>
          <w:color w:val="auto"/>
        </w:rPr>
        <w:t>9.8 Cooling System Integration</w:t>
      </w:r>
    </w:p>
    <w:p w14:paraId="516EFE1A" w14:textId="3D76F788" w:rsidR="00BD4B33" w:rsidRPr="00BD4B33" w:rsidRDefault="00BD4B33" w:rsidP="00E02F2D">
      <w:pPr>
        <w:spacing w:after="120"/>
        <w:ind w:firstLine="480"/>
      </w:pPr>
      <w:r w:rsidRPr="00BD4B33">
        <w:t>The coupling of cooling systems to renewable energy supply demands synchronized handling of thermal and electric energy flows. Thermal energy storage (TES) can help to defer cooling loads into hours when renewable energy is available in abundance or electricity is cheap, such as at night or during the summer. When power generation is not as high as needed, chillers freeze water into ice; when the renewable power output is less than needed, the ice is melted to provide cooling without chiller operation</w:t>
      </w:r>
      <w:r w:rsidR="00E02F2D">
        <w:fldChar w:fldCharType="begin"/>
      </w:r>
      <w:r w:rsidR="00E02F2D">
        <w:instrText xml:space="preserve"> ADDIN ZOTERO_ITEM CSL_CITATION {"citationID":"9NU2Bjoq","properties":{"unsorted":false,"formattedCitation":"[86]","plainCitation":"[86]","noteIndex":0},"citationItems":[{"id":2046,"uris":["http://zotero.org/users/9870935/items/P4BXZMCV"],"itemData":{"id":2046,"type":"article","abstract":"Data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E02F2D">
        <w:fldChar w:fldCharType="separate"/>
      </w:r>
      <w:r w:rsidR="00E02F2D" w:rsidRPr="00E02F2D">
        <w:t>[86]</w:t>
      </w:r>
      <w:r w:rsidR="00E02F2D">
        <w:fldChar w:fldCharType="end"/>
      </w:r>
      <w:r w:rsidRPr="00BD4B33">
        <w:t xml:space="preserve">. This thermal-electrical coupling provides opportunities for optimization but also introduces complexity into the </w:t>
      </w:r>
      <w:r w:rsidRPr="00BD4B33">
        <w:lastRenderedPageBreak/>
        <w:t>control system, as it must control the electrical dispatch state as well as the thermal storage state simultaneously.</w:t>
      </w:r>
    </w:p>
    <w:p w14:paraId="2A171D7D" w14:textId="0FA19360" w:rsidR="00BD4B33" w:rsidRPr="00BD4B33" w:rsidRDefault="00BD4B33" w:rsidP="00E75DEE">
      <w:pPr>
        <w:spacing w:after="120"/>
        <w:ind w:firstLine="480"/>
      </w:pPr>
      <w:r w:rsidRPr="00BD4B33">
        <w:t>Another way of lowering cooling energy usage is when there are favorable conditions in the ambient environment, which is called free cooling. Free cooling can achieve 3,000 to 6,000 hours of cooling per year in temperate and cold climates, resulting in energy savings of 40 to 70 percent for chillers during this time</w:t>
      </w:r>
      <w:r w:rsidR="00E75DEE">
        <w:fldChar w:fldCharType="begin"/>
      </w:r>
      <w:r w:rsidR="00E75DEE">
        <w:instrText xml:space="preserve"> ADDIN ZOTERO_ITEM CSL_CITATION {"citationID":"H9o0ZQVg","properties":{"unsorted":false,"formattedCitation":"[79]","plainCitation":"[79]","noteIndex":0},"citationItems":[{"id":2036,"uris":["http://zotero.org/users/9870935/items/2KMJ9H69"],"itemData":{"id":2036,"type":"paper-conference","container-title":"2011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E75DEE">
        <w:fldChar w:fldCharType="separate"/>
      </w:r>
      <w:r w:rsidR="00E75DEE" w:rsidRPr="00E75DEE">
        <w:t>[79]</w:t>
      </w:r>
      <w:r w:rsidR="00E75DEE">
        <w:fldChar w:fldCharType="end"/>
      </w:r>
      <w:r w:rsidRPr="00BD4B33">
        <w:t>. When renewable energy is limited and cooling demands energy-intensive, a slight increase in data center inlet temperature from the traditional 20-22 degrees Celsius to 32-35 degrees Celsius can be used in dynamic setpoint management to save 15 to 25</w:t>
      </w:r>
      <w:r w:rsidR="00E75DEE">
        <w:t xml:space="preserve">% </w:t>
      </w:r>
      <w:r w:rsidRPr="00BD4B33">
        <w:t>in cooling energy usage while slightly accelerating component aging</w:t>
      </w:r>
      <w:r w:rsidR="008F410C" w:rsidRPr="003F24D0">
        <w:t xml:space="preserve"> </w:t>
      </w:r>
      <w:r w:rsidR="008F410C">
        <w:fldChar w:fldCharType="begin"/>
      </w:r>
      <w:r w:rsidR="002C5687">
        <w:instrText xml:space="preserve"> ADDIN ZOTERO_ITEM CSL_CITATION {"citationID":"CuNn0HfJ","properties":{"unsorted":false,"formattedCitation":"[145]","plainCitation":"[145]","noteIndex":0},"citationItems":[{"id":2126,"uris":["http://zotero.org/users/9870935/items/5SGD5DQK"],"itemData":{"id":2126,"type":"paper-conference","container-title":"ICC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8F410C">
        <w:fldChar w:fldCharType="separate"/>
      </w:r>
      <w:r w:rsidR="008F410C" w:rsidRPr="00EB7271">
        <w:t>[145]</w:t>
      </w:r>
      <w:r w:rsidR="008F410C">
        <w:fldChar w:fldCharType="end"/>
      </w:r>
      <w:r w:rsidRPr="00BD4B33">
        <w:t>.</w:t>
      </w:r>
    </w:p>
    <w:p w14:paraId="53D3096B" w14:textId="77777777" w:rsidR="00BD4B33" w:rsidRPr="0035074E" w:rsidRDefault="00BD4B33" w:rsidP="0035074E">
      <w:pPr>
        <w:pStyle w:val="Heading20"/>
        <w:jc w:val="both"/>
        <w:rPr>
          <w:color w:val="auto"/>
        </w:rPr>
      </w:pPr>
      <w:r w:rsidRPr="0035074E">
        <w:rPr>
          <w:color w:val="auto"/>
        </w:rPr>
        <w:t>9.9 Cybersecurity and Operational Technology</w:t>
      </w:r>
    </w:p>
    <w:p w14:paraId="621D32DF" w14:textId="0CDD00D5" w:rsidR="00BD4B33" w:rsidRPr="00BD4B33" w:rsidRDefault="00BD4B33" w:rsidP="002C5687">
      <w:pPr>
        <w:spacing w:after="120"/>
        <w:ind w:firstLine="480"/>
      </w:pPr>
      <w:r w:rsidRPr="00BD4B33">
        <w:t>The augmentation of the attack surface area due to integration of renewable energy systems, such as energy management platforms, smart inverters, battery management systems, and renewable monitoring systems, creates cybersecurity challenges that should be taken into account during system design. The possible threats to the system can be false data injection (providing corrupted sensor readings to the EMS), malicious control commands (causing equipment to operate outside safe parameters), and denial of service attacks (disrupting communication between components)</w:t>
      </w:r>
      <w:r w:rsidR="002C5687">
        <w:fldChar w:fldCharType="begin"/>
      </w:r>
      <w:r w:rsidR="002C5687">
        <w:instrText xml:space="preserve"> ADDIN ZOTERO_ITEM CSL_CITATION {"citationID":"oozQ5wwK","properties":{"unsorted":false,"formattedCitation":"[163]","plainCitation":"[163]","noteIndex":0},"citationItems":[{"id":2151,"uris":["http://zotero.org/users/9870935/items/G8D3K3TM"],"itemData":{"id":2151,"type":"article-journal","abstract":"The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002C5687">
        <w:fldChar w:fldCharType="separate"/>
      </w:r>
      <w:r w:rsidR="002C5687" w:rsidRPr="002C5687">
        <w:t>[163]</w:t>
      </w:r>
      <w:r w:rsidR="002C5687">
        <w:fldChar w:fldCharType="end"/>
      </w:r>
      <w:r w:rsidRPr="00BD4B33">
        <w:t>. As the IT and OT networks in the modern-day data center converge, there are opportunities for cyber threats to spread from enterprise systems to critical power infrastructure.</w:t>
      </w:r>
    </w:p>
    <w:p w14:paraId="7456F388" w14:textId="1E3F20FD" w:rsidR="00FC26B6" w:rsidRPr="00BD4B33" w:rsidRDefault="00BD4B33" w:rsidP="00566296">
      <w:pPr>
        <w:spacing w:after="120"/>
        <w:ind w:firstLine="480"/>
      </w:pPr>
      <w:r w:rsidRPr="00BD4B33">
        <w:t>The following principles are followed to support best practices for OT cybersecurity: Air-gapping or VPN-protected control networks, Multi-factor authentication of all operator access, Role-based access control that minimizes the permissions of each user, Encrypted communications with TLS 1.3 or its higher versions, and Redundant communication paths to ensure control capability for disruptions to the network</w:t>
      </w:r>
      <w:r w:rsidR="009C5A33">
        <w:fldChar w:fldCharType="begin"/>
      </w:r>
      <w:r w:rsidR="009C5A33">
        <w:instrText xml:space="preserve"> ADDIN ZOTERO_ITEM CSL_CITATION {"citationID":"Z3L6Q0Rb","properties":{"unsorted":false,"formattedCitation":"[164]","plainCitation":"[164]","noteIndex":0},"citationItems":[{"id":2153,"uris":["http://zotero.org/users/9870935/items/BM962LGX"],"itemData":{"id":2153,"type":"article-journal","abstract":"Power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009C5A33">
        <w:fldChar w:fldCharType="separate"/>
      </w:r>
      <w:r w:rsidR="009C5A33" w:rsidRPr="009C5A33">
        <w:t>[164]</w:t>
      </w:r>
      <w:r w:rsidR="009C5A33">
        <w:fldChar w:fldCharType="end"/>
      </w:r>
      <w:r w:rsidRPr="00BD4B33">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00566296">
        <w:fldChar w:fldCharType="begin"/>
      </w:r>
      <w:r w:rsidR="00566296">
        <w:instrText xml:space="preserve"> ADDIN ZOTERO_ITEM CSL_CITATION {"citationID":"WrmxBe2a","properties":{"unsorted":false,"formattedCitation":"[165]","plainCitation":"[165]","noteIndex":0},"citationItems":[{"id":2154,"uris":["http://zotero.org/users/9870935/items/5WIYJKYR"],"itemData":{"id":2154,"type":"article-journal","abstract":"As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00566296">
        <w:fldChar w:fldCharType="separate"/>
      </w:r>
      <w:r w:rsidR="00566296" w:rsidRPr="00566296">
        <w:t>[165]</w:t>
      </w:r>
      <w:r w:rsidR="00566296">
        <w:fldChar w:fldCharType="end"/>
      </w:r>
      <w:r w:rsidRPr="00BD4B33">
        <w:t>.</w:t>
      </w:r>
    </w:p>
    <w:p w14:paraId="4E1BB130" w14:textId="77777777" w:rsidR="00F17FC4" w:rsidRDefault="00F17FC4" w:rsidP="00F17FC4">
      <w:pPr>
        <w:pStyle w:val="Heading1"/>
        <w:keepNext/>
      </w:pPr>
      <w:bookmarkStart w:id="5" w:name="_Toc100067"/>
      <w:r>
        <w:t>10. Economic Analysis and Financial Viability</w:t>
      </w:r>
      <w:bookmarkEnd w:id="5"/>
    </w:p>
    <w:p w14:paraId="7207FD51" w14:textId="144E99D5" w:rsidR="00FC26B6" w:rsidRDefault="2F2ED697" w:rsidP="5A4BC1A1">
      <w:pPr>
        <w:spacing w:after="120"/>
        <w:ind w:firstLine="480"/>
        <w:rPr>
          <w:color w:val="000000" w:themeColor="text1"/>
          <w:szCs w:val="24"/>
          <w:lang w:val="en-CA"/>
        </w:rPr>
      </w:pPr>
      <w:r w:rsidRPr="5A4BC1A1">
        <w:rPr>
          <w:color w:val="000000" w:themeColor="text1"/>
          <w:szCs w:val="24"/>
          <w:lang w:val="en-CA"/>
        </w:rPr>
        <w:t xml:space="preserve">This </w:t>
      </w:r>
      <w:r w:rsidR="002068F4">
        <w:rPr>
          <w:color w:val="000000" w:themeColor="text1"/>
          <w:szCs w:val="24"/>
          <w:lang w:val="en-CA"/>
        </w:rPr>
        <w:t>section</w:t>
      </w:r>
      <w:r w:rsidRPr="5A4BC1A1">
        <w:rPr>
          <w:color w:val="000000" w:themeColor="text1"/>
          <w:szCs w:val="24"/>
          <w:lang w:val="en-CA"/>
        </w:rPr>
        <w:t xml:space="preserve"> provides a comprehensive economic analysis of renewable-powered AI data centers, examining capital costs, operational expenses, levelized cost of energy, power purchase agreements, tax incentives, and financial modeling approaches. The analysis demonstrates that hybrid renewable systems are approaching or have achieved cost parity with conventional grid-powered operations in many markets.</w:t>
      </w:r>
    </w:p>
    <w:p w14:paraId="78C97F23" w14:textId="585F6D1E" w:rsidR="00EB1FF0" w:rsidRPr="00EB1FF0" w:rsidRDefault="00EB1FF0" w:rsidP="00EB1FF0">
      <w:pPr>
        <w:pStyle w:val="Heading20"/>
        <w:jc w:val="both"/>
        <w:rPr>
          <w:color w:val="auto"/>
        </w:rPr>
      </w:pPr>
      <w:bookmarkStart w:id="6" w:name="_Toc100068"/>
      <w:r w:rsidRPr="00EB1FF0">
        <w:rPr>
          <w:color w:val="auto"/>
        </w:rPr>
        <w:t>10.1 Capital</w:t>
      </w:r>
      <w:r w:rsidR="002E0101">
        <w:rPr>
          <w:color w:val="auto"/>
        </w:rPr>
        <w:t xml:space="preserve"> and Operational</w:t>
      </w:r>
      <w:r w:rsidRPr="00EB1FF0">
        <w:rPr>
          <w:color w:val="auto"/>
        </w:rPr>
        <w:t xml:space="preserve"> Cost Analysis</w:t>
      </w:r>
      <w:bookmarkEnd w:id="6"/>
    </w:p>
    <w:p w14:paraId="00A3142D" w14:textId="4A6391DD" w:rsidR="00FA4627" w:rsidRDefault="00C92131" w:rsidP="00530654">
      <w:pPr>
        <w:spacing w:after="120"/>
        <w:ind w:firstLine="480"/>
        <w:rPr>
          <w:szCs w:val="24"/>
        </w:rPr>
      </w:pPr>
      <w:r w:rsidRPr="00C92131">
        <w:rPr>
          <w:szCs w:val="24"/>
        </w:rPr>
        <w:lastRenderedPageBreak/>
        <w:t>Capital costs of solar PV in a utility-scale installation now range between $0.70 and $1.20 per Watt, while rooftop or carport installations are between 20 and 30</w:t>
      </w:r>
      <w:r>
        <w:rPr>
          <w:szCs w:val="24"/>
        </w:rPr>
        <w:t xml:space="preserve">% </w:t>
      </w:r>
      <w:r w:rsidRPr="00C92131">
        <w:rPr>
          <w:szCs w:val="24"/>
        </w:rPr>
        <w:t>more expensive. The installed cost for onshore wind has fallen to about $1,150-$1,800 per kW for utility-scale projects. Lithium iron phosphate (LFP) chemistries have taken the lead in the utility scale battery energy storage system (BESS) market, resulting in costs as low as about $100 to $150/kWh.</w:t>
      </w:r>
      <w:r w:rsidR="00FA4627">
        <w:rPr>
          <w:szCs w:val="24"/>
        </w:rPr>
        <w:t xml:space="preserve"> </w:t>
      </w:r>
      <w:r w:rsidRPr="00C92131">
        <w:rPr>
          <w:szCs w:val="24"/>
        </w:rPr>
        <w:t xml:space="preserve">The total system CAPEX for a 100% renewable solution with 8 hours of storage is now estimated in the range of 200M$ to 320M$ for a representative 100 MW data center. The costs </w:t>
      </w:r>
      <w:r w:rsidR="002E0101" w:rsidRPr="00C92131">
        <w:rPr>
          <w:szCs w:val="24"/>
        </w:rPr>
        <w:t>increase to</w:t>
      </w:r>
      <w:r w:rsidRPr="00C92131">
        <w:rPr>
          <w:szCs w:val="24"/>
        </w:rPr>
        <w:t xml:space="preserve"> $120-$200 million for a 50</w:t>
      </w:r>
      <w:r w:rsidR="00FA4627">
        <w:rPr>
          <w:szCs w:val="24"/>
        </w:rPr>
        <w:t xml:space="preserve">% </w:t>
      </w:r>
      <w:r w:rsidRPr="00C92131">
        <w:rPr>
          <w:szCs w:val="24"/>
        </w:rPr>
        <w:t xml:space="preserve">renewable, 4-hour storage system. </w:t>
      </w:r>
      <w:r w:rsidR="002E0101">
        <w:rPr>
          <w:szCs w:val="24"/>
        </w:rPr>
        <w:t xml:space="preserve">OPEX </w:t>
      </w:r>
      <w:r w:rsidR="002E0101" w:rsidRPr="00C92131">
        <w:rPr>
          <w:szCs w:val="24"/>
        </w:rPr>
        <w:t>remains</w:t>
      </w:r>
      <w:r w:rsidRPr="00C92131">
        <w:rPr>
          <w:szCs w:val="24"/>
        </w:rPr>
        <w:t xml:space="preserve"> between previous estimates with an operational cost of between 0.5 to 3.5</w:t>
      </w:r>
      <w:r w:rsidR="00FA4627">
        <w:rPr>
          <w:szCs w:val="24"/>
        </w:rPr>
        <w:t>%</w:t>
      </w:r>
      <w:r w:rsidRPr="00C92131">
        <w:rPr>
          <w:szCs w:val="24"/>
        </w:rPr>
        <w:t xml:space="preserve"> of CAPEX – with some benefits depending on areas within the U.S. where the infrastructure investment requirement and resulting capacity price increase owing to demand is </w:t>
      </w:r>
      <w:r w:rsidR="00FA4627" w:rsidRPr="00C92131">
        <w:rPr>
          <w:szCs w:val="24"/>
        </w:rPr>
        <w:t>increasing</w:t>
      </w:r>
      <w:r w:rsidR="00530654">
        <w:rPr>
          <w:szCs w:val="24"/>
        </w:rPr>
        <w:fldChar w:fldCharType="begin"/>
      </w:r>
      <w:r w:rsidR="001A6DB0">
        <w:rPr>
          <w:szCs w:val="24"/>
        </w:rPr>
        <w:instrText xml:space="preserve"> ADDIN ZOTERO_ITEM CSL_CITATION {"citationID":"nQqi61J3","properties":{"unsorted":false,"formattedCitation":"[166], [167], [168], [169], [170]","plainCitation":"[166], [167], [168], [169], [170]","dontUpdate":true,"noteIndex":0},"citationItems":[{"id":2160,"uris":["http://zotero.org/users/9870935/items/VY7NNPNR"],"itemData":{"id":2160,"type":"article-journal","abstract":"Data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stakeholders.","language":"en","source":"Zotero","title":"Utilizing Noncoincident Needs to Site Data Centers with Solar+Storage at Existing Gas Plants","author":[{"family":"Chojkiewicz","given":"Emilia"},{"family":"Manocha","given":"Aneesha"},{"family":"Paliwal","given":"Umed"},{"family":"Callaway","given":"Duncan"},{"family":"Phadke","given":"Amol"}]}},{"id":2161,"uris":["http://zotero.org/users/9870935/items/3UAVUEI5"],"itemData":{"id":2161,"type":"article-journal","abstract":"In 2025, global energy transition investments increased by 8% per annum to USD 2,309 billion or 2% of global gross domestic product. Despite a decrease of investments in solar photovoltaics of 11.5%, the newly installed capacity increased by over 15% to reach almost 700 GWp. Globally, the installed solar photovoltaic capacity exceeded 2.95 TWp at the end of 2025. The number of countries installing 1 GWp/year or more has increased by 8 to 44. In 2025, investments in small-scale photovoltaics exceeded investments for large-scale photovoltaic plants by 28%. Levelised costs of electricity for non-tracking solar photovoltaic systems as well as the levelised cost of battery storage decreased again and reached new lows. Countries in emerging economies with grid stability problems and rapidly rising electricity demand for cooling, mainly to combat heat waves, have shown exceptionally high growth rates in new PV installations. Additional demand for renewable electricity and solar photovoltaics is created by a general trend towards electrification of heating, transport, and industry. Market expectations for 2026 are mixed from a shrinking market to a moderate one-digit growth. Needless to mention, neither market expectations are in line with the market growth needed to achieve an annual market of 2.25 TW\n              p\n              by 2030 nor are they on track to realise a 100% renewable energy scenario by 2050.","container-title":"EPJ Photovoltaics","DOI":"10.1051/epjpv/2026011","ISSN":"2105-0716","journalAbbreviation":"EPJ Photovolt.","license":"https://creativecommons.org/licenses/by/4.0","page":"18","source":"DOI.org (Crossref)","title":"Snapshot of photovoltaics—February 2026","volume":"17","author":[{"family":"Jäger-Waldau","given":"Arnulf"}],"issued":{"date-parts":[["2026"]]}}},{"id":2167,"uris":["http://zotero.org/users/9870935/items/VK9P7UB3"],"itemData":{"id":2167,"type":"article-journal","abstract":"Artificial-intelligence-driven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2169,"uris":["http://zotero.org/users/9870935/items/2ENY6B2S"],"itemData":{"id":2169,"type":"report","abstract":"After two decades of flat demand, electricity use is projected to surge in the United States due primarily to the growth of data centers for artificial intelligence (AI).  The number of data centers anticipated to be built and how much electricity they will need are both highly uncertain. What sources of electricity are used to power them has important implications for energy affordability, grid reliability, climate change, and public health. The Union of Concerned Scientists (UCS) used a power sector capacity expansion model developed by the National Renewable Energy Laboratory to analyze different approaches to meeting data center demand growth under varying policies and assumptions. We found that the United States can meet electricity demand from data centers primarily with clean energy, and at the same time, phase down fossil fuel use. But achieving this outcome will require policy intervention. The cost of meeting data center demand between 2026 and 2050 is approximately $900 billion, representing 18 percent of total US wholesale electricity costs. Clean energy policies reduce air pollution and heat-trapping emissions from using fossil fuels, resulting in billions of dollars in health benefits and trillions of dollars of avoided climate damages that outweigh the cost of transitioning to clean energy. In addition to adopting strong clean energy policies, policymakers and regulators should require utilities and data center developers to be more transparent and accountable and to improve long-term planning for meeting data center demand while protecting other customers from cost increases and negative health impacts.","DOI":"10.47923/2026.16051","language":"en","publisher":"Union of Concerned Scientists","source":"DOI.org (Crossref)","title":"Data Center Power Play: How Clean Energy Can Meet Rising Electricity Demand While Delivering Climate and Health Benefits","title-short":"Data Center Power Play","URL":"https://www.ucs.org/node/16051","author":[{"family":"Clemmer","given":"Steve"},{"family":"Chavez","given":"Maria"},{"family":"Dotson","given":"Samuel"},{"family":"Gignac","given":"James"},{"family":"Sattler","given":"Sandra"},{"family":"Shaver","given":"Lee"}],"accessed":{"date-parts":[["2026",6,6]]},"issued":{"date-parts":[["2026",1,21]]}}},{"id":1829,"uris":["http://zotero.org/users/9870935/items/T2KVG3NT"],"itemData":{"id":1829,"type":"article-journal","abstract":"Today's AI still faces two major challenges. One is that in most industries, data exists in the form of isolated islands. The other is the strengthening of data privacy and security. We propose a possible solution to these challenges: secure federated learning. Beyond the federated learning framework first proposed by Google in 2016, we introduce a comprehensive secure federated learning framework, which includes horizontal federated learning, vertical federated learning and federated transfer learning. We provide definitions, architectures and applications for the federated learning framework, and provide a comprehensive survey of existing works on this subject. In addition, we propose building data networks among organizations based on federated mechanisms as an effective solution to allow knowledge to be shared without compromising user privacy.","DOI":"10.48550/ARXIV.1902.04885","license":"arXiv.org perpetual, non-exclusive license","note":"version: 1","publisher":"arXiv","source":"DOI.org (Datacite)","title":"Federated Machine Learning: Concept and Applications","title-short":"Federated Machine Learning","URL":"https://arxiv.org/abs/1902.04885","author":[{"family":"Yang","given":"Qiang"},{"family":"Liu","given":"Yang"},{"family":"Chen","given":"Tianjian"},{"family":"Tong","given":"Yongxin"}],"accessed":{"date-parts":[["2026",1,12]]},"issued":{"date-parts":[["2019"]]}}}],"schema":"https://github.com/citation-style-language/schema/raw/master/csl-citation.json"} </w:instrText>
      </w:r>
      <w:r w:rsidR="00530654">
        <w:rPr>
          <w:szCs w:val="24"/>
        </w:rPr>
        <w:fldChar w:fldCharType="separate"/>
      </w:r>
      <w:r w:rsidR="00530654" w:rsidRPr="00530654">
        <w:t>[166], [167], [168], [170]</w:t>
      </w:r>
      <w:r w:rsidR="00530654">
        <w:rPr>
          <w:szCs w:val="24"/>
        </w:rPr>
        <w:fldChar w:fldCharType="end"/>
      </w:r>
      <w:r w:rsidR="00FA4627" w:rsidRPr="00C92131">
        <w:rPr>
          <w:szCs w:val="24"/>
        </w:rPr>
        <w:t xml:space="preserve">. </w:t>
      </w:r>
    </w:p>
    <w:p w14:paraId="1273910C" w14:textId="77777777" w:rsidR="002E0101" w:rsidRPr="002E0101" w:rsidRDefault="002E0101" w:rsidP="002E0101">
      <w:pPr>
        <w:numPr>
          <w:ilvl w:val="0"/>
          <w:numId w:val="4"/>
        </w:numPr>
        <w:spacing w:after="120"/>
        <w:rPr>
          <w:szCs w:val="24"/>
          <w:lang w:val="en-CA"/>
        </w:rPr>
      </w:pPr>
      <w:r w:rsidRPr="002E0101">
        <w:rPr>
          <w:b/>
          <w:bCs/>
          <w:szCs w:val="24"/>
          <w:lang w:val="en-CA"/>
        </w:rPr>
        <w:t>Solar PV:</w:t>
      </w:r>
      <w:r w:rsidRPr="002E0101">
        <w:rPr>
          <w:szCs w:val="24"/>
          <w:lang w:val="en-CA"/>
        </w:rPr>
        <w:t xml:space="preserve"> 0.5–1.0% per year.</w:t>
      </w:r>
    </w:p>
    <w:p w14:paraId="76902198" w14:textId="77777777" w:rsidR="002E0101" w:rsidRPr="002E0101" w:rsidRDefault="002E0101" w:rsidP="002E0101">
      <w:pPr>
        <w:numPr>
          <w:ilvl w:val="0"/>
          <w:numId w:val="4"/>
        </w:numPr>
        <w:spacing w:after="120"/>
        <w:rPr>
          <w:szCs w:val="24"/>
          <w:lang w:val="en-CA"/>
        </w:rPr>
      </w:pPr>
      <w:r w:rsidRPr="002E0101">
        <w:rPr>
          <w:b/>
          <w:bCs/>
          <w:szCs w:val="24"/>
          <w:lang w:val="en-CA"/>
        </w:rPr>
        <w:t>Wind Turbines:</w:t>
      </w:r>
      <w:r w:rsidRPr="002E0101">
        <w:rPr>
          <w:szCs w:val="24"/>
          <w:lang w:val="en-CA"/>
        </w:rPr>
        <w:t xml:space="preserve"> 2.5–3.5% per year.</w:t>
      </w:r>
    </w:p>
    <w:p w14:paraId="1265B2D1" w14:textId="77777777" w:rsidR="002E0101" w:rsidRPr="002E0101" w:rsidRDefault="002E0101" w:rsidP="002E0101">
      <w:pPr>
        <w:numPr>
          <w:ilvl w:val="0"/>
          <w:numId w:val="4"/>
        </w:numPr>
        <w:spacing w:after="120"/>
        <w:rPr>
          <w:szCs w:val="24"/>
          <w:lang w:val="en-CA"/>
        </w:rPr>
      </w:pPr>
      <w:r w:rsidRPr="002E0101">
        <w:rPr>
          <w:b/>
          <w:bCs/>
          <w:szCs w:val="24"/>
          <w:lang w:val="en-CA"/>
        </w:rPr>
        <w:t>Battery Systems:</w:t>
      </w:r>
      <w:r w:rsidRPr="002E0101">
        <w:rPr>
          <w:szCs w:val="24"/>
          <w:lang w:val="en-CA"/>
        </w:rPr>
        <w:t xml:space="preserve"> 1.0–2.0% per year.</w:t>
      </w:r>
    </w:p>
    <w:p w14:paraId="2DA3A90E" w14:textId="3A4BC7BB" w:rsidR="002E0101" w:rsidRPr="002E0101" w:rsidRDefault="002E0101" w:rsidP="002E0101">
      <w:pPr>
        <w:numPr>
          <w:ilvl w:val="0"/>
          <w:numId w:val="4"/>
        </w:numPr>
        <w:spacing w:after="120"/>
        <w:rPr>
          <w:szCs w:val="24"/>
          <w:lang w:val="en-CA"/>
        </w:rPr>
      </w:pPr>
      <w:r w:rsidRPr="002E0101">
        <w:rPr>
          <w:b/>
          <w:bCs/>
          <w:szCs w:val="24"/>
          <w:lang w:val="en-CA"/>
        </w:rPr>
        <w:t>Contingency:</w:t>
      </w:r>
      <w:r w:rsidRPr="002E0101">
        <w:rPr>
          <w:szCs w:val="24"/>
          <w:lang w:val="en-CA"/>
        </w:rPr>
        <w:t xml:space="preserve"> A budget of 5 to 10 percent of annual CAPEX is still recommended for unexpected repairs.</w:t>
      </w:r>
    </w:p>
    <w:p w14:paraId="6E29C96A" w14:textId="0BF353A5" w:rsidR="005F31AA" w:rsidRDefault="005F31AA" w:rsidP="005F31AA">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Compariosn</w:t>
      </w:r>
    </w:p>
    <w:p w14:paraId="18763187" w14:textId="6F33CA94" w:rsidR="00466451" w:rsidRPr="006843AB" w:rsidRDefault="00F93C13" w:rsidP="006843AB">
      <w:pPr>
        <w:spacing w:after="120"/>
        <w:ind w:firstLine="480"/>
        <w:rPr>
          <w:szCs w:val="24"/>
        </w:rPr>
      </w:pPr>
      <w:r w:rsidRPr="006843AB">
        <w:rPr>
          <w:szCs w:val="24"/>
        </w:rPr>
        <w:t>The following table reflects current market conditions for 2026</w:t>
      </w:r>
      <w:r w:rsidR="00172115" w:rsidRPr="00530654">
        <w:t>[169]</w:t>
      </w:r>
      <w:r w:rsidRPr="006843AB">
        <w:rPr>
          <w:szCs w:val="24"/>
        </w:rPr>
        <w:t>.</w:t>
      </w:r>
    </w:p>
    <w:tbl>
      <w:tblPr>
        <w:tblStyle w:val="MDPI41threelinetable"/>
        <w:tblW w:w="0" w:type="auto"/>
        <w:tblLook w:val="04A0" w:firstRow="1" w:lastRow="0" w:firstColumn="1" w:lastColumn="0" w:noHBand="0" w:noVBand="1"/>
      </w:tblPr>
      <w:tblGrid>
        <w:gridCol w:w="2406"/>
        <w:gridCol w:w="1288"/>
        <w:gridCol w:w="1570"/>
        <w:gridCol w:w="1344"/>
        <w:gridCol w:w="2236"/>
      </w:tblGrid>
      <w:tr w:rsidR="00F93C13" w:rsidRPr="00F93C13" w14:paraId="26530142" w14:textId="77777777" w:rsidTr="00F93C13">
        <w:trPr>
          <w:cnfStyle w:val="100000000000" w:firstRow="1" w:lastRow="0" w:firstColumn="0" w:lastColumn="0" w:oddVBand="0" w:evenVBand="0" w:oddHBand="0" w:evenHBand="0" w:firstRowFirstColumn="0" w:firstRowLastColumn="0" w:lastRowFirstColumn="0" w:lastRowLastColumn="0"/>
        </w:trPr>
        <w:tc>
          <w:tcPr>
            <w:tcW w:w="0" w:type="auto"/>
            <w:hideMark/>
          </w:tcPr>
          <w:p w14:paraId="41B850C9" w14:textId="77777777" w:rsidR="00F93C13" w:rsidRPr="00F93C13" w:rsidRDefault="00F93C13" w:rsidP="00F93C13">
            <w:pPr>
              <w:pStyle w:val="TableBody"/>
              <w:rPr>
                <w:bCs/>
                <w:color w:val="auto"/>
              </w:rPr>
            </w:pPr>
            <w:r w:rsidRPr="00F93C13">
              <w:rPr>
                <w:bCs/>
                <w:color w:val="auto"/>
              </w:rPr>
              <w:t>Scenario</w:t>
            </w:r>
          </w:p>
        </w:tc>
        <w:tc>
          <w:tcPr>
            <w:tcW w:w="0" w:type="auto"/>
            <w:hideMark/>
          </w:tcPr>
          <w:p w14:paraId="56FFF587" w14:textId="77777777" w:rsidR="00F93C13" w:rsidRPr="00F93C13" w:rsidRDefault="00F93C13" w:rsidP="00F93C13">
            <w:pPr>
              <w:pStyle w:val="TableBody"/>
              <w:rPr>
                <w:bCs/>
                <w:color w:val="auto"/>
              </w:rPr>
            </w:pPr>
            <w:r w:rsidRPr="00F93C13">
              <w:rPr>
                <w:bCs/>
                <w:color w:val="auto"/>
              </w:rPr>
              <w:t>LCOE Low</w:t>
            </w:r>
          </w:p>
        </w:tc>
        <w:tc>
          <w:tcPr>
            <w:tcW w:w="0" w:type="auto"/>
            <w:hideMark/>
          </w:tcPr>
          <w:p w14:paraId="347B12F6" w14:textId="77777777" w:rsidR="00F93C13" w:rsidRPr="00F93C13" w:rsidRDefault="00F93C13" w:rsidP="00F93C13">
            <w:pPr>
              <w:pStyle w:val="TableBody"/>
              <w:rPr>
                <w:bCs/>
                <w:color w:val="auto"/>
              </w:rPr>
            </w:pPr>
            <w:r w:rsidRPr="00F93C13">
              <w:rPr>
                <w:bCs/>
                <w:color w:val="auto"/>
              </w:rPr>
              <w:t>LCOE Central</w:t>
            </w:r>
          </w:p>
        </w:tc>
        <w:tc>
          <w:tcPr>
            <w:tcW w:w="0" w:type="auto"/>
            <w:hideMark/>
          </w:tcPr>
          <w:p w14:paraId="709335D1" w14:textId="77777777" w:rsidR="00F93C13" w:rsidRPr="00F93C13" w:rsidRDefault="00F93C13" w:rsidP="00F93C13">
            <w:pPr>
              <w:pStyle w:val="TableBody"/>
              <w:rPr>
                <w:bCs/>
                <w:color w:val="auto"/>
              </w:rPr>
            </w:pPr>
            <w:r w:rsidRPr="00F93C13">
              <w:rPr>
                <w:bCs/>
                <w:color w:val="auto"/>
              </w:rPr>
              <w:t>LCOE High</w:t>
            </w:r>
          </w:p>
        </w:tc>
        <w:tc>
          <w:tcPr>
            <w:tcW w:w="0" w:type="auto"/>
            <w:hideMark/>
          </w:tcPr>
          <w:p w14:paraId="5A847395" w14:textId="77777777" w:rsidR="00F93C13" w:rsidRPr="00F93C13" w:rsidRDefault="00F93C13" w:rsidP="00F93C13">
            <w:pPr>
              <w:pStyle w:val="TableBody"/>
              <w:rPr>
                <w:bCs/>
                <w:color w:val="auto"/>
              </w:rPr>
            </w:pPr>
            <w:r w:rsidRPr="00F93C13">
              <w:rPr>
                <w:bCs/>
                <w:color w:val="auto"/>
              </w:rPr>
              <w:t>Key Sensitivity</w:t>
            </w:r>
          </w:p>
        </w:tc>
      </w:tr>
      <w:tr w:rsidR="00F93C13" w:rsidRPr="00F93C13" w14:paraId="0F198DCC" w14:textId="77777777" w:rsidTr="00F93C13">
        <w:tc>
          <w:tcPr>
            <w:tcW w:w="0" w:type="auto"/>
            <w:hideMark/>
          </w:tcPr>
          <w:p w14:paraId="59640A8E" w14:textId="77777777" w:rsidR="00F93C13" w:rsidRPr="005B1FF5" w:rsidRDefault="00F93C13" w:rsidP="00F93C13">
            <w:pPr>
              <w:pStyle w:val="TableBody"/>
              <w:rPr>
                <w:b/>
                <w:bCs/>
                <w:color w:val="auto"/>
              </w:rPr>
            </w:pPr>
            <w:r w:rsidRPr="005B1FF5">
              <w:rPr>
                <w:b/>
                <w:bCs/>
                <w:color w:val="auto"/>
              </w:rPr>
              <w:t>Solar PV (20% CF)</w:t>
            </w:r>
          </w:p>
        </w:tc>
        <w:tc>
          <w:tcPr>
            <w:tcW w:w="0" w:type="auto"/>
            <w:hideMark/>
          </w:tcPr>
          <w:p w14:paraId="6DF5D1A9" w14:textId="77777777" w:rsidR="00F93C13" w:rsidRPr="00F93C13" w:rsidRDefault="00F93C13" w:rsidP="00F93C13">
            <w:pPr>
              <w:pStyle w:val="TableBody"/>
              <w:rPr>
                <w:color w:val="auto"/>
              </w:rPr>
            </w:pPr>
            <w:r w:rsidRPr="00F93C13">
              <w:rPr>
                <w:color w:val="auto"/>
              </w:rPr>
              <w:t>$25/MWh</w:t>
            </w:r>
          </w:p>
        </w:tc>
        <w:tc>
          <w:tcPr>
            <w:tcW w:w="0" w:type="auto"/>
            <w:hideMark/>
          </w:tcPr>
          <w:p w14:paraId="0A7925B4" w14:textId="77777777" w:rsidR="00F93C13" w:rsidRPr="00F93C13" w:rsidRDefault="00F93C13" w:rsidP="00F93C13">
            <w:pPr>
              <w:pStyle w:val="TableBody"/>
              <w:rPr>
                <w:color w:val="auto"/>
              </w:rPr>
            </w:pPr>
            <w:r w:rsidRPr="00F93C13">
              <w:rPr>
                <w:color w:val="auto"/>
              </w:rPr>
              <w:t>$35/MWh</w:t>
            </w:r>
          </w:p>
        </w:tc>
        <w:tc>
          <w:tcPr>
            <w:tcW w:w="0" w:type="auto"/>
            <w:hideMark/>
          </w:tcPr>
          <w:p w14:paraId="64A80DAE" w14:textId="77777777" w:rsidR="00F93C13" w:rsidRPr="00F93C13" w:rsidRDefault="00F93C13" w:rsidP="00F93C13">
            <w:pPr>
              <w:pStyle w:val="TableBody"/>
              <w:rPr>
                <w:color w:val="auto"/>
              </w:rPr>
            </w:pPr>
            <w:r w:rsidRPr="00F93C13">
              <w:rPr>
                <w:color w:val="auto"/>
              </w:rPr>
              <w:t>$45/MWh</w:t>
            </w:r>
          </w:p>
        </w:tc>
        <w:tc>
          <w:tcPr>
            <w:tcW w:w="0" w:type="auto"/>
            <w:hideMark/>
          </w:tcPr>
          <w:p w14:paraId="1E21BB42" w14:textId="77777777" w:rsidR="00F93C13" w:rsidRPr="00F93C13" w:rsidRDefault="00F93C13" w:rsidP="00F93C13">
            <w:pPr>
              <w:pStyle w:val="TableBody"/>
              <w:rPr>
                <w:color w:val="auto"/>
              </w:rPr>
            </w:pPr>
            <w:r w:rsidRPr="00F93C13">
              <w:rPr>
                <w:color w:val="auto"/>
              </w:rPr>
              <w:t>Capacity factor</w:t>
            </w:r>
          </w:p>
        </w:tc>
      </w:tr>
      <w:tr w:rsidR="00F93C13" w:rsidRPr="00F93C13" w14:paraId="4AC4F8B6" w14:textId="77777777" w:rsidTr="00F93C13">
        <w:tc>
          <w:tcPr>
            <w:tcW w:w="0" w:type="auto"/>
            <w:hideMark/>
          </w:tcPr>
          <w:p w14:paraId="62619523" w14:textId="77777777" w:rsidR="00F93C13" w:rsidRPr="005B1FF5" w:rsidRDefault="00F93C13" w:rsidP="00F93C13">
            <w:pPr>
              <w:pStyle w:val="TableBody"/>
              <w:rPr>
                <w:b/>
                <w:bCs/>
                <w:color w:val="auto"/>
              </w:rPr>
            </w:pPr>
            <w:r w:rsidRPr="005B1FF5">
              <w:rPr>
                <w:b/>
                <w:bCs/>
                <w:color w:val="auto"/>
              </w:rPr>
              <w:t>Wind Onshore (35% CF)</w:t>
            </w:r>
          </w:p>
        </w:tc>
        <w:tc>
          <w:tcPr>
            <w:tcW w:w="0" w:type="auto"/>
            <w:hideMark/>
          </w:tcPr>
          <w:p w14:paraId="54A34B3C" w14:textId="77777777" w:rsidR="00F93C13" w:rsidRPr="00F93C13" w:rsidRDefault="00F93C13" w:rsidP="00F93C13">
            <w:pPr>
              <w:pStyle w:val="TableBody"/>
              <w:rPr>
                <w:color w:val="auto"/>
              </w:rPr>
            </w:pPr>
            <w:r w:rsidRPr="00F93C13">
              <w:rPr>
                <w:color w:val="auto"/>
              </w:rPr>
              <w:t>$20/MWh</w:t>
            </w:r>
          </w:p>
        </w:tc>
        <w:tc>
          <w:tcPr>
            <w:tcW w:w="0" w:type="auto"/>
            <w:hideMark/>
          </w:tcPr>
          <w:p w14:paraId="178A2FBD" w14:textId="77777777" w:rsidR="00F93C13" w:rsidRPr="00F93C13" w:rsidRDefault="00F93C13" w:rsidP="00F93C13">
            <w:pPr>
              <w:pStyle w:val="TableBody"/>
              <w:rPr>
                <w:color w:val="auto"/>
              </w:rPr>
            </w:pPr>
            <w:r w:rsidRPr="00F93C13">
              <w:rPr>
                <w:color w:val="auto"/>
              </w:rPr>
              <w:t>$30/MWh</w:t>
            </w:r>
          </w:p>
        </w:tc>
        <w:tc>
          <w:tcPr>
            <w:tcW w:w="0" w:type="auto"/>
            <w:hideMark/>
          </w:tcPr>
          <w:p w14:paraId="2B563190" w14:textId="77777777" w:rsidR="00F93C13" w:rsidRPr="00F93C13" w:rsidRDefault="00F93C13" w:rsidP="00F93C13">
            <w:pPr>
              <w:pStyle w:val="TableBody"/>
              <w:rPr>
                <w:color w:val="auto"/>
              </w:rPr>
            </w:pPr>
            <w:r w:rsidRPr="00F93C13">
              <w:rPr>
                <w:color w:val="auto"/>
              </w:rPr>
              <w:t>$40/MWh</w:t>
            </w:r>
          </w:p>
        </w:tc>
        <w:tc>
          <w:tcPr>
            <w:tcW w:w="0" w:type="auto"/>
            <w:hideMark/>
          </w:tcPr>
          <w:p w14:paraId="24B83B3A" w14:textId="77777777" w:rsidR="00F93C13" w:rsidRPr="00F93C13" w:rsidRDefault="00F93C13" w:rsidP="00F93C13">
            <w:pPr>
              <w:pStyle w:val="TableBody"/>
              <w:rPr>
                <w:color w:val="auto"/>
              </w:rPr>
            </w:pPr>
            <w:r w:rsidRPr="00F93C13">
              <w:rPr>
                <w:color w:val="auto"/>
              </w:rPr>
              <w:t>Wind resource</w:t>
            </w:r>
          </w:p>
        </w:tc>
      </w:tr>
      <w:tr w:rsidR="00F93C13" w:rsidRPr="00F93C13" w14:paraId="7417ABAD" w14:textId="77777777" w:rsidTr="00F93C13">
        <w:tc>
          <w:tcPr>
            <w:tcW w:w="0" w:type="auto"/>
            <w:hideMark/>
          </w:tcPr>
          <w:p w14:paraId="01863364" w14:textId="77777777" w:rsidR="00F93C13" w:rsidRPr="005B1FF5" w:rsidRDefault="00F93C13" w:rsidP="00F93C13">
            <w:pPr>
              <w:pStyle w:val="TableBody"/>
              <w:rPr>
                <w:b/>
                <w:bCs/>
                <w:color w:val="auto"/>
              </w:rPr>
            </w:pPr>
            <w:r w:rsidRPr="005B1FF5">
              <w:rPr>
                <w:b/>
                <w:bCs/>
                <w:color w:val="auto"/>
              </w:rPr>
              <w:t>Solar + 4h Battery</w:t>
            </w:r>
          </w:p>
        </w:tc>
        <w:tc>
          <w:tcPr>
            <w:tcW w:w="0" w:type="auto"/>
            <w:hideMark/>
          </w:tcPr>
          <w:p w14:paraId="146E2B91" w14:textId="77777777" w:rsidR="00F93C13" w:rsidRPr="00F93C13" w:rsidRDefault="00F93C13" w:rsidP="00F93C13">
            <w:pPr>
              <w:pStyle w:val="TableBody"/>
              <w:rPr>
                <w:color w:val="auto"/>
              </w:rPr>
            </w:pPr>
            <w:r w:rsidRPr="00F93C13">
              <w:rPr>
                <w:color w:val="auto"/>
              </w:rPr>
              <w:t>$45/MWh</w:t>
            </w:r>
          </w:p>
        </w:tc>
        <w:tc>
          <w:tcPr>
            <w:tcW w:w="0" w:type="auto"/>
            <w:hideMark/>
          </w:tcPr>
          <w:p w14:paraId="618A21E8" w14:textId="77777777" w:rsidR="00F93C13" w:rsidRPr="00F93C13" w:rsidRDefault="00F93C13" w:rsidP="00F93C13">
            <w:pPr>
              <w:pStyle w:val="TableBody"/>
              <w:rPr>
                <w:color w:val="auto"/>
              </w:rPr>
            </w:pPr>
            <w:r w:rsidRPr="00F93C13">
              <w:rPr>
                <w:color w:val="auto"/>
              </w:rPr>
              <w:t>$65/MWh</w:t>
            </w:r>
          </w:p>
        </w:tc>
        <w:tc>
          <w:tcPr>
            <w:tcW w:w="0" w:type="auto"/>
            <w:hideMark/>
          </w:tcPr>
          <w:p w14:paraId="0B43AA86" w14:textId="77777777" w:rsidR="00F93C13" w:rsidRPr="00F93C13" w:rsidRDefault="00F93C13" w:rsidP="00F93C13">
            <w:pPr>
              <w:pStyle w:val="TableBody"/>
              <w:rPr>
                <w:color w:val="auto"/>
              </w:rPr>
            </w:pPr>
            <w:r w:rsidRPr="00F93C13">
              <w:rPr>
                <w:color w:val="auto"/>
              </w:rPr>
              <w:t>$90/MWh</w:t>
            </w:r>
          </w:p>
        </w:tc>
        <w:tc>
          <w:tcPr>
            <w:tcW w:w="0" w:type="auto"/>
            <w:hideMark/>
          </w:tcPr>
          <w:p w14:paraId="3DF17B65" w14:textId="77777777" w:rsidR="00F93C13" w:rsidRPr="00F93C13" w:rsidRDefault="00F93C13" w:rsidP="00F93C13">
            <w:pPr>
              <w:pStyle w:val="TableBody"/>
              <w:rPr>
                <w:color w:val="auto"/>
              </w:rPr>
            </w:pPr>
            <w:r w:rsidRPr="00F93C13">
              <w:rPr>
                <w:color w:val="auto"/>
              </w:rPr>
              <w:t>BESS capital cost</w:t>
            </w:r>
          </w:p>
        </w:tc>
      </w:tr>
      <w:tr w:rsidR="00F93C13" w:rsidRPr="00F93C13" w14:paraId="0DDF9CC5" w14:textId="77777777" w:rsidTr="00F93C13">
        <w:tc>
          <w:tcPr>
            <w:tcW w:w="0" w:type="auto"/>
            <w:hideMark/>
          </w:tcPr>
          <w:p w14:paraId="4B2211D2" w14:textId="77777777" w:rsidR="00F93C13" w:rsidRPr="005B1FF5" w:rsidRDefault="00F93C13" w:rsidP="00F93C13">
            <w:pPr>
              <w:pStyle w:val="TableBody"/>
              <w:rPr>
                <w:b/>
                <w:bCs/>
                <w:color w:val="auto"/>
              </w:rPr>
            </w:pPr>
            <w:r w:rsidRPr="005B1FF5">
              <w:rPr>
                <w:b/>
                <w:bCs/>
                <w:color w:val="auto"/>
              </w:rPr>
              <w:t>Wind + 4h Battery</w:t>
            </w:r>
          </w:p>
        </w:tc>
        <w:tc>
          <w:tcPr>
            <w:tcW w:w="0" w:type="auto"/>
            <w:hideMark/>
          </w:tcPr>
          <w:p w14:paraId="7512766F" w14:textId="77777777" w:rsidR="00F93C13" w:rsidRPr="00F93C13" w:rsidRDefault="00F93C13" w:rsidP="00F93C13">
            <w:pPr>
              <w:pStyle w:val="TableBody"/>
              <w:rPr>
                <w:color w:val="auto"/>
              </w:rPr>
            </w:pPr>
            <w:r w:rsidRPr="00F93C13">
              <w:rPr>
                <w:color w:val="auto"/>
              </w:rPr>
              <w:t>$40/MWh</w:t>
            </w:r>
          </w:p>
        </w:tc>
        <w:tc>
          <w:tcPr>
            <w:tcW w:w="0" w:type="auto"/>
            <w:hideMark/>
          </w:tcPr>
          <w:p w14:paraId="605675A9" w14:textId="77777777" w:rsidR="00F93C13" w:rsidRPr="00F93C13" w:rsidRDefault="00F93C13" w:rsidP="00F93C13">
            <w:pPr>
              <w:pStyle w:val="TableBody"/>
              <w:rPr>
                <w:color w:val="auto"/>
              </w:rPr>
            </w:pPr>
            <w:r w:rsidRPr="00F93C13">
              <w:rPr>
                <w:color w:val="auto"/>
              </w:rPr>
              <w:t>$60/MWh</w:t>
            </w:r>
          </w:p>
        </w:tc>
        <w:tc>
          <w:tcPr>
            <w:tcW w:w="0" w:type="auto"/>
            <w:hideMark/>
          </w:tcPr>
          <w:p w14:paraId="6FECBF9D" w14:textId="77777777" w:rsidR="00F93C13" w:rsidRPr="00F93C13" w:rsidRDefault="00F93C13" w:rsidP="00F93C13">
            <w:pPr>
              <w:pStyle w:val="TableBody"/>
              <w:rPr>
                <w:color w:val="auto"/>
              </w:rPr>
            </w:pPr>
            <w:r w:rsidRPr="00F93C13">
              <w:rPr>
                <w:color w:val="auto"/>
              </w:rPr>
              <w:t>$85/MWh</w:t>
            </w:r>
          </w:p>
        </w:tc>
        <w:tc>
          <w:tcPr>
            <w:tcW w:w="0" w:type="auto"/>
            <w:hideMark/>
          </w:tcPr>
          <w:p w14:paraId="687FE777" w14:textId="77777777" w:rsidR="00F93C13" w:rsidRPr="00F93C13" w:rsidRDefault="00F93C13" w:rsidP="00F93C13">
            <w:pPr>
              <w:pStyle w:val="TableBody"/>
              <w:rPr>
                <w:color w:val="auto"/>
              </w:rPr>
            </w:pPr>
            <w:r w:rsidRPr="00F93C13">
              <w:rPr>
                <w:color w:val="auto"/>
              </w:rPr>
              <w:t>BESS capital cost</w:t>
            </w:r>
          </w:p>
        </w:tc>
      </w:tr>
      <w:tr w:rsidR="00F93C13" w:rsidRPr="00F93C13" w14:paraId="661CB990" w14:textId="77777777" w:rsidTr="00F93C13">
        <w:tc>
          <w:tcPr>
            <w:tcW w:w="0" w:type="auto"/>
            <w:hideMark/>
          </w:tcPr>
          <w:p w14:paraId="568DF18E" w14:textId="77777777" w:rsidR="00F93C13" w:rsidRPr="005B1FF5" w:rsidRDefault="00F93C13" w:rsidP="00F93C13">
            <w:pPr>
              <w:pStyle w:val="TableBody"/>
              <w:rPr>
                <w:b/>
                <w:bCs/>
                <w:color w:val="auto"/>
              </w:rPr>
            </w:pPr>
            <w:r w:rsidRPr="005B1FF5">
              <w:rPr>
                <w:b/>
                <w:bCs/>
                <w:color w:val="auto"/>
              </w:rPr>
              <w:t>Hybrid RE + Grid</w:t>
            </w:r>
          </w:p>
        </w:tc>
        <w:tc>
          <w:tcPr>
            <w:tcW w:w="0" w:type="auto"/>
            <w:hideMark/>
          </w:tcPr>
          <w:p w14:paraId="1E78B313" w14:textId="77777777" w:rsidR="00F93C13" w:rsidRPr="00F93C13" w:rsidRDefault="00F93C13" w:rsidP="00F93C13">
            <w:pPr>
              <w:pStyle w:val="TableBody"/>
              <w:rPr>
                <w:color w:val="auto"/>
              </w:rPr>
            </w:pPr>
            <w:r w:rsidRPr="00F93C13">
              <w:rPr>
                <w:color w:val="auto"/>
              </w:rPr>
              <w:t>$35/MWh</w:t>
            </w:r>
          </w:p>
        </w:tc>
        <w:tc>
          <w:tcPr>
            <w:tcW w:w="0" w:type="auto"/>
            <w:hideMark/>
          </w:tcPr>
          <w:p w14:paraId="177A9541" w14:textId="77777777" w:rsidR="00F93C13" w:rsidRPr="00F93C13" w:rsidRDefault="00F93C13" w:rsidP="00F93C13">
            <w:pPr>
              <w:pStyle w:val="TableBody"/>
              <w:rPr>
                <w:color w:val="auto"/>
              </w:rPr>
            </w:pPr>
            <w:r w:rsidRPr="00F93C13">
              <w:rPr>
                <w:color w:val="auto"/>
              </w:rPr>
              <w:t>$55/MWh</w:t>
            </w:r>
          </w:p>
        </w:tc>
        <w:tc>
          <w:tcPr>
            <w:tcW w:w="0" w:type="auto"/>
            <w:hideMark/>
          </w:tcPr>
          <w:p w14:paraId="54BC9EAD" w14:textId="77777777" w:rsidR="00F93C13" w:rsidRPr="00F93C13" w:rsidRDefault="00F93C13" w:rsidP="00F93C13">
            <w:pPr>
              <w:pStyle w:val="TableBody"/>
              <w:rPr>
                <w:color w:val="auto"/>
              </w:rPr>
            </w:pPr>
            <w:r w:rsidRPr="00F93C13">
              <w:rPr>
                <w:color w:val="auto"/>
              </w:rPr>
              <w:t>$80/MWh</w:t>
            </w:r>
          </w:p>
        </w:tc>
        <w:tc>
          <w:tcPr>
            <w:tcW w:w="0" w:type="auto"/>
            <w:hideMark/>
          </w:tcPr>
          <w:p w14:paraId="6320384C" w14:textId="77777777" w:rsidR="00F93C13" w:rsidRPr="00F93C13" w:rsidRDefault="00F93C13" w:rsidP="00F93C13">
            <w:pPr>
              <w:pStyle w:val="TableBody"/>
              <w:rPr>
                <w:color w:val="auto"/>
              </w:rPr>
            </w:pPr>
            <w:r w:rsidRPr="00F93C13">
              <w:rPr>
                <w:color w:val="auto"/>
              </w:rPr>
              <w:t>Grid price volatility</w:t>
            </w:r>
          </w:p>
        </w:tc>
      </w:tr>
      <w:tr w:rsidR="00F93C13" w:rsidRPr="00F93C13" w14:paraId="557174E3" w14:textId="77777777" w:rsidTr="00F93C13">
        <w:tc>
          <w:tcPr>
            <w:tcW w:w="0" w:type="auto"/>
            <w:hideMark/>
          </w:tcPr>
          <w:p w14:paraId="7707B01C" w14:textId="77777777" w:rsidR="00F93C13" w:rsidRPr="005B1FF5" w:rsidRDefault="00F93C13" w:rsidP="00F93C13">
            <w:pPr>
              <w:pStyle w:val="TableBody"/>
              <w:rPr>
                <w:b/>
                <w:bCs/>
                <w:color w:val="auto"/>
              </w:rPr>
            </w:pPr>
            <w:r w:rsidRPr="005B1FF5">
              <w:rPr>
                <w:b/>
                <w:bCs/>
                <w:color w:val="auto"/>
              </w:rPr>
              <w:t>Grid Only (US Avg)</w:t>
            </w:r>
          </w:p>
        </w:tc>
        <w:tc>
          <w:tcPr>
            <w:tcW w:w="0" w:type="auto"/>
            <w:hideMark/>
          </w:tcPr>
          <w:p w14:paraId="7CFC2A77" w14:textId="77777777" w:rsidR="00F93C13" w:rsidRPr="00F93C13" w:rsidRDefault="00F93C13" w:rsidP="00F93C13">
            <w:pPr>
              <w:pStyle w:val="TableBody"/>
              <w:rPr>
                <w:color w:val="auto"/>
              </w:rPr>
            </w:pPr>
            <w:r w:rsidRPr="00F93C13">
              <w:rPr>
                <w:color w:val="auto"/>
              </w:rPr>
              <w:t>$80/MWh</w:t>
            </w:r>
          </w:p>
        </w:tc>
        <w:tc>
          <w:tcPr>
            <w:tcW w:w="0" w:type="auto"/>
            <w:hideMark/>
          </w:tcPr>
          <w:p w14:paraId="70F600A7" w14:textId="77777777" w:rsidR="00F93C13" w:rsidRPr="00F93C13" w:rsidRDefault="00F93C13" w:rsidP="00F93C13">
            <w:pPr>
              <w:pStyle w:val="TableBody"/>
              <w:rPr>
                <w:color w:val="auto"/>
              </w:rPr>
            </w:pPr>
            <w:r w:rsidRPr="00F93C13">
              <w:rPr>
                <w:color w:val="auto"/>
              </w:rPr>
              <w:t>$110/MWh</w:t>
            </w:r>
          </w:p>
        </w:tc>
        <w:tc>
          <w:tcPr>
            <w:tcW w:w="0" w:type="auto"/>
            <w:hideMark/>
          </w:tcPr>
          <w:p w14:paraId="2883F663" w14:textId="77777777" w:rsidR="00F93C13" w:rsidRPr="00F93C13" w:rsidRDefault="00F93C13" w:rsidP="00F93C13">
            <w:pPr>
              <w:pStyle w:val="TableBody"/>
              <w:rPr>
                <w:color w:val="auto"/>
              </w:rPr>
            </w:pPr>
            <w:r w:rsidRPr="00F93C13">
              <w:rPr>
                <w:color w:val="auto"/>
              </w:rPr>
              <w:t>$140/MWh</w:t>
            </w:r>
          </w:p>
        </w:tc>
        <w:tc>
          <w:tcPr>
            <w:tcW w:w="0" w:type="auto"/>
            <w:hideMark/>
          </w:tcPr>
          <w:p w14:paraId="69900735" w14:textId="77777777" w:rsidR="00F93C13" w:rsidRPr="00F93C13" w:rsidRDefault="00F93C13" w:rsidP="00F93C13">
            <w:pPr>
              <w:pStyle w:val="TableBody"/>
              <w:rPr>
                <w:color w:val="auto"/>
              </w:rPr>
            </w:pPr>
            <w:r w:rsidRPr="00F93C13">
              <w:rPr>
                <w:color w:val="auto"/>
              </w:rPr>
              <w:t>Regional capacity prices</w:t>
            </w:r>
          </w:p>
        </w:tc>
      </w:tr>
    </w:tbl>
    <w:p w14:paraId="5B5F7C3D" w14:textId="6DA2115C" w:rsidR="005C1A2E" w:rsidRDefault="005C1A2E" w:rsidP="005C1A2E">
      <w:pPr>
        <w:pStyle w:val="Heading20"/>
        <w:jc w:val="both"/>
        <w:rPr>
          <w:color w:val="auto"/>
        </w:rPr>
      </w:pPr>
      <w:r w:rsidRPr="00EB1FF0">
        <w:rPr>
          <w:color w:val="auto"/>
        </w:rPr>
        <w:t>10.</w:t>
      </w:r>
      <w:r>
        <w:rPr>
          <w:color w:val="auto"/>
        </w:rPr>
        <w:t>3</w:t>
      </w:r>
      <w:r w:rsidRPr="00EB1FF0">
        <w:rPr>
          <w:color w:val="auto"/>
        </w:rPr>
        <w:t xml:space="preserve"> </w:t>
      </w:r>
      <w:r>
        <w:rPr>
          <w:color w:val="auto"/>
        </w:rPr>
        <w:t>Power Purchase Agreements (PPAs)</w:t>
      </w:r>
    </w:p>
    <w:p w14:paraId="5323FC41" w14:textId="61A60319" w:rsidR="005C1A2E" w:rsidRPr="00572140" w:rsidRDefault="00572140" w:rsidP="00572140">
      <w:pPr>
        <w:spacing w:after="120"/>
        <w:ind w:firstLine="480"/>
        <w:rPr>
          <w:szCs w:val="24"/>
        </w:rPr>
      </w:pPr>
      <w:r w:rsidRPr="00572140">
        <w:rPr>
          <w:szCs w:val="24"/>
        </w:rPr>
        <w:t>The average solar PPA price in the North American market has climbed to approximately $64.49 per MWh for Q1 of 2026, driven by a growing demand for clean energy and some cost pressures throughout the grid. Wind PPAs typically sell at a premium to solar, typically averaging $10 to $15/MWh above solar in the current index. Regardless of these increases, PPAs continue to be an important tool for reducing the variability of wholesale grid electricity costs, a metric that has been putting strain on markets such as PJM, because so much electricity demand from data centers has come into the system all at once</w:t>
      </w:r>
      <w:r w:rsidR="00227113" w:rsidRPr="00530654">
        <w:t xml:space="preserve"> [168]</w:t>
      </w:r>
      <w:r w:rsidR="00227113">
        <w:t>,</w:t>
      </w:r>
      <w:r w:rsidR="00227113" w:rsidRPr="00227113">
        <w:t xml:space="preserve"> </w:t>
      </w:r>
      <w:r w:rsidR="00227113" w:rsidRPr="00530654">
        <w:t>[170]</w:t>
      </w:r>
      <w:r w:rsidRPr="00572140">
        <w:rPr>
          <w:szCs w:val="24"/>
        </w:rPr>
        <w:t>.</w:t>
      </w:r>
    </w:p>
    <w:p w14:paraId="7AA72823" w14:textId="630EC65C" w:rsidR="001A6DB0" w:rsidRDefault="001A6DB0" w:rsidP="001A6DB0">
      <w:pPr>
        <w:pStyle w:val="Heading20"/>
        <w:jc w:val="both"/>
        <w:rPr>
          <w:color w:val="auto"/>
        </w:rPr>
      </w:pPr>
      <w:r w:rsidRPr="00EB1FF0">
        <w:rPr>
          <w:color w:val="auto"/>
        </w:rPr>
        <w:t>10.</w:t>
      </w:r>
      <w:r>
        <w:rPr>
          <w:color w:val="auto"/>
        </w:rPr>
        <w:t>4</w:t>
      </w:r>
      <w:r w:rsidRPr="00EB1FF0">
        <w:rPr>
          <w:color w:val="auto"/>
        </w:rPr>
        <w:t xml:space="preserve"> </w:t>
      </w:r>
      <w:r>
        <w:rPr>
          <w:color w:val="auto"/>
        </w:rPr>
        <w:t>Financial Modeling: NPV and IRR</w:t>
      </w:r>
    </w:p>
    <w:p w14:paraId="4F1F1387" w14:textId="099913C1" w:rsidR="00323DD0" w:rsidRDefault="008D67D3" w:rsidP="00797947">
      <w:pPr>
        <w:spacing w:after="120"/>
        <w:ind w:firstLine="480"/>
        <w:rPr>
          <w:szCs w:val="24"/>
        </w:rPr>
      </w:pPr>
      <w:r w:rsidRPr="008D67D3">
        <w:rPr>
          <w:szCs w:val="24"/>
        </w:rPr>
        <w:lastRenderedPageBreak/>
        <w:t xml:space="preserve">Net Present Value (NPV) </w:t>
      </w:r>
      <w:r w:rsidR="00E66E1D">
        <w:rPr>
          <w:szCs w:val="24"/>
        </w:rPr>
        <w:t>a</w:t>
      </w:r>
      <w:r w:rsidRPr="008D67D3">
        <w:rPr>
          <w:szCs w:val="24"/>
        </w:rPr>
        <w:t>nalysis</w:t>
      </w:r>
      <w:r w:rsidR="00E66E1D">
        <w:rPr>
          <w:szCs w:val="24"/>
        </w:rPr>
        <w:t xml:space="preserve"> are the </w:t>
      </w:r>
      <w:r w:rsidRPr="008D67D3">
        <w:rPr>
          <w:szCs w:val="24"/>
        </w:rPr>
        <w:t xml:space="preserve">values </w:t>
      </w:r>
      <w:r w:rsidR="00E66E1D">
        <w:rPr>
          <w:szCs w:val="24"/>
        </w:rPr>
        <w:t xml:space="preserve">for the </w:t>
      </w:r>
      <w:r w:rsidRPr="008D67D3">
        <w:rPr>
          <w:szCs w:val="24"/>
        </w:rPr>
        <w:t>future cash flows, i.e. revenues and expenses, in present value at the project discount rate. The discount rate for a renewable powered data center project varies between 7 and 12</w:t>
      </w:r>
      <w:r w:rsidR="00E66E1D">
        <w:rPr>
          <w:szCs w:val="24"/>
        </w:rPr>
        <w:t>%</w:t>
      </w:r>
      <w:r w:rsidRPr="008D67D3">
        <w:rPr>
          <w:szCs w:val="24"/>
        </w:rPr>
        <w:t>, which is a bit more expensive than other projects and has a higher risk profile. For institutional investors, the 15-20% target for the Internal Rate of Return (IRR) had to reflect the risk premium to be associated with energy infrastructure deployment, due to other energy-related factors</w:t>
      </w:r>
      <w:r w:rsidR="00E66E1D">
        <w:rPr>
          <w:szCs w:val="24"/>
        </w:rPr>
        <w:fldChar w:fldCharType="begin"/>
      </w:r>
      <w:r w:rsidR="00E66E1D">
        <w:rPr>
          <w:szCs w:val="24"/>
        </w:rPr>
        <w:instrText xml:space="preserve"> ADDIN ZOTERO_ITEM CSL_CITATION {"citationID":"8wRornhk","properties":{"unsorted":false,"formattedCitation":"[171]","plainCitation":"[171]","noteIndex":0},"citationItems":[{"id":2173,"uris":["http://zotero.org/users/9870935/items/K3IRLE4I"],"itemData":{"id":2173,"type":"article","abstract":"The cost of capital (CoC) is a critical parameter that significantly impacts the levelized costs of low-carbon energy technologies and cost-optimal decarbonization pathways. Nevertheless, empirical evidence on CoC differences between technologies and investor types is limited. Here, we study the heterogeneity among 11 technologies based on 193 CoC inputs from utilities, financial investors, and project developers in Switzerland. We find a wide range of CoC values across the technologies, averaging 3.6 % for small rooftop PV and 7.8 % for green hydrogen. Furthermore, we record an empirical variation of six percentage points even for assets of the same technology group, like solar PV, indicating differences between business models and investor types. Unlike neighboring countries that primarily rely on project finance for renewables, we find balance sheet financing to play an essential role for Swiss investors. Our results stress the need to differentiate CoC assumptions in energy system modeling and to consider not only technologies but also investor types and regional specificities as additional CoC dimensions.","DOI":"10.2139/ssrn.4926798","language":"en","publisher":"SSRN","source":"DOI.org (Crossref)","title":"Cost of capital for renewables and enabling technologies: Measuring the multidimensional heterogeneity in Switzerland","title-short":"Cost of capital for renewables and enabling technologies","URL":"https://www.ssrn.com/abstract=4926798","author":[{"family":"Dukan","given":"Mak"},{"family":"Steffen","given":"Bjarne"}],"accessed":{"date-parts":[["2026",6,6]]},"issued":{"date-parts":[["2024"]]}}}],"schema":"https://github.com/citation-style-language/schema/raw/master/csl-citation.json"} </w:instrText>
      </w:r>
      <w:r w:rsidR="00E66E1D">
        <w:rPr>
          <w:szCs w:val="24"/>
        </w:rPr>
        <w:fldChar w:fldCharType="separate"/>
      </w:r>
      <w:r w:rsidR="00E66E1D" w:rsidRPr="00E66E1D">
        <w:t>[171]</w:t>
      </w:r>
      <w:r w:rsidR="00E66E1D">
        <w:rPr>
          <w:szCs w:val="24"/>
        </w:rPr>
        <w:fldChar w:fldCharType="end"/>
      </w:r>
      <w:r w:rsidRPr="008D67D3">
        <w:rPr>
          <w:szCs w:val="24"/>
        </w:rPr>
        <w:t>. With 50</w:t>
      </w:r>
      <w:r w:rsidR="00E66E1D">
        <w:rPr>
          <w:szCs w:val="24"/>
        </w:rPr>
        <w:t xml:space="preserve">% </w:t>
      </w:r>
      <w:r w:rsidRPr="008D67D3">
        <w:rPr>
          <w:szCs w:val="24"/>
        </w:rPr>
        <w:t>renewables penetration and 4-hour battery storage, current analysis results are a base case NPV of $30 to $120 million, IRR of 14 to 19</w:t>
      </w:r>
      <w:r w:rsidR="00E66E1D">
        <w:rPr>
          <w:szCs w:val="24"/>
        </w:rPr>
        <w:t xml:space="preserve">% </w:t>
      </w:r>
      <w:r w:rsidRPr="008D67D3">
        <w:rPr>
          <w:szCs w:val="24"/>
        </w:rPr>
        <w:t>, and a 6 to 11 year payback period (including federal tax credit (ITC/PTC) structure) for a representative 100 MW facility</w:t>
      </w:r>
      <w:r w:rsidR="00797947">
        <w:rPr>
          <w:szCs w:val="24"/>
        </w:rPr>
        <w:fldChar w:fldCharType="begin"/>
      </w:r>
      <w:r w:rsidR="00797947">
        <w:rPr>
          <w:szCs w:val="24"/>
        </w:rPr>
        <w:instrText xml:space="preserve"> ADDIN ZOTERO_ITEM CSL_CITATION {"citationID":"GTvKaBSc","properties":{"unsorted":false,"formattedCitation":"[172]","plainCitation":"[172]","noteIndex":0},"citationItems":[{"id":2175,"uris":["http://zotero.org/users/9870935/items/YE4EN6MK"],"itemData":{"id":2175,"type":"document","title":"2026 Annual Planning Outlook","URL":"https://www.ieso.ca/-/media/Files/IESO/Document-Library/planning-forecasts/apo/2026/2026-APO-Demand-Forecast-Module.pdf","author":[{"family":"IESO","given":""}]}}],"schema":"https://github.com/citation-style-language/schema/raw/master/csl-citation.json"} </w:instrText>
      </w:r>
      <w:r w:rsidR="00797947">
        <w:rPr>
          <w:szCs w:val="24"/>
        </w:rPr>
        <w:fldChar w:fldCharType="separate"/>
      </w:r>
      <w:r w:rsidR="00797947" w:rsidRPr="00797947">
        <w:t>[172]</w:t>
      </w:r>
      <w:r w:rsidR="00797947">
        <w:rPr>
          <w:szCs w:val="24"/>
        </w:rPr>
        <w:fldChar w:fldCharType="end"/>
      </w:r>
      <w:r w:rsidRPr="008D67D3">
        <w:rPr>
          <w:szCs w:val="24"/>
        </w:rPr>
        <w:t>.</w:t>
      </w:r>
    </w:p>
    <w:p w14:paraId="6456A321" w14:textId="701DC205" w:rsidR="0021274D" w:rsidRDefault="0021274D" w:rsidP="0021274D">
      <w:pPr>
        <w:pStyle w:val="Heading20"/>
        <w:jc w:val="both"/>
        <w:rPr>
          <w:color w:val="auto"/>
        </w:rPr>
      </w:pPr>
      <w:r w:rsidRPr="00EB1FF0">
        <w:rPr>
          <w:color w:val="auto"/>
        </w:rPr>
        <w:t>10.</w:t>
      </w:r>
      <w:r>
        <w:rPr>
          <w:color w:val="auto"/>
        </w:rPr>
        <w:t>5</w:t>
      </w:r>
      <w:r w:rsidRPr="00EB1FF0">
        <w:rPr>
          <w:color w:val="auto"/>
        </w:rPr>
        <w:t xml:space="preserve"> </w:t>
      </w:r>
      <w:r w:rsidR="007C1DA5">
        <w:rPr>
          <w:color w:val="auto"/>
        </w:rPr>
        <w:t>Business Case Summary</w:t>
      </w:r>
    </w:p>
    <w:p w14:paraId="584408FE" w14:textId="7EA454A6" w:rsidR="0017345A" w:rsidRPr="00803B94" w:rsidRDefault="0017345A" w:rsidP="00803B94">
      <w:pPr>
        <w:spacing w:after="120"/>
        <w:ind w:firstLine="480"/>
        <w:rPr>
          <w:szCs w:val="24"/>
        </w:rPr>
      </w:pPr>
      <w:r w:rsidRPr="00803B94">
        <w:rPr>
          <w:szCs w:val="24"/>
        </w:rPr>
        <w:t>There are four pillars to the business case for renewable-powered AI data centers:</w:t>
      </w:r>
    </w:p>
    <w:p w14:paraId="0DCD5F95" w14:textId="447357C2" w:rsidR="0017345A" w:rsidRPr="0017345A" w:rsidRDefault="0017345A" w:rsidP="00EA3B7C">
      <w:pPr>
        <w:pStyle w:val="Heading20"/>
        <w:numPr>
          <w:ilvl w:val="0"/>
          <w:numId w:val="5"/>
        </w:numPr>
        <w:spacing w:before="0" w:after="0"/>
        <w:jc w:val="both"/>
        <w:rPr>
          <w:i w:val="0"/>
          <w:iCs/>
          <w:color w:val="auto"/>
        </w:rPr>
      </w:pPr>
      <w:r w:rsidRPr="00A63ABE">
        <w:rPr>
          <w:b/>
          <w:bCs/>
          <w:i w:val="0"/>
          <w:iCs/>
          <w:color w:val="auto"/>
        </w:rPr>
        <w:t>Lower Energy Costs:</w:t>
      </w:r>
      <w:r w:rsidRPr="0017345A">
        <w:rPr>
          <w:i w:val="0"/>
          <w:iCs/>
          <w:color w:val="auto"/>
        </w:rPr>
        <w:t xml:space="preserve"> Hybrid systems with LCOE of $35–$80/MWh remain competitive with the recent rise of grid prices that in high-demand clusters often exceed $100/MWh</w:t>
      </w:r>
      <w:r w:rsidR="00A63ABE">
        <w:rPr>
          <w:i w:val="0"/>
          <w:iCs/>
          <w:color w:val="auto"/>
        </w:rPr>
        <w:fldChar w:fldCharType="begin"/>
      </w:r>
      <w:r w:rsidR="00A63ABE">
        <w:rPr>
          <w:i w:val="0"/>
          <w:iCs/>
          <w:color w:val="auto"/>
        </w:rPr>
        <w:instrText xml:space="preserve"> ADDIN ZOTERO_ITEM CSL_CITATION {"citationID":"1o3IvIle","properties":{"unsorted":false,"formattedCitation":"[168]","plainCitation":"[168]","noteIndex":0},"citationItems":[{"id":2167,"uris":["http://zotero.org/users/9870935/items/VK9P7UB3"],"itemData":{"id":2167,"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schema":"https://github.com/citation-style-language/schema/raw/master/csl-citation.json"} </w:instrText>
      </w:r>
      <w:r w:rsidR="00A63ABE">
        <w:rPr>
          <w:i w:val="0"/>
          <w:iCs/>
          <w:color w:val="auto"/>
        </w:rPr>
        <w:fldChar w:fldCharType="separate"/>
      </w:r>
      <w:r w:rsidR="00A63ABE" w:rsidRPr="00A63ABE">
        <w:t>[168]</w:t>
      </w:r>
      <w:r w:rsidR="00A63ABE">
        <w:rPr>
          <w:i w:val="0"/>
          <w:iCs/>
          <w:color w:val="auto"/>
        </w:rPr>
        <w:fldChar w:fldCharType="end"/>
      </w:r>
      <w:r w:rsidRPr="0017345A">
        <w:rPr>
          <w:i w:val="0"/>
          <w:iCs/>
          <w:color w:val="auto"/>
        </w:rPr>
        <w:t>.</w:t>
      </w:r>
    </w:p>
    <w:p w14:paraId="03E2049A" w14:textId="1564693A" w:rsidR="0017345A" w:rsidRPr="0017345A" w:rsidRDefault="0017345A" w:rsidP="00EA3B7C">
      <w:pPr>
        <w:pStyle w:val="Heading20"/>
        <w:numPr>
          <w:ilvl w:val="0"/>
          <w:numId w:val="5"/>
        </w:numPr>
        <w:spacing w:before="0" w:after="0"/>
        <w:jc w:val="both"/>
        <w:rPr>
          <w:i w:val="0"/>
          <w:iCs/>
          <w:color w:val="auto"/>
        </w:rPr>
      </w:pPr>
      <w:r w:rsidRPr="00A63ABE">
        <w:rPr>
          <w:b/>
          <w:bCs/>
          <w:i w:val="0"/>
          <w:iCs/>
          <w:color w:val="auto"/>
        </w:rPr>
        <w:t>Lower Risk of Power Grid Failures:</w:t>
      </w:r>
      <w:r w:rsidRPr="0017345A">
        <w:rPr>
          <w:i w:val="0"/>
          <w:iCs/>
          <w:color w:val="auto"/>
        </w:rPr>
        <w:t xml:space="preserve"> On-site generation and storage help reduce dependence on the aging utility grid; Downtime costs for modern AI training clusters now often exceed $500,000/hour of downtime</w:t>
      </w:r>
      <w:r w:rsidR="00A63ABE">
        <w:rPr>
          <w:i w:val="0"/>
          <w:iCs/>
          <w:color w:val="auto"/>
        </w:rPr>
        <w:fldChar w:fldCharType="begin"/>
      </w:r>
      <w:r w:rsidR="00A63ABE">
        <w:rPr>
          <w:i w:val="0"/>
          <w:iCs/>
          <w:color w:val="auto"/>
        </w:rPr>
        <w:instrText xml:space="preserve"> ADDIN ZOTERO_ITEM CSL_CITATION {"citationID":"GGZpEcoX","properties":{"unsorted":false,"formattedCitation":"[173]","plainCitation":"[173]","noteIndex":0},"citationItems":[{"id":2177,"uris":["http://zotero.org/users/9870935/items/MATHDSWY"],"itemData":{"id":2177,"type":"article-journal","container-title":"ITU","language":"en","source":"Zotero","title":"Assessing the Economic Impact of Artificial Intelligence","URL":"https://www.itu.int/dms_pub/itu-s/opb/gen/S-gen-issuepaper-2018-1-pdf-e.pdf"}}],"schema":"https://github.com/citation-style-language/schema/raw/master/csl-citation.json"} </w:instrText>
      </w:r>
      <w:r w:rsidR="00A63ABE">
        <w:rPr>
          <w:i w:val="0"/>
          <w:iCs/>
          <w:color w:val="auto"/>
        </w:rPr>
        <w:fldChar w:fldCharType="separate"/>
      </w:r>
      <w:r w:rsidR="00A63ABE" w:rsidRPr="00A63ABE">
        <w:t>[173]</w:t>
      </w:r>
      <w:r w:rsidR="00A63ABE">
        <w:rPr>
          <w:i w:val="0"/>
          <w:iCs/>
          <w:color w:val="auto"/>
        </w:rPr>
        <w:fldChar w:fldCharType="end"/>
      </w:r>
      <w:r w:rsidRPr="0017345A">
        <w:rPr>
          <w:i w:val="0"/>
          <w:iCs/>
          <w:color w:val="auto"/>
        </w:rPr>
        <w:t>.</w:t>
      </w:r>
    </w:p>
    <w:p w14:paraId="29D64984" w14:textId="7F649179" w:rsidR="0017345A" w:rsidRPr="0017345A" w:rsidRDefault="0017345A" w:rsidP="00EA3B7C">
      <w:pPr>
        <w:pStyle w:val="Heading20"/>
        <w:numPr>
          <w:ilvl w:val="0"/>
          <w:numId w:val="5"/>
        </w:numPr>
        <w:spacing w:before="0" w:after="0"/>
        <w:jc w:val="both"/>
        <w:rPr>
          <w:i w:val="0"/>
          <w:iCs/>
          <w:color w:val="auto"/>
        </w:rPr>
      </w:pPr>
      <w:r w:rsidRPr="00A63ABE">
        <w:rPr>
          <w:b/>
          <w:bCs/>
          <w:i w:val="0"/>
          <w:iCs/>
          <w:color w:val="auto"/>
        </w:rPr>
        <w:t xml:space="preserve">To </w:t>
      </w:r>
      <w:r w:rsidR="00A63ABE" w:rsidRPr="00A63ABE">
        <w:rPr>
          <w:b/>
          <w:bCs/>
          <w:i w:val="0"/>
          <w:iCs/>
          <w:color w:val="auto"/>
        </w:rPr>
        <w:t>C</w:t>
      </w:r>
      <w:r w:rsidRPr="00A63ABE">
        <w:rPr>
          <w:b/>
          <w:bCs/>
          <w:i w:val="0"/>
          <w:iCs/>
          <w:color w:val="auto"/>
        </w:rPr>
        <w:t xml:space="preserve">onclude </w:t>
      </w:r>
      <w:r w:rsidR="00A63ABE" w:rsidRPr="00A63ABE">
        <w:rPr>
          <w:b/>
          <w:bCs/>
          <w:i w:val="0"/>
          <w:iCs/>
          <w:color w:val="auto"/>
        </w:rPr>
        <w:t>S</w:t>
      </w:r>
      <w:r w:rsidRPr="00A63ABE">
        <w:rPr>
          <w:b/>
          <w:bCs/>
          <w:i w:val="0"/>
          <w:iCs/>
          <w:color w:val="auto"/>
        </w:rPr>
        <w:t xml:space="preserve">ustainability </w:t>
      </w:r>
      <w:r w:rsidR="00A63ABE" w:rsidRPr="00A63ABE">
        <w:rPr>
          <w:b/>
          <w:bCs/>
          <w:i w:val="0"/>
          <w:iCs/>
          <w:color w:val="auto"/>
        </w:rPr>
        <w:t>V</w:t>
      </w:r>
      <w:r w:rsidRPr="00A63ABE">
        <w:rPr>
          <w:b/>
          <w:bCs/>
          <w:i w:val="0"/>
          <w:iCs/>
          <w:color w:val="auto"/>
        </w:rPr>
        <w:t>alues:</w:t>
      </w:r>
      <w:r w:rsidRPr="0017345A">
        <w:rPr>
          <w:i w:val="0"/>
          <w:iCs/>
          <w:color w:val="auto"/>
        </w:rPr>
        <w:t xml:space="preserve"> the new ESG requirements and carbon pricing (such as the upcoming border tax adjustment mechanisms) drive real earnings advantages for "green" computation</w:t>
      </w:r>
      <w:r w:rsidR="00DF58DF">
        <w:rPr>
          <w:i w:val="0"/>
          <w:iCs/>
          <w:color w:val="auto"/>
        </w:rPr>
        <w:fldChar w:fldCharType="begin"/>
      </w:r>
      <w:r w:rsidR="00DF58DF">
        <w:rPr>
          <w:i w:val="0"/>
          <w:iCs/>
          <w:color w:val="auto"/>
        </w:rPr>
        <w:instrText xml:space="preserve"> ADDIN ZOTERO_ITEM CSL_CITATION {"citationID":"K30nYk3I","properties":{"unsorted":false,"formattedCitation":"[174]","plainCitation":"[174]","noteIndex":0},"citationItems":[{"id":2178,"uris":["http://zotero.org/users/9870935/items/CB7RZ8UW"],"itemData":{"id":2178,"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exposure","volume":"103","author":[{"family":"Duppati","given":"Geeta"}],"issued":{"date-parts":[["2025",10]]}}}],"schema":"https://github.com/citation-style-language/schema/raw/master/csl-citation.json"} </w:instrText>
      </w:r>
      <w:r w:rsidR="00DF58DF">
        <w:rPr>
          <w:i w:val="0"/>
          <w:iCs/>
          <w:color w:val="auto"/>
        </w:rPr>
        <w:fldChar w:fldCharType="separate"/>
      </w:r>
      <w:r w:rsidR="00DF58DF" w:rsidRPr="00DF58DF">
        <w:t>[174]</w:t>
      </w:r>
      <w:r w:rsidR="00DF58DF">
        <w:rPr>
          <w:i w:val="0"/>
          <w:iCs/>
          <w:color w:val="auto"/>
        </w:rPr>
        <w:fldChar w:fldCharType="end"/>
      </w:r>
      <w:r w:rsidRPr="0017345A">
        <w:rPr>
          <w:i w:val="0"/>
          <w:iCs/>
          <w:color w:val="auto"/>
        </w:rPr>
        <w:t>.</w:t>
      </w:r>
    </w:p>
    <w:p w14:paraId="4DCBBC90" w14:textId="6BB7529E" w:rsidR="0017345A" w:rsidRPr="0017345A" w:rsidRDefault="0017345A" w:rsidP="00EA3B7C">
      <w:pPr>
        <w:pStyle w:val="Heading20"/>
        <w:numPr>
          <w:ilvl w:val="0"/>
          <w:numId w:val="5"/>
        </w:numPr>
        <w:spacing w:before="0" w:after="0"/>
        <w:jc w:val="both"/>
        <w:rPr>
          <w:i w:val="0"/>
          <w:iCs/>
          <w:color w:val="auto"/>
        </w:rPr>
      </w:pPr>
      <w:r w:rsidRPr="00DF58DF">
        <w:rPr>
          <w:b/>
          <w:bCs/>
          <w:i w:val="0"/>
          <w:iCs/>
          <w:color w:val="auto"/>
        </w:rPr>
        <w:t>Strategic Hedging:</w:t>
      </w:r>
      <w:r w:rsidRPr="0017345A">
        <w:rPr>
          <w:i w:val="0"/>
          <w:iCs/>
          <w:color w:val="auto"/>
        </w:rPr>
        <w:t xml:space="preserve"> Long-term PPAs (15-25 years) provide a form of defense against fossil-fuel related wholesale price volatility</w:t>
      </w:r>
      <w:r w:rsidR="00F85C33">
        <w:rPr>
          <w:i w:val="0"/>
          <w:iCs/>
          <w:color w:val="auto"/>
        </w:rPr>
        <w:fldChar w:fldCharType="begin"/>
      </w:r>
      <w:r w:rsidR="00F85C33">
        <w:rPr>
          <w:i w:val="0"/>
          <w:iCs/>
          <w:color w:val="auto"/>
        </w:rPr>
        <w:instrText xml:space="preserve"> ADDIN ZOTERO_ITEM CSL_CITATION {"citationID":"nCpMJCLk","properties":{"unsorted":false,"formattedCitation":"[175]","plainCitation":"[175]","noteIndex":0},"citationItems":[{"id":2180,"uris":["http://zotero.org/users/9870935/items/4MHP9M8P"],"itemData":{"id":2180,"type":"document","title":"Risk Structure and Financial Hedging in Nodal Electricity Markets","URL":"https://www.oxfordenergy.org/wpcms/wp-content/uploads/2026/01/EL-61-Risk-Structure-and-Financial-Hedging.pdf","author":[{"family":"Daniel Yang","given":""}]}}],"schema":"https://github.com/citation-style-language/schema/raw/master/csl-citation.json"} </w:instrText>
      </w:r>
      <w:r w:rsidR="00F85C33">
        <w:rPr>
          <w:i w:val="0"/>
          <w:iCs/>
          <w:color w:val="auto"/>
        </w:rPr>
        <w:fldChar w:fldCharType="separate"/>
      </w:r>
      <w:r w:rsidR="00F85C33" w:rsidRPr="00F85C33">
        <w:t>[175]</w:t>
      </w:r>
      <w:r w:rsidR="00F85C33">
        <w:rPr>
          <w:i w:val="0"/>
          <w:iCs/>
          <w:color w:val="auto"/>
        </w:rPr>
        <w:fldChar w:fldCharType="end"/>
      </w:r>
      <w:r w:rsidRPr="0017345A">
        <w:rPr>
          <w:i w:val="0"/>
          <w:iCs/>
          <w:color w:val="auto"/>
        </w:rPr>
        <w:t>.</w:t>
      </w:r>
    </w:p>
    <w:p w14:paraId="72AE9C3D" w14:textId="5A820873" w:rsidR="00DF7526" w:rsidRDefault="00DF7526" w:rsidP="00DF7526">
      <w:pPr>
        <w:pStyle w:val="Heading1"/>
        <w:keepNext/>
      </w:pPr>
      <w:r>
        <w:t>1</w:t>
      </w:r>
      <w:r w:rsidR="00AD7656">
        <w:t>1</w:t>
      </w:r>
      <w:r>
        <w:t xml:space="preserve">. </w:t>
      </w:r>
      <w:r w:rsidR="00AD7656">
        <w:t>Operational Strategies and Demand-Side Integration</w:t>
      </w:r>
    </w:p>
    <w:p w14:paraId="624BB4D6" w14:textId="6549CAF3" w:rsidR="00510160" w:rsidRDefault="00510160" w:rsidP="00510160">
      <w:pPr>
        <w:spacing w:after="120"/>
        <w:ind w:firstLine="480"/>
      </w:pPr>
      <w:r>
        <w:t xml:space="preserve">This </w:t>
      </w:r>
      <w:r w:rsidR="002068F4">
        <w:t>section</w:t>
      </w:r>
      <w:r>
        <w:t xml:space="preserve"> examines the operational strategies that maximize renewable energy utilization in AI data centers, with particular emphasis on demand-side management, workload flexibility, and real-time grid services. These strategies leverage the unique characteristics of AI workloads to create value that is not available in conventional electricity-consuming facilities.</w:t>
      </w:r>
    </w:p>
    <w:p w14:paraId="7847A93F" w14:textId="79031149" w:rsidR="00510160" w:rsidRDefault="00510160" w:rsidP="00510160">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4902C1AA" w14:textId="53E1A429" w:rsidR="00F72FC8" w:rsidRDefault="00F72FC8" w:rsidP="000812E0">
      <w:pPr>
        <w:spacing w:after="120"/>
        <w:ind w:firstLine="480"/>
      </w:pPr>
      <w:r w:rsidRPr="00F72FC8">
        <w:t>Accurate forecasting of renewable energy supplies is the key to implementing effective demand-side management. The accuracy of solar forecasting depends on the time scale forecasted (3–12</w:t>
      </w:r>
      <w:r w:rsidR="000812E0">
        <w:t xml:space="preserve">% </w:t>
      </w:r>
      <w:r w:rsidRPr="00F72FC8">
        <w:t>MAPE for day-ahead forecasts using numerical weather prediction models; 3–8</w:t>
      </w:r>
      <w:r w:rsidR="000812E0">
        <w:t xml:space="preserve">% </w:t>
      </w:r>
      <w:r w:rsidRPr="00F72FC8">
        <w:t>MAPE for intra-hour forecasts based on satellite observations and sky-camera networks; and less than 3</w:t>
      </w:r>
      <w:r w:rsidR="000812E0">
        <w:t xml:space="preserve">% </w:t>
      </w:r>
      <w:r w:rsidRPr="00F72FC8">
        <w:t>MAPE for very short-term forecasting on the minute scale, according to persistence assumptions). Weather forecasting for wind is not as precise as solar forecasting, with day-ahead MAPE for renewables ranging from 10</w:t>
      </w:r>
      <w:r w:rsidR="000812E0">
        <w:t xml:space="preserve">% </w:t>
      </w:r>
      <w:r w:rsidRPr="00F72FC8">
        <w:t>to 18</w:t>
      </w:r>
      <w:r w:rsidR="000812E0">
        <w:t xml:space="preserve">% </w:t>
      </w:r>
      <w:r w:rsidRPr="00F72FC8">
        <w:t xml:space="preserve">based on a geographic area and terrain complexity. Machine learning post-processing based on LSTM </w:t>
      </w:r>
      <w:r w:rsidRPr="00F72FC8">
        <w:lastRenderedPageBreak/>
        <w:t>and more sophisticated graph-based architectures has been shown to reduce MAPE by 20-30</w:t>
      </w:r>
      <w:r w:rsidR="000812E0">
        <w:t xml:space="preserve">% </w:t>
      </w:r>
      <w:r w:rsidRPr="00F72FC8">
        <w:t>from NWP raw data, especially at lead times between 1 hour and 6 hours</w:t>
      </w:r>
      <w:r w:rsidR="000812E0">
        <w:fldChar w:fldCharType="begin"/>
      </w:r>
      <w:r w:rsidR="00AE36CD">
        <w:instrText xml:space="preserve"> ADDIN ZOTERO_ITEM CSL_CITATION {"citationID":"oKsAp9N7","properties":{"unsorted":false,"formattedCitation":"[176], [177]","plainCitation":"[176], [177]","dontUpdate":true,"noteIndex":0},"citationItems":[{"id":2182,"uris":["http://zotero.org/users/9870935/items/9R7AGJK8"],"itemData":{"id":2182,"type":"article-journal","abstract":"DemandLens demonstrates an innovative Prophetbased forecasting model for the mattress-in-a-box industry, incorporating COVID-19 metrics and SKU-specific hyperparameter optimization. This industry has seen significant growth of E-commerce players in the recent years, wherein the business model majorly relies on outsourcing Mattress manufacturing and related logistics and supply chain operations, focusing on marketing the product and driving conversions through Direct-to-Consumer sales channels. Now, within the United States, there are a limited number of Mattress contract manufacturers available, and hence, it is important that they manage their raw materials, supply chain, and, inventory intelligently, to be able to cater maximum Mattress brands. Our approach addresses the critical need for accurate Sales Forecasting in an industry that is heavily dependent on third-party Contract Manufacturing. This, in turn, helps the contract manufacturers to be prepared, hence, avoiding bottleneck scenarios, and aiding them to source raw materials at optimal rates. The model demonstrates strong predictive capabilities through SKU-specific Hyperparameter optimization, offering the Contract Manufacturers and Mattress brands a reliable tool to streamline supply chain operations.","language":"en","source":"Zotero","title":"DemandLens: Enhancing Forecast Accuracy Through Product-Specific Hyperparameter Optimization","author":[{"family":"Pillai","given":"Srijesh"},{"family":"Nazir","given":"M I Jawid"}]}},{"id":2183,"uris":["http://zotero.org/users/9870935/items/2WSP2832"],"itemData":{"id":2183,"type":"post-weblog","title":"PJM State of the Market - 2025","URL":"https://www.monitoringanalytics.com/reports/PJM_State_of_the_Market/2025.shtml","author":[{"family":"PJM","given":""}]}}],"schema":"https://github.com/citation-style-language/schema/raw/master/csl-citation.json"} </w:instrText>
      </w:r>
      <w:r w:rsidR="000812E0">
        <w:fldChar w:fldCharType="separate"/>
      </w:r>
      <w:r w:rsidR="000812E0" w:rsidRPr="000812E0">
        <w:t>[176]</w:t>
      </w:r>
      <w:r w:rsidR="000812E0">
        <w:fldChar w:fldCharType="end"/>
      </w:r>
      <w:r w:rsidR="00EF54E4" w:rsidRPr="00F72FC8">
        <w:t xml:space="preserve"> </w:t>
      </w:r>
      <w:r w:rsidRPr="00F72FC8">
        <w:t>.</w:t>
      </w:r>
    </w:p>
    <w:p w14:paraId="237584FC" w14:textId="509A3DEA" w:rsidR="00685D20" w:rsidRPr="00F72FC8" w:rsidRDefault="00685D20" w:rsidP="00AA4A79">
      <w:pPr>
        <w:spacing w:after="120"/>
        <w:ind w:firstLine="480"/>
      </w:pPr>
      <w:r w:rsidRPr="00F914E9">
        <w:t>Uncertainty also flows through the dispatch optimization process, and the control system must have reserves to accommodate forecast errors. Non-conservative dispatch strategies, such as planning for optimistic energy supply, can lead to sub-optimal economic results but maintain reliability. Stochastic optimization methods explicitly capture the uncertainty in the forecasting process by incorporating probability distributions into the optimization, offering a more delicate trade-off between economic efficiency and reliability. Considering uncertainty in forecasting and increased grid volatility the frame work suggests keeping a minimum reserve margin of 15-20</w:t>
      </w:r>
      <w:r w:rsidR="00AA4A79">
        <w:t xml:space="preserve">% </w:t>
      </w:r>
      <w:r w:rsidR="00AA4A79" w:rsidRPr="00F914E9">
        <w:t>above</w:t>
      </w:r>
      <w:r w:rsidRPr="00F914E9">
        <w:t xml:space="preserve"> the forecast of renewable shortfall </w:t>
      </w:r>
      <w:r w:rsidRPr="000812E0">
        <w:t>[177]</w:t>
      </w:r>
      <w:r w:rsidRPr="00F914E9">
        <w:t>.</w:t>
      </w:r>
    </w:p>
    <w:p w14:paraId="09CC6AAE" w14:textId="76DB0612" w:rsidR="00F72FC8" w:rsidRPr="00F914E9" w:rsidRDefault="000812E0" w:rsidP="00F914E9">
      <w:pPr>
        <w:pStyle w:val="Heading20"/>
        <w:jc w:val="both"/>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1F326157" w14:textId="1C0D02DE" w:rsidR="00F72FC8" w:rsidRPr="00AA4A79" w:rsidRDefault="00F72FC8" w:rsidP="00AE36CD">
      <w:pPr>
        <w:spacing w:after="120"/>
        <w:ind w:firstLine="480"/>
      </w:pPr>
      <w:r w:rsidRPr="00F914E9">
        <w:t>AI workload scheduling is the first paradigm shift of DSG and takes advantage of the flexibility of many workloads to schedule them to coincide with the availability of green electricity. Training workloads, which are the most power-intensive but also the most flexible, can be deferred by hours to days without impacting project timelines, as long as total compute time budgets are maintained</w:t>
      </w:r>
      <w:r w:rsidR="00AE36CD">
        <w:fldChar w:fldCharType="begin"/>
      </w:r>
      <w:r w:rsidR="00AE36CD">
        <w:instrText xml:space="preserve"> ADDIN ZOTERO_ITEM CSL_CITATION {"citationID":"rxw6GAGM","properties":{"unsorted":false,"formattedCitation":"[178]","plainCitation":"[178]","noteIndex":0},"citationItems":[{"id":2184,"uris":["http://zotero.org/users/9870935/items/X3S9L2KG"],"itemData":{"id":2184,"type":"post-weblog","title":"Global energy demands within the AI regulatory landscape","URL":"https://www.brookings.edu/articles/global-energy-demands-within-the-ai-regulatory-landscape/","author":[{"family":"Brooke Tanner","given":""}]}}],"schema":"https://github.com/citation-style-language/schema/raw/master/csl-citation.json"} </w:instrText>
      </w:r>
      <w:r w:rsidR="00AE36CD">
        <w:fldChar w:fldCharType="separate"/>
      </w:r>
      <w:r w:rsidR="00AE36CD" w:rsidRPr="00AE36CD">
        <w:t>[178]</w:t>
      </w:r>
      <w:r w:rsidR="00AE36CD">
        <w:fldChar w:fldCharType="end"/>
      </w:r>
      <w:r w:rsidRPr="00F914E9">
        <w:t>. As an example, a frontier model with a training energy of 10,000-50,000 MWh can in theory be spread over a longer training duration to ramp down the peak power consumption, if the training algorithm can be checkpointed and resumed later.</w:t>
      </w:r>
      <w:r w:rsidR="00AE36CD">
        <w:t xml:space="preserve"> </w:t>
      </w:r>
    </w:p>
    <w:p w14:paraId="56A27248" w14:textId="020E8F20" w:rsidR="00F72FC8" w:rsidRPr="00AE36CD" w:rsidRDefault="00F72FC8" w:rsidP="00AE36CD">
      <w:pPr>
        <w:spacing w:after="120"/>
        <w:ind w:firstLine="480"/>
      </w:pPr>
      <w:r w:rsidRPr="00AE36CD">
        <w:t>Latency requirements make the scheduling challenge for inference workloads more complicated. The interaction with users will depend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A tiered scheduling method that prioritizes real-time inference, then batch inference, then training then background tasks is giving a systematic way to prioritize demand for limited, renewable energy.</w:t>
      </w:r>
    </w:p>
    <w:p w14:paraId="310708E7" w14:textId="1A4D214B" w:rsidR="00F72FC8" w:rsidRPr="00AE36CD" w:rsidRDefault="00F72FC8" w:rsidP="00AE36CD">
      <w:pPr>
        <w:spacing w:after="120"/>
        <w:ind w:firstLine="480"/>
      </w:pPr>
      <w:r w:rsidRPr="00AE36CD">
        <w:t>The EMS maintains a renewable availability API that will give 24-48 hour forecasts that will tell you what portion of the workload you can expect to achieve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seek to optimise for energy efficiency and alignment with renewable energy resources.</w:t>
      </w:r>
    </w:p>
    <w:p w14:paraId="10C8B09D" w14:textId="77777777" w:rsidR="00E75DCC" w:rsidRPr="00E75DCC" w:rsidRDefault="00E75DCC" w:rsidP="00E75DCC">
      <w:pPr>
        <w:pStyle w:val="Heading20"/>
        <w:jc w:val="both"/>
        <w:rPr>
          <w:color w:val="auto"/>
        </w:rPr>
      </w:pPr>
      <w:bookmarkStart w:id="7" w:name="_Toc100078"/>
      <w:r w:rsidRPr="00E75DCC">
        <w:rPr>
          <w:color w:val="auto"/>
        </w:rPr>
        <w:t>11.3 Multi-Facility Load Balancing and Geographic Diversity</w:t>
      </w:r>
      <w:bookmarkEnd w:id="7"/>
    </w:p>
    <w:p w14:paraId="75ED4A1A" w14:textId="62E96230" w:rsidR="00F72FC8" w:rsidRPr="003C4670" w:rsidRDefault="003C4670" w:rsidP="003C4670">
      <w:pPr>
        <w:spacing w:after="120"/>
        <w:ind w:firstLine="480"/>
      </w:pPr>
      <w:r w:rsidRPr="003C4670">
        <w:t xml:space="preserve">Multi-facility load balancing exploits the spatial variability of renewable resources across geographically distributed data centers. Facilities separated by more than 500 km typically exhibit low correlation in wind and solar generation, enabling load to be routed to </w:t>
      </w:r>
      <w:r w:rsidRPr="003C4670">
        <w:lastRenderedPageBreak/>
        <w:t>facilities with the most favorable current renewable conditions. A practical example: an operator with facilities on the U.S. East Coast and West Coast can exploit the three-hour time zone difference and different weather patterns to shift workloads, potentially reducing aggregate storage requirements by 50 to 70</w:t>
      </w:r>
      <w:r w:rsidR="00365172">
        <w:t>%</w:t>
      </w:r>
      <w:r w:rsidRPr="003C4670">
        <w:t>.</w:t>
      </w:r>
    </w:p>
    <w:p w14:paraId="11E49219" w14:textId="06A13768" w:rsidR="003C4670" w:rsidRPr="003C4670" w:rsidRDefault="003C4670" w:rsidP="003C4670">
      <w:pPr>
        <w:spacing w:after="120"/>
        <w:ind w:firstLine="480"/>
      </w:pPr>
      <w:r w:rsidRPr="003C4670">
        <w:t>Technical constraints on multi-facility load balancing include network latency (some workloads cannot tolerate inter-region delays), data residency requirements (GDPR and other regulations may require processing in specific geographic regions), and inter-facility data transfer costs, which range from $5 to $15 per Mbps per month for dedicated connections. Suitable workload pools for geographic distribution include stateless inference (easily replicated across regions), batch processing (minimal real-time networking requirements), and data replication (maintaining copies of datasets across facilities to avoid large data transfers during workload migration).</w:t>
      </w:r>
    </w:p>
    <w:p w14:paraId="1AB89217" w14:textId="21ECD134" w:rsidR="003C4670" w:rsidRDefault="00C33AC1" w:rsidP="00C33AC1">
      <w:pPr>
        <w:pStyle w:val="Heading20"/>
        <w:jc w:val="both"/>
        <w:rPr>
          <w:color w:val="auto"/>
        </w:rPr>
      </w:pPr>
      <w:r w:rsidRPr="00E75DCC">
        <w:rPr>
          <w:color w:val="auto"/>
        </w:rPr>
        <w:t>11.</w:t>
      </w:r>
      <w:r w:rsidR="00272BD0">
        <w:rPr>
          <w:color w:val="auto"/>
        </w:rPr>
        <w:t>4</w:t>
      </w:r>
      <w:r w:rsidRPr="00E75DCC">
        <w:rPr>
          <w:color w:val="auto"/>
        </w:rPr>
        <w:t xml:space="preserve"> </w:t>
      </w:r>
      <w:r w:rsidRPr="00C33AC1">
        <w:rPr>
          <w:color w:val="auto"/>
        </w:rPr>
        <w:t>Real-Time Demand Response and Grid Services</w:t>
      </w:r>
    </w:p>
    <w:p w14:paraId="3FEA21F0" w14:textId="424AA649" w:rsidR="00C33AC1" w:rsidRPr="00E26484" w:rsidRDefault="00C33AC1" w:rsidP="00F50509">
      <w:pPr>
        <w:spacing w:after="120"/>
        <w:ind w:firstLine="480"/>
      </w:pPr>
      <w:r w:rsidRPr="00E26484">
        <w:t>Data center battery systems and flex load applications can benefit from programs in the wholesale electricity markets that provide revenue and contribute to grid reliability. The planned introduction of primary frequency response (PFR) will see the data centre power consumption or battery discharge automatically change within seconds of detecting any frequency deviation, creating a new grid stability service previously provided by synchronous generators</w:t>
      </w:r>
      <w:r w:rsidR="00F50509">
        <w:fldChar w:fldCharType="begin"/>
      </w:r>
      <w:r w:rsidR="00F50509">
        <w:instrText xml:space="preserve"> ADDIN ZOTERO_ITEM CSL_CITATION {"citationID":"Y4UD9b6D","properties":{"unsorted":false,"formattedCitation":"[179]","plainCitation":"[179]","noteIndex":0},"citationItems":[{"id":2185,"uris":["http://zotero.org/users/9870935/items/NXIUNXK7"],"itemData":{"id":2185,"type":"post-weblog","title":"Data Centers in 2026: 5 Trends Reshaping Power, Cost, and Resilience","URL":"https://www.enersys.com/en/blog-articles/data-centers-five-trends-reshaping-power-cost-and-resilience/","author":[{"family":"Alistair Baker-Brian","given":""}]}}],"schema":"https://github.com/citation-style-language/schema/raw/master/csl-citation.json"} </w:instrText>
      </w:r>
      <w:r w:rsidR="00F50509">
        <w:fldChar w:fldCharType="separate"/>
      </w:r>
      <w:r w:rsidR="00F50509" w:rsidRPr="00F50509">
        <w:t>[179]</w:t>
      </w:r>
      <w:r w:rsidR="00F50509">
        <w:fldChar w:fldCharType="end"/>
      </w:r>
      <w:r w:rsidRPr="00E26484">
        <w:t xml:space="preserve">. </w:t>
      </w:r>
    </w:p>
    <w:p w14:paraId="654839F6" w14:textId="4DFBA936" w:rsidR="00C33AC1" w:rsidRPr="00E26484" w:rsidRDefault="00C33AC1" w:rsidP="008513ED">
      <w:pPr>
        <w:spacing w:after="120"/>
        <w:ind w:firstLine="480"/>
      </w:pPr>
      <w:r w:rsidRPr="00E26484">
        <w:t xml:space="preserve">Based on market data of approximately $100 per MW per hour (4,000 hours of annual supply) for a 100 MW data center with 10 MW of PFR capacity for backup, that power source can generate approximately $4 million in revenue annually. </w:t>
      </w:r>
      <w:r w:rsidR="00F50509">
        <w:t xml:space="preserve"> </w:t>
      </w:r>
      <w:r w:rsidRPr="00E26484">
        <w:t>Voltage support services, providing reactive power (VARs) to maintain voltage levels on the distribution system, represent another revenue opportunity. Grid-forming and voltage-source control (VSC) inverters can supply reactive power while maintaining no impact on real power generation, thereby allowing them to be used for a zero-marginal-cost ancillary service. Economic valuation of an inverter capacity of 100 MW data center shows the savings generated per year from voltage support services in a data center range from USD 750,000 to USD 1.5 million based on the market value and locational incremental value</w:t>
      </w:r>
      <w:r w:rsidR="008513ED">
        <w:fldChar w:fldCharType="begin"/>
      </w:r>
      <w:r w:rsidR="008513ED">
        <w:instrText xml:space="preserve"> ADDIN ZOTERO_ITEM CSL_CITATION {"citationID":"DkxR3FXF","properties":{"unsorted":false,"formattedCitation":"[180]","plainCitation":"[180]","noteIndex":0},"citationItems":[{"id":2187,"uris":["http://zotero.org/users/9870935/items/QBPJJEAI"],"itemData":{"id":2187,"type":"article-journal","language":"en","source":"Zotero","title":"Variable Renewable Energy Participation in U.S. Ancillary Services Markets","author":[{"family":"Kahrl","given":"Fredrich"},{"family":"Kim","given":"James Hyungkwan"},{"family":"Mills","given":"Andrew"},{"family":"Wiser","given":"Ryan"},{"family":"Montañés","given":"Crespo"},{"family":"Gorman","given":"Will"}]}}],"schema":"https://github.com/citation-style-language/schema/raw/master/csl-citation.json"} </w:instrText>
      </w:r>
      <w:r w:rsidR="008513ED">
        <w:fldChar w:fldCharType="separate"/>
      </w:r>
      <w:r w:rsidR="008513ED" w:rsidRPr="008513ED">
        <w:t>[180]</w:t>
      </w:r>
      <w:r w:rsidR="008513ED">
        <w:fldChar w:fldCharType="end"/>
      </w:r>
      <w:r w:rsidRPr="00E26484">
        <w:t xml:space="preserve">. </w:t>
      </w:r>
    </w:p>
    <w:p w14:paraId="7783A989" w14:textId="4D4FAF78" w:rsidR="00C33AC1" w:rsidRPr="00C34C89" w:rsidRDefault="00C33AC1" w:rsidP="00C34C89">
      <w:pPr>
        <w:pStyle w:val="Heading20"/>
        <w:jc w:val="both"/>
        <w:rPr>
          <w:color w:val="auto"/>
        </w:rPr>
      </w:pPr>
      <w:r w:rsidRPr="00E75DCC">
        <w:rPr>
          <w:color w:val="auto"/>
        </w:rPr>
        <w:t>11.</w:t>
      </w:r>
      <w:r w:rsidR="00272BD0">
        <w:rPr>
          <w:color w:val="auto"/>
        </w:rPr>
        <w:t>5</w:t>
      </w:r>
      <w:r w:rsidRPr="00E75DCC">
        <w:rPr>
          <w:color w:val="auto"/>
        </w:rPr>
        <w:t xml:space="preserve"> </w:t>
      </w:r>
      <w:r w:rsidR="00272BD0">
        <w:t>Energy Management System and Control Architecture</w:t>
      </w:r>
    </w:p>
    <w:p w14:paraId="06CCAFB7" w14:textId="61F0CFEA" w:rsidR="00C34C89" w:rsidRDefault="00C33AC1" w:rsidP="00843609">
      <w:pPr>
        <w:spacing w:after="120"/>
        <w:ind w:firstLine="480"/>
      </w:pPr>
      <w:r w:rsidRPr="00C34C89">
        <w:t>Here, the EMS will use a hierarchical control system architecture with three timescales and with varying control objectives. Level 1 (device-level) reacts to the changes in frequency and voltage in milliseconds to deliver the primary frequency response and Voltage regulation via the inverter/battery controller. With 24 to 48 hour horizons and model predictive control, Level 2 (facility-level) implements dispatch optimization hours, achieving a balance of minimising energy cost/and or carbon emissions while maintaining reliability targets. The Level 3 (corporate-level) is responsible for allocation of resources across multiple facilities, routing workloads to facilities whose renewable conditions are most favorable, and coordinating inter-facility energy exchanges.</w:t>
      </w:r>
      <w:r w:rsidR="00BE113B">
        <w:t xml:space="preserve"> </w:t>
      </w:r>
      <w:r w:rsidRPr="00C34C89">
        <w:t xml:space="preserve">The EMS's capabilities encompass forecasting, optimization, monitoring, and cyber security. Forecast modules include solar and wind </w:t>
      </w:r>
      <w:r w:rsidRPr="00C34C89">
        <w:lastRenderedPageBreak/>
        <w:t>forecasts and load forecasts over a range of time scales. Optimization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rsidR="00843609">
        <w:fldChar w:fldCharType="begin"/>
      </w:r>
      <w:r w:rsidR="00843609">
        <w:instrText xml:space="preserve"> ADDIN ZOTERO_ITEM CSL_CITATION {"citationID":"Ety4nGr4","properties":{"unsorted":false,"formattedCitation":"[178]","plainCitation":"[178]","noteIndex":0},"citationItems":[{"id":2184,"uris":["http://zotero.org/users/9870935/items/X3S9L2KG"],"itemData":{"id":2184,"type":"post-weblog","title":"Global energy demands within the AI regulatory landscape","URL":"https://www.brookings.edu/articles/global-energy-demands-within-the-ai-regulatory-landscape/","author":[{"family":"Brooke Tanner","given":""}]}}],"schema":"https://github.com/citation-style-language/schema/raw/master/csl-citation.json"} </w:instrText>
      </w:r>
      <w:r w:rsidR="00843609">
        <w:fldChar w:fldCharType="separate"/>
      </w:r>
      <w:r w:rsidR="00843609" w:rsidRPr="00843609">
        <w:t>[178]</w:t>
      </w:r>
      <w:r w:rsidR="00843609">
        <w:fldChar w:fldCharType="end"/>
      </w:r>
      <w:r w:rsidRPr="00C34C89">
        <w:t xml:space="preserve">. </w:t>
      </w:r>
    </w:p>
    <w:p w14:paraId="116650FB" w14:textId="01AFDE74" w:rsidR="00272BD0" w:rsidRPr="00A0692C" w:rsidRDefault="00272BD0" w:rsidP="00A0692C">
      <w:pPr>
        <w:pStyle w:val="Heading20"/>
        <w:jc w:val="both"/>
        <w:rPr>
          <w:color w:val="auto"/>
        </w:rPr>
      </w:pPr>
      <w:commentRangeStart w:id="8"/>
      <w:r w:rsidRPr="00E75DCC">
        <w:rPr>
          <w:color w:val="auto"/>
        </w:rPr>
        <w:t>11.</w:t>
      </w:r>
      <w:r w:rsidR="002E5A5D">
        <w:rPr>
          <w:color w:val="auto"/>
        </w:rPr>
        <w:t>6</w:t>
      </w:r>
      <w:r w:rsidRPr="00E75DCC">
        <w:rPr>
          <w:color w:val="auto"/>
        </w:rPr>
        <w:t xml:space="preserve"> </w:t>
      </w:r>
      <w:r w:rsidR="00E47D1C">
        <w:t>Cooling and Thermal Management Integration</w:t>
      </w:r>
    </w:p>
    <w:p w14:paraId="67868975" w14:textId="77777777" w:rsidR="00C34C89" w:rsidRPr="00A0692C" w:rsidRDefault="00C33AC1" w:rsidP="00A0692C">
      <w:pPr>
        <w:spacing w:after="120"/>
        <w:ind w:firstLine="480"/>
      </w:pPr>
      <w:r w:rsidRPr="00A0692C">
        <w:t xml:space="preserve">There are opportunities for efficiency improvements in the integration of cooling into the renewable electricity supply, which is referred to as </w:t>
      </w:r>
      <w:r w:rsidR="00C34C89" w:rsidRPr="00A0692C">
        <w:t>p</w:t>
      </w:r>
      <w:r w:rsidRPr="00A0692C">
        <w:t>erformance metrics tracked by the EMS.</w:t>
      </w:r>
      <w:r w:rsidR="00C34C89" w:rsidRPr="00A0692C">
        <w:t xml:space="preserve"> </w:t>
      </w:r>
      <w:r w:rsidRPr="00A0692C">
        <w:t xml:space="preserve">Cooling system integration with the renewable energy supply is a significant opportunity for efficiency improvements, which are contained in </w:t>
      </w:r>
      <w:r w:rsidR="00C34C89" w:rsidRPr="00A0692C">
        <w:t>p</w:t>
      </w:r>
      <w:r w:rsidRPr="00A0692C">
        <w:t>erformance metrics tracked by the EMS. Examples of thermal energy storage (TES) systems are chilled water storage and ice storage where the cooling demand can be satisfied at times when the electricity demand is low and the thermal energy can be saved for later use. For managing thermal loads, the cost-effective TES solution is complemented by electrical storage, delivered with round trip values of about 70 to 80</w:t>
      </w:r>
      <w:r w:rsidR="00C34C89" w:rsidRPr="00A0692C">
        <w:t xml:space="preserve">% </w:t>
      </w:r>
      <w:r w:rsidRPr="00A0692C">
        <w:t>for the storage phase, versus 85 to 95</w:t>
      </w:r>
      <w:r w:rsidR="00C34C89" w:rsidRPr="00A0692C">
        <w:t xml:space="preserve">% </w:t>
      </w:r>
      <w:r w:rsidRPr="00A0692C">
        <w:t>for electrical storage.</w:t>
      </w:r>
    </w:p>
    <w:p w14:paraId="0E421B61" w14:textId="01B7CF3C" w:rsidR="00C33AC1" w:rsidRPr="00A0692C" w:rsidRDefault="00C33AC1" w:rsidP="00A0692C">
      <w:pPr>
        <w:spacing w:after="120"/>
        <w:ind w:firstLine="480"/>
      </w:pPr>
      <w:r w:rsidRPr="00A0692C">
        <w:t>Dynamic setpoint management extends data center inlet temperatures when renewable energy is limited or cooling requires significant energy use, compromising equipment lifespan or energy efficiency. Cooling energy could be decreased by 15-25</w:t>
      </w:r>
      <w:r w:rsidR="00021D4C" w:rsidRPr="00A0692C">
        <w:t>%</w:t>
      </w:r>
      <w:r w:rsidRPr="00A0692C">
        <w:t xml:space="preserve"> </w:t>
      </w:r>
      <w:r w:rsidR="00843609">
        <w:fldChar w:fldCharType="begin"/>
      </w:r>
      <w:r w:rsidR="0072648C">
        <w:instrText xml:space="preserve"> ADDIN ZOTERO_ITEM CSL_CITATION {"citationID":"U4yOE9tr","properties":{"unsorted":false,"formattedCitation":"[178]","plainCitation":"[178]","noteIndex":0},"citationItems":[{"id":2184,"uris":["http://zotero.org/users/9870935/items/X3S9L2KG"],"itemData":{"id":2184,"type":"post-weblog","title":"Global energy demands within the AI regulatory landscape","URL":"https://www.brookings.edu/articles/global-energy-demands-within-the-ai-regulatory-landscape/","author":[{"family":"Brooke Tanner","given":""}]}}],"schema":"https://github.com/citation-style-language/schema/raw/master/csl-citation.json"} </w:instrText>
      </w:r>
      <w:r w:rsidR="00843609">
        <w:fldChar w:fldCharType="separate"/>
      </w:r>
      <w:r w:rsidR="00843609" w:rsidRPr="00843609">
        <w:t>[178]</w:t>
      </w:r>
      <w:r w:rsidR="00843609">
        <w:fldChar w:fldCharType="end"/>
      </w:r>
      <w:r w:rsidRPr="00A0692C">
        <w:t xml:space="preserve"> for the periods when renewables are limited, by increasing inlet water temperatures from the traditional 20 to 22 degrees Celsius to 32 to 35 degrees Celsius (up to 40–45 degrees Celsius for liquid cooling loops). They achieve further cooling energy savings through (toolstick) free cooling windows, which operate in many climates in the winter months and overnight, taking advantage of favourable ambient temperatures without using mechanical cooling. Waste heat recovered by the data centre and used in other applications, such as district heating, greenhouse heating, or industry, can contribute to reducing data centre energy expenditure by 5-10% and enhance system efficiency.</w:t>
      </w:r>
      <w:commentRangeEnd w:id="8"/>
      <w:r w:rsidR="00BE113B" w:rsidRPr="00A0692C">
        <w:rPr>
          <w:rStyle w:val="CommentReference"/>
          <w:sz w:val="24"/>
          <w:szCs w:val="20"/>
        </w:rPr>
        <w:commentReference w:id="8"/>
      </w:r>
    </w:p>
    <w:p w14:paraId="5B04275D" w14:textId="1B21B037" w:rsidR="00817CAF" w:rsidRPr="00F56D3B" w:rsidRDefault="00817CAF" w:rsidP="00817CAF">
      <w:pPr>
        <w:pStyle w:val="Heading1"/>
        <w:keepNext/>
        <w:rPr>
          <w:lang w:val="en-US"/>
        </w:rPr>
      </w:pPr>
      <w:r>
        <w:t>12. Regulatory, Policy, and Sustainability</w:t>
      </w:r>
    </w:p>
    <w:p w14:paraId="63D59870" w14:textId="5AFBA6F0" w:rsidR="00F56D3B" w:rsidRDefault="00F56D3B" w:rsidP="00F56D3B">
      <w:pPr>
        <w:spacing w:after="120"/>
        <w:ind w:firstLine="480"/>
      </w:pPr>
      <w:r>
        <w:t xml:space="preserve">This </w:t>
      </w:r>
      <w:r w:rsidR="002068F4">
        <w:t>section</w:t>
      </w:r>
      <w:r>
        <w:t xml:space="preserve"> examines the regulatory environment, policy frameworks, and sustainability standards that govern the design and operation of renewable-powered data centers. Effective navigation of this landscape is essential for project permitting, interconnection, and long-term compliance with evolving environmental requirements.</w:t>
      </w:r>
    </w:p>
    <w:p w14:paraId="6BDF5576" w14:textId="6E760347" w:rsidR="00EA6137" w:rsidRDefault="00EA6137" w:rsidP="00EA6137">
      <w:pPr>
        <w:pStyle w:val="Heading20"/>
        <w:jc w:val="both"/>
      </w:pPr>
      <w:r w:rsidRPr="00E75DCC">
        <w:rPr>
          <w:color w:val="auto"/>
        </w:rPr>
        <w:t>1</w:t>
      </w:r>
      <w:r>
        <w:rPr>
          <w:color w:val="auto"/>
        </w:rPr>
        <w:t>2.1</w:t>
      </w:r>
      <w:r w:rsidRPr="00E75DCC">
        <w:rPr>
          <w:color w:val="auto"/>
        </w:rPr>
        <w:t xml:space="preserve"> </w:t>
      </w:r>
      <w:r>
        <w:t>Grid Interconnection Standards</w:t>
      </w:r>
    </w:p>
    <w:p w14:paraId="26B8440A" w14:textId="1811FBC1" w:rsidR="00BE55EA" w:rsidRDefault="00BE55EA" w:rsidP="00F14FD4">
      <w:pPr>
        <w:spacing w:after="120"/>
        <w:ind w:firstLine="480"/>
      </w:pPr>
      <w:r w:rsidRPr="00BE55EA">
        <w:t xml:space="preserve">Grid Interconnection Standards are technology and operational criteria that distributed energy resources must abide by to get connected to the mains power grid. Up to now, the basis of distribution level interconnections is IEEE 1547. On the data center scale, which typically involves medium-voltage or transmission-voltage installation with generation </w:t>
      </w:r>
      <w:r w:rsidRPr="00BE55EA">
        <w:lastRenderedPageBreak/>
        <w:t xml:space="preserve">capacity ranging from 10 to 100 MW, the relevant standards would apply are IEEE 2800-2022, Inverter-based resources (IBRs) </w:t>
      </w:r>
      <w:r w:rsidR="0072648C">
        <w:fldChar w:fldCharType="begin"/>
      </w:r>
      <w:r w:rsidR="0072648C">
        <w:instrText xml:space="preserve"> ADDIN ZOTERO_ITEM CSL_CITATION {"citationID":"PikiXW36","properties":{"unsorted":false,"formattedCitation":"[181]","plainCitation":"[181]","noteIndex":0},"citationItems":[{"id":2189,"uris":["http://zotero.org/users/9870935/items/U4Y7SALQ"],"itemData":{"id":2189,"type":"article-journal","abstract":"The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72648C">
        <w:fldChar w:fldCharType="separate"/>
      </w:r>
      <w:r w:rsidR="0072648C" w:rsidRPr="0072648C">
        <w:t>[181]</w:t>
      </w:r>
      <w:r w:rsidR="0072648C">
        <w:fldChar w:fldCharType="end"/>
      </w:r>
      <w:r w:rsidRPr="00BE55EA">
        <w:t xml:space="preserve">. IBRs deployed in low system strength zones will soon become increasingly common in data centers, where short circuit ratio (SCR) becomes an important measurement of grid stability in order to guarantee the stability of control [1]. In today's interconnection studies, IBR fault ride-through and dynamic voltage support during transients are given significant attention. </w:t>
      </w:r>
      <w:r w:rsidR="00493D72" w:rsidRPr="00493D72">
        <w:t>FERC Order 2023, finalized in 2023, represented a major reform of transmission interconnection procedures by shifting to cluster studies and penalizing study delays. However, its implementation across regional transmission operators (RTOs) remains an ongoing challenge; as of the end of 2025, over 2,060 GW of generation and storage capacity were actively stalled in interconnection queues</w:t>
      </w:r>
      <w:r w:rsidR="00F14FD4">
        <w:fldChar w:fldCharType="begin"/>
      </w:r>
      <w:r w:rsidR="00F14FD4">
        <w:instrText xml:space="preserve"> ADDIN ZOTERO_ITEM CSL_CITATION {"citationID":"Px6p0cAj","properties":{"unsorted":false,"formattedCitation":"[182]","plainCitation":"[182]","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rsidR="00F14FD4">
        <w:fldChar w:fldCharType="separate"/>
      </w:r>
      <w:r w:rsidR="00F14FD4" w:rsidRPr="00F14FD4">
        <w:t>[182]</w:t>
      </w:r>
      <w:r w:rsidR="00F14FD4">
        <w:fldChar w:fldCharType="end"/>
      </w:r>
      <w:r w:rsidR="00493D72" w:rsidRPr="00493D72">
        <w:t>.</w:t>
      </w:r>
    </w:p>
    <w:p w14:paraId="79A4AF88" w14:textId="7A6E8C4E" w:rsidR="00DE2AF5" w:rsidRDefault="00DE2AF5" w:rsidP="00DE2AF5">
      <w:pPr>
        <w:pStyle w:val="Heading20"/>
        <w:jc w:val="both"/>
      </w:pPr>
      <w:r w:rsidRPr="00E75DCC">
        <w:rPr>
          <w:color w:val="auto"/>
        </w:rPr>
        <w:t>1</w:t>
      </w:r>
      <w:r>
        <w:rPr>
          <w:color w:val="auto"/>
        </w:rPr>
        <w:t>2.2</w:t>
      </w:r>
      <w:r w:rsidRPr="00E75DCC">
        <w:rPr>
          <w:color w:val="auto"/>
        </w:rPr>
        <w:t xml:space="preserve"> </w:t>
      </w:r>
      <w:r>
        <w:t>Renewable Energy Policies and Mandates</w:t>
      </w:r>
    </w:p>
    <w:p w14:paraId="4E1C867B" w14:textId="207F0BE7" w:rsidR="002C0878" w:rsidRPr="00EB3CAD" w:rsidRDefault="00EB3CAD" w:rsidP="007F3A9E">
      <w:pPr>
        <w:spacing w:after="120"/>
        <w:ind w:firstLine="480"/>
      </w:pPr>
      <w:r w:rsidRPr="00EB3CAD">
        <w:t>Renewable Portfolio Standards (RPS) and Clean Energy Standards (CES) require that utilities buy a percent of electricity from renewables. State-level call for corporate renewable procurement persist in the United States. But, as AI workloads continue to ramp up at an unprecedented rate, it has rapidly accelerated the shift in procurement moves projecting up to 945 TWh yearly worldwide by 2030</w:t>
      </w:r>
      <w:r w:rsidR="00095528">
        <w:fldChar w:fldCharType="begin"/>
      </w:r>
      <w:r w:rsidR="00095528">
        <w:instrText xml:space="preserve"> ADDIN ZOTERO_ITEM CSL_CITATION {"citationID":"2uQLzaxM","properties":{"unsorted":false,"formattedCitation":"[183]","plainCitation":"[183]","noteIndex":0},"citationItems":[{"id":2191,"uris":["http://zotero.org/users/9870935/items/PGQT4HIW"],"itemData":{"id":2191,"type":"document","title":"ENVIRONMENTAL COST OF AI'S ENERGY USE","author":[{"family":"UN","given":""}]}}],"schema":"https://github.com/citation-style-language/schema/raw/master/csl-citation.json"} </w:instrText>
      </w:r>
      <w:r w:rsidR="00095528">
        <w:fldChar w:fldCharType="separate"/>
      </w:r>
      <w:r w:rsidR="00095528" w:rsidRPr="00095528">
        <w:t>[183]</w:t>
      </w:r>
      <w:r w:rsidR="00095528">
        <w:fldChar w:fldCharType="end"/>
      </w:r>
      <w:r w:rsidRPr="00EB3CAD">
        <w:t>. In response to this demand, leading data centre companies are turning to nuclear generation partnership arrangements alongside traditional wind and solar PPAs to obtain baseload zero-carbon electricity. The EU Renewable Energy Directive (RED III) lays out a legal 42.5</w:t>
      </w:r>
      <w:r w:rsidR="007F3A9E">
        <w:t xml:space="preserve">% </w:t>
      </w:r>
      <w:r w:rsidRPr="00EB3CAD">
        <w:t>RE target in Europe until 2030. This legislation (reported requirements) is now functioning as a catalyst for the creation of direct corporate PPAs and cleaning generation schemes</w:t>
      </w:r>
      <w:r w:rsidR="007F3A9E">
        <w:fldChar w:fldCharType="begin"/>
      </w:r>
      <w:r w:rsidR="0079480E">
        <w:instrText xml:space="preserve"> ADDIN ZOTERO_ITEM CSL_CITATION {"citationID":"ufdpjCHf","properties":{"unsorted":false,"formattedCitation":"[184]","plainCitation":"[184]","noteIndex":0},"citationItems":[{"id":2193,"uris":["http://zotero.org/users/9870935/items/VDQUTJZK"],"itemData":{"id":2193,"type":"document","title":"Powering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rsidR="007F3A9E">
        <w:fldChar w:fldCharType="separate"/>
      </w:r>
      <w:r w:rsidR="007F3A9E" w:rsidRPr="007F3A9E">
        <w:t>[184]</w:t>
      </w:r>
      <w:r w:rsidR="007F3A9E">
        <w:fldChar w:fldCharType="end"/>
      </w:r>
      <w:r w:rsidRPr="00EB3CAD">
        <w:t>.</w:t>
      </w:r>
    </w:p>
    <w:p w14:paraId="5E614868" w14:textId="0EF99B92" w:rsidR="007F3A9E" w:rsidRDefault="007F3A9E" w:rsidP="007F3A9E">
      <w:pPr>
        <w:pStyle w:val="Heading20"/>
        <w:jc w:val="both"/>
      </w:pPr>
      <w:r w:rsidRPr="00E75DCC">
        <w:rPr>
          <w:color w:val="auto"/>
        </w:rPr>
        <w:t>1</w:t>
      </w:r>
      <w:r>
        <w:rPr>
          <w:color w:val="auto"/>
        </w:rPr>
        <w:t>2.3</w:t>
      </w:r>
      <w:r w:rsidRPr="00E75DCC">
        <w:rPr>
          <w:color w:val="auto"/>
        </w:rPr>
        <w:t xml:space="preserve"> </w:t>
      </w:r>
      <w:r>
        <w:t>Carbon Accounting and Environmental Reporting</w:t>
      </w:r>
    </w:p>
    <w:p w14:paraId="19F4F1F2" w14:textId="2C10BCB3" w:rsidR="00F12DCF" w:rsidRDefault="00AC40BA" w:rsidP="0079480E">
      <w:pPr>
        <w:spacing w:after="120"/>
        <w:ind w:firstLine="480"/>
      </w:pPr>
      <w:r w:rsidRPr="00AC40BA">
        <w:t xml:space="preserve">The standard framework for corporate carbon accounting is the Greenhouse Gas (GHG) Protocol. Secondly, scope 2 emissions include those arising from purchased electricity—using either location-based or market-based accounting methods. The transition to 24/7 Carbon-Free Energy (CFE) – pairing every hour of electricity usage with carbon-free electricity generation – has proven to be the new benchmark for data center sustainability. </w:t>
      </w:r>
      <w:r w:rsidR="00BD018A" w:rsidRPr="00BD018A">
        <w:t>Implementing 24/7 CFE requires sub-hourly granular data, advanced forecasting, and stringent temporal and spatial carbon accounting frameworks to verify continuous clean energy alignment and prevent the double-counting of clean energy attributes</w:t>
      </w:r>
      <w:r w:rsidR="0079480E">
        <w:fldChar w:fldCharType="begin"/>
      </w:r>
      <w:r w:rsidR="0079480E">
        <w:instrText xml:space="preserve"> ADDIN ZOTERO_ITEM CSL_CITATION {"citationID":"n6iDXFFL","properties":{"unsorted":false,"formattedCitation":"[185]","plainCitation":"[185]","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0079480E">
        <w:fldChar w:fldCharType="separate"/>
      </w:r>
      <w:r w:rsidR="0079480E" w:rsidRPr="0079480E">
        <w:t>[185]</w:t>
      </w:r>
      <w:r w:rsidR="0079480E">
        <w:fldChar w:fldCharType="end"/>
      </w:r>
      <w:r w:rsidRPr="00AC40BA">
        <w:t>.</w:t>
      </w:r>
    </w:p>
    <w:p w14:paraId="173A45B2" w14:textId="200FA1B7" w:rsidR="0079480E" w:rsidRDefault="0079480E" w:rsidP="0079480E">
      <w:pPr>
        <w:pStyle w:val="Heading20"/>
        <w:jc w:val="both"/>
      </w:pPr>
      <w:r w:rsidRPr="00E75DCC">
        <w:rPr>
          <w:color w:val="auto"/>
        </w:rPr>
        <w:t>1</w:t>
      </w:r>
      <w:r>
        <w:rPr>
          <w:color w:val="auto"/>
        </w:rPr>
        <w:t>2.4</w:t>
      </w:r>
      <w:r w:rsidRPr="00E75DCC">
        <w:rPr>
          <w:color w:val="auto"/>
        </w:rPr>
        <w:t xml:space="preserve"> </w:t>
      </w:r>
      <w:r>
        <w:t>Environmental Impact Assessment</w:t>
      </w:r>
    </w:p>
    <w:p w14:paraId="548BEE1A" w14:textId="0C6E4052" w:rsidR="0079480E" w:rsidRPr="00AC40BA" w:rsidRDefault="006E439E" w:rsidP="006E439E">
      <w:pPr>
        <w:spacing w:after="120"/>
        <w:ind w:firstLine="480"/>
      </w:pPr>
      <w:r w:rsidRPr="006E439E">
        <w:t xml:space="preserve">The environmental footprint of renewable energy projects and data centers with artificial intelligence needs to be minimized. Cooling systems for data centres offer a clear choice between electric-powered air cooling and water-powered evaporative cooling. Before the AI revolution, data centers in the U.S. alone used more than 17.4 billion gallons of water per year, and as demand for hyperscale facilities grows, it is estimated that their water consumption will scale up substantially. By 2030, the water consumption generated by global AI activity could exceed the minimum annual requirement for each person's domestic needs </w:t>
      </w:r>
      <w:r w:rsidRPr="006E439E">
        <w:lastRenderedPageBreak/>
        <w:t>by 1.3 billion people</w:t>
      </w:r>
      <w:r>
        <w:t xml:space="preserve"> while b</w:t>
      </w:r>
      <w:r w:rsidRPr="006E439E">
        <w:t xml:space="preserve">iodiversity and land use effects vary by site. Moreover, the short lifespan, which tech giants favor in their AI hardware, is leading to an electronic waste problem: by 2030, the total amount of AI infrastructure expected to contribute to e-waste is up to 2.5M tonnes each year </w:t>
      </w:r>
      <w:r w:rsidR="00B72506">
        <w:fldChar w:fldCharType="begin"/>
      </w:r>
      <w:r w:rsidR="00B72506">
        <w:instrText xml:space="preserve"> ADDIN ZOTERO_ITEM CSL_CITATION {"citationID":"dmjkCpIF","properties":{"unsorted":false,"formattedCitation":"[183]","plainCitation":"[183]","noteIndex":0},"citationItems":[{"id":2191,"uris":["http://zotero.org/users/9870935/items/PGQT4HIW"],"itemData":{"id":2191,"type":"document","title":"ENVIRONMENTAL COST OF AI'S ENERGY USE","author":[{"family":"UN","given":""}]}}],"schema":"https://github.com/citation-style-language/schema/raw/master/csl-citation.json"} </w:instrText>
      </w:r>
      <w:r w:rsidR="00B72506">
        <w:fldChar w:fldCharType="separate"/>
      </w:r>
      <w:r w:rsidR="00B72506" w:rsidRPr="006E439E">
        <w:t>[183]</w:t>
      </w:r>
      <w:r w:rsidR="00B72506">
        <w:fldChar w:fldCharType="end"/>
      </w:r>
      <w:r w:rsidRPr="006E439E">
        <w:t>.</w:t>
      </w:r>
    </w:p>
    <w:p w14:paraId="07043675" w14:textId="197B8F1B" w:rsidR="0043558A" w:rsidRDefault="0043558A" w:rsidP="0043558A">
      <w:pPr>
        <w:pStyle w:val="Heading20"/>
        <w:jc w:val="both"/>
      </w:pPr>
      <w:r w:rsidRPr="00E75DCC">
        <w:rPr>
          <w:color w:val="auto"/>
        </w:rPr>
        <w:t>1</w:t>
      </w:r>
      <w:r>
        <w:rPr>
          <w:color w:val="auto"/>
        </w:rPr>
        <w:t>2.5</w:t>
      </w:r>
      <w:r w:rsidRPr="00E75DCC">
        <w:rPr>
          <w:color w:val="auto"/>
        </w:rPr>
        <w:t xml:space="preserve"> </w:t>
      </w:r>
      <w:r w:rsidR="00730D0A">
        <w:t>Regulatory Barriers and Opportunities</w:t>
      </w:r>
    </w:p>
    <w:p w14:paraId="1125664E" w14:textId="7C9FF715" w:rsidR="00C57C71" w:rsidRDefault="00C16D07" w:rsidP="00DC4828">
      <w:pPr>
        <w:spacing w:after="120"/>
        <w:ind w:firstLine="480"/>
      </w:pPr>
      <w:r w:rsidRPr="00C57C71">
        <w:t>Interconnection queue congestion is a major regulatory barrier for renewable powered data centers today. In the past decade, the number of requests has been growing substantially, and 2500 to 3,000 new requests have been submitted for new interconnection capacity of 400-750 GW/year. This has left a significant backlog, which is delaying efforts to integrate clean energy. Other hurdles involving distributed generation include distribution system design barriers (one 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standardize cluster study parameters; (2) continue and increase renewable energy tax credits (ITC and PTC) to provide grid investment certainty; (3) clarify and update zoning and building code requirements to support on-site renewable generation and storage; (4) ensure grid data centers are viable through an aggressive research program in the area of 24/7 CFE accounting methodology, establishing a transparent, standardized approach to 24/7 CFE accounting for the stability of IBRs operating on weak grids; and (5) support grid modernization research with a focus on the stability of IBRs (Inverter-Based Resources) on weak grids to achieve data center reliability</w:t>
      </w:r>
      <w:r w:rsidR="003B30CC">
        <w:fldChar w:fldCharType="begin"/>
      </w:r>
      <w:r w:rsidR="00DC4828">
        <w:instrText xml:space="preserve"> ADDIN ZOTERO_ITEM CSL_CITATION {"citationID":"3kR8mlfQ","properties":{"unsorted":false,"formattedCitation":"[172], [186]","plainCitation":"[172], [186]","noteIndex":0},"citationItems":[{"id":2175,"uris":["http://zotero.org/users/9870935/items/YE4EN6MK"],"itemData":{"id":2175,"type":"document","title":"2026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rsidR="003B30CC">
        <w:fldChar w:fldCharType="separate"/>
      </w:r>
      <w:r w:rsidR="00DC4828" w:rsidRPr="00DC4828">
        <w:t>[172], [186]</w:t>
      </w:r>
      <w:r w:rsidR="003B30CC">
        <w:fldChar w:fldCharType="end"/>
      </w:r>
      <w:r w:rsidRPr="00C57C71">
        <w:t xml:space="preserve">.  </w:t>
      </w:r>
    </w:p>
    <w:p w14:paraId="6703A2B1" w14:textId="61940128" w:rsidR="00DC4828" w:rsidRPr="002108A4" w:rsidRDefault="00DC4828" w:rsidP="002108A4">
      <w:pPr>
        <w:pStyle w:val="Heading20"/>
        <w:jc w:val="both"/>
      </w:pPr>
      <w:r w:rsidRPr="00E75DCC">
        <w:rPr>
          <w:color w:val="auto"/>
        </w:rPr>
        <w:t>1</w:t>
      </w:r>
      <w:r>
        <w:rPr>
          <w:color w:val="auto"/>
        </w:rPr>
        <w:t>2.</w:t>
      </w:r>
      <w:r w:rsidR="00BE0A60">
        <w:rPr>
          <w:color w:val="auto"/>
        </w:rPr>
        <w:t>6</w:t>
      </w:r>
      <w:r w:rsidRPr="00E75DCC">
        <w:rPr>
          <w:color w:val="auto"/>
        </w:rPr>
        <w:t xml:space="preserve"> </w:t>
      </w:r>
      <w:r w:rsidR="00784DD3">
        <w:t>Sustainability Certifications and Reporting</w:t>
      </w:r>
    </w:p>
    <w:p w14:paraId="2D2A8B73" w14:textId="2E272CAF" w:rsidR="00510160" w:rsidRDefault="00C16D07" w:rsidP="00AC2F22">
      <w:pPr>
        <w:spacing w:after="120"/>
        <w:ind w:firstLine="480"/>
      </w:pPr>
      <w:r w:rsidRPr="002108A4">
        <w:t>Voluntary sustainability certifications are rapidly becoming regulatory compliance frameworks. About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to sustainability finance disclosures that has changed corporate accountability in the S1 and S2 IFRS Sustainability-related financial disclosures.  As a result, multi-national data center operators now need to gather and cross validate granular data points across all their operational footprint and supply chains. Concerns regarding the digital industry's increasing environmental footprint have resulted in a comprehensive framework of EU laws and policy that seek to build climate-neutral and energy efficient data centres by 2030. LEGACY Standards such as LEED and ISO 50001 and the Uptime Institute's Tier Standard are still significant benchmarks to use during operation, but are increasingly being incorporated into these higher-level compliance frameworks</w:t>
      </w:r>
      <w:r w:rsidR="00AC2F22">
        <w:fldChar w:fldCharType="begin"/>
      </w:r>
      <w:r w:rsidR="00AC2F22">
        <w:instrText xml:space="preserve"> ADDIN ZOTERO_ITEM CSL_CITATION {"citationID":"fUQ3J4KE","properties":{"unsorted":false,"formattedCitation":"[187], [188]","plainCitation":"[187], [188]","noteIndex":0},"citationItems":[{"id":2197,"uris":["http://zotero.org/users/9870935/items/53ICUFBJ"],"itemData":{"id":2197,"type":"article-journal","abstract":"Expanding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Jesús"}],"issued":{"date-parts":[["2026",5,27]]}}},{"id":2199,"uris":["http://zotero.org/users/9870935/items/ACWB2K37"],"itemData":{"id":2199,"type":"document","title":"Towards Planet Proof Computing: Law and Policy of Data Centre Sustainability in the European Union","URL":"file:///C:/Users/mtk17/Downloads/TechReg2025.001+Commins.pdf","author":[{"literal":"Jessica Commins"}]}}],"schema":"https://github.com/citation-style-language/schema/raw/master/csl-citation.json"} </w:instrText>
      </w:r>
      <w:r w:rsidR="00AC2F22">
        <w:fldChar w:fldCharType="separate"/>
      </w:r>
      <w:r w:rsidR="00AC2F22" w:rsidRPr="00AC2F22">
        <w:t>[187], [188]</w:t>
      </w:r>
      <w:r w:rsidR="00AC2F22">
        <w:fldChar w:fldCharType="end"/>
      </w:r>
      <w:r w:rsidRPr="002108A4">
        <w:t>.</w:t>
      </w:r>
    </w:p>
    <w:p w14:paraId="780E1FB4" w14:textId="3F4E1023" w:rsidR="0017147F" w:rsidRPr="00F56D3B" w:rsidRDefault="0017147F" w:rsidP="0017147F">
      <w:pPr>
        <w:pStyle w:val="Heading1"/>
        <w:keepNext/>
        <w:rPr>
          <w:lang w:val="en-US"/>
        </w:rPr>
      </w:pPr>
      <w:r>
        <w:lastRenderedPageBreak/>
        <w:t>1</w:t>
      </w:r>
      <w:r w:rsidR="000717F7">
        <w:t>3</w:t>
      </w:r>
      <w:r>
        <w:t>. Future Research Directions and Emerging Technologies</w:t>
      </w:r>
    </w:p>
    <w:p w14:paraId="781FC5F3" w14:textId="03403D27" w:rsidR="00104D7D" w:rsidRDefault="00104D7D" w:rsidP="00104D7D">
      <w:pPr>
        <w:spacing w:after="120"/>
        <w:ind w:firstLine="480"/>
      </w:pPr>
      <w:r>
        <w:t xml:space="preserve">This </w:t>
      </w:r>
      <w:r w:rsidR="002068F4">
        <w:t>section</w:t>
      </w:r>
      <w:r>
        <w:t xml:space="preserve"> identifies unresolved research questions and next-generation technologies that will shape the evolution of renewable-powered data centers over the coming decade and beyond. The analysis distinguishes between near-term opportunities (1 to 5 years), medium-term developments (5 to 10 years), and long-term transformations (10+ years).</w:t>
      </w:r>
    </w:p>
    <w:p w14:paraId="6FDD23AB" w14:textId="77777777" w:rsidR="00035D77" w:rsidRPr="00035D77" w:rsidRDefault="00035D77" w:rsidP="00035D77">
      <w:pPr>
        <w:pStyle w:val="Heading20"/>
        <w:jc w:val="both"/>
        <w:rPr>
          <w:color w:val="auto"/>
        </w:rPr>
      </w:pPr>
      <w:bookmarkStart w:id="9" w:name="_Toc100090"/>
      <w:r w:rsidRPr="00035D77">
        <w:rPr>
          <w:color w:val="auto"/>
        </w:rPr>
        <w:t>13.1 Next-Generation Computing Paradigms</w:t>
      </w:r>
      <w:bookmarkEnd w:id="9"/>
    </w:p>
    <w:p w14:paraId="448B4D8E" w14:textId="38D44C1A" w:rsidR="00C218A6" w:rsidRDefault="00C218A6" w:rsidP="00C218A6">
      <w:pPr>
        <w:spacing w:after="120"/>
        <w:ind w:firstLine="480"/>
      </w:pPr>
      <w:r>
        <w:t>While quantum computing isn't necessarily meant to out-compete the classical GPU in the AI training and inference space, it does come with its own set of energy demands. Current quantum processors are cryogenically cooled to near-absolute-zero (10-20 milliKelvin) and demand 1-10 kW of cooling for every 10 qubits</w:t>
      </w:r>
      <w:r>
        <w:fldChar w:fldCharType="begin"/>
      </w:r>
      <w:r>
        <w:instrText xml:space="preserve"> ADDIN ZOTERO_ITEM CSL_CITATION {"citationID":"EIdPf98B","properties":{"unsorted":false,"formattedCitation":"[189]","plainCitation":"[189]","noteIndex":0},"citationItems":[{"id":2202,"uris":["http://zotero.org/users/9870935/items/4Z359E5U"],"itemData":{"id":2202,"type":"book","call-number":"QA76.889 .N54 2010","edition":"10th anniversary ed","ISBN":"978-1-107-00217-3","language":"en","number-of-pages":"676","publisher":"Cambridge University Press","publisher-place":"Cambridge ; New York","source":"Library of Congress ISBN","title":"Quantum computation and quantum information","author":[{"family":"Nielsen","given":"Michael A."},{"family":"Chuang","given":"Isaac L."}],"issued":{"date-parts":[["2010"]]}}}],"schema":"https://github.com/citation-style-language/schema/raw/master/csl-citation.json"} </w:instrText>
      </w:r>
      <w:r>
        <w:fldChar w:fldCharType="separate"/>
      </w:r>
      <w:r w:rsidRPr="00C218A6">
        <w:t>[189]</w:t>
      </w:r>
      <w:r>
        <w:fldChar w:fldCharType="end"/>
      </w:r>
      <w:r>
        <w:t>. Overall energy impact of the data center will be small, but quantum operation will require very stable power generation to avoid state decoherence.</w:t>
      </w:r>
    </w:p>
    <w:p w14:paraId="258D2328" w14:textId="39BF0018" w:rsidR="00C218A6" w:rsidRDefault="00C218A6" w:rsidP="00C218A6">
      <w:pPr>
        <w:spacing w:after="120"/>
        <w:ind w:firstLine="480"/>
      </w:pPr>
      <w:r>
        <w:t>Neuromorphic computing relies on spiking neural networks to replicate biological neural computation and could yield order-of-magnitude energy savings. Implementations of 'neuromorphic' architectures have now shown as much as 100 times greater energy efficiency than state-of-the-art GPUs for certain pattern recognition applications that are event driven</w:t>
      </w:r>
      <w:r>
        <w:fldChar w:fldCharType="begin"/>
      </w:r>
      <w:r>
        <w:instrText xml:space="preserve"> ADDIN ZOTERO_ITEM CSL_CITATION {"citationID":"nhFiMoUD","properties":{"unsorted":false,"formattedCitation":"[190]","plainCitation":"[190]","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Pr="00C218A6">
        <w:t>[190]</w:t>
      </w:r>
      <w:r>
        <w:fldChar w:fldCharType="end"/>
      </w:r>
      <w:r>
        <w:t>. Yet, a less-developed software ecosystem and the inability of dominant models based on transformers to support the DGX ecosystem of neuromorphic training approaches has stood as an obstacle to widespread adoption.</w:t>
      </w:r>
    </w:p>
    <w:p w14:paraId="067A7A68" w14:textId="5BE3CBD3" w:rsidR="00C218A6" w:rsidRDefault="00C218A6" w:rsidP="00131821">
      <w:pPr>
        <w:spacing w:after="120"/>
        <w:ind w:firstLine="480"/>
      </w:pPr>
      <w:r>
        <w:t>Photonic (optical) computing and interconnects are the most imminent paradigm shift for AI energy reduction. An increasing number of photonic interconnects are available commercially and are helping to solve the serious power constraint problem of copper wiring for GPU clusters, by scaling down the energy per bit needed for data communication by one order of magnitude. Not only that, there are analog optical computing processors that show a level of inference that is greater than 160 TOPS/W (trillion operations per second per watt) in laboratories</w:t>
      </w:r>
      <w:r w:rsidR="0040687D">
        <w:fldChar w:fldCharType="begin"/>
      </w:r>
      <w:r w:rsidR="0040687D">
        <w:instrText xml:space="preserve"> ADDIN ZOTERO_ITEM CSL_CITATION {"citationID":"ZGhHTglV","properties":{"unsorted":false,"formattedCitation":"[191]","plainCitation":"[191]","noteIndex":0},"citationItems":[{"id":2207,"uris":["http://zotero.org/users/9870935/items/7C2QV3UH"],"itemData":{"id":2207,"type":"article-journal","abstract":"Panel-scale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rsidR="0040687D">
        <w:fldChar w:fldCharType="separate"/>
      </w:r>
      <w:r w:rsidR="0040687D" w:rsidRPr="0040687D">
        <w:t>[191]</w:t>
      </w:r>
      <w:r w:rsidR="0040687D">
        <w:fldChar w:fldCharType="end"/>
      </w:r>
      <w:r>
        <w:t>.</w:t>
      </w:r>
    </w:p>
    <w:p w14:paraId="23B698C9" w14:textId="77777777" w:rsidR="00C218A6" w:rsidRPr="00131821" w:rsidRDefault="00C218A6" w:rsidP="00131821">
      <w:pPr>
        <w:pStyle w:val="Heading20"/>
        <w:jc w:val="both"/>
        <w:rPr>
          <w:color w:val="auto"/>
        </w:rPr>
      </w:pPr>
      <w:r w:rsidRPr="00131821">
        <w:rPr>
          <w:color w:val="auto"/>
        </w:rPr>
        <w:t>13.2 Advanced Energy Storage Technologies</w:t>
      </w:r>
    </w:p>
    <w:p w14:paraId="2F1028EB" w14:textId="41B9753F" w:rsidR="00C218A6" w:rsidRDefault="00C218A6" w:rsidP="00A42F34">
      <w:pPr>
        <w:spacing w:after="120"/>
        <w:ind w:firstLine="480"/>
      </w:pPr>
      <w:r>
        <w:t xml:space="preserve">A near-term possible improvement for high-density, low-footprint energy storage is solid-state and lithium-metal batteries, which promise 2-3 times the energy density of today's </w:t>
      </w:r>
      <w:r w:rsidR="002E772B">
        <w:t>lithium-ion</w:t>
      </w:r>
      <w:r>
        <w:t xml:space="preserve"> batteries. Commercialization for stationary storage applications is now moving rapidly, and stationary pricing is expected to reach parity with LFP chemistries by the end of the decade</w:t>
      </w:r>
      <w:r w:rsidR="00A42F34">
        <w:fldChar w:fldCharType="begin"/>
      </w:r>
      <w:r w:rsidR="00A42F34">
        <w:instrText xml:space="preserve"> ADDIN ZOTERO_ITEM CSL_CITATION {"citationID":"AOjUg4op","properties":{"unsorted":false,"formattedCitation":"[192]","plainCitation":"[192]","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rsidR="00A42F34">
        <w:fldChar w:fldCharType="separate"/>
      </w:r>
      <w:r w:rsidR="00A42F34" w:rsidRPr="00A42F34">
        <w:t>[192]</w:t>
      </w:r>
      <w:r w:rsidR="00A42F34">
        <w:fldChar w:fldCharType="end"/>
      </w:r>
      <w:r>
        <w:t>.</w:t>
      </w:r>
    </w:p>
    <w:p w14:paraId="19FE874E" w14:textId="77777777" w:rsidR="00C218A6" w:rsidRDefault="00C218A6" w:rsidP="00C218A6">
      <w:pPr>
        <w:spacing w:after="120"/>
        <w:ind w:firstLine="480"/>
      </w:pPr>
    </w:p>
    <w:p w14:paraId="1611EA4A" w14:textId="5A85A83D" w:rsidR="0017147F" w:rsidRPr="002108A4" w:rsidRDefault="00C218A6" w:rsidP="00A42F34">
      <w:pPr>
        <w:spacing w:after="120"/>
        <w:ind w:firstLine="480"/>
      </w:pPr>
      <w:r>
        <w:t xml:space="preserve">Form Energy's iron air battery technology moved from pilot projects to gigawatt scale commercial production in 2026, critical for 24/7 carbon free energy matching. The iron-air deployments are designed for multi-day storage time and a considerably lower cost than lithium-ion batteries, constituting a paradigm shift for data centers that must span multi-day </w:t>
      </w:r>
      <w:r>
        <w:lastRenderedPageBreak/>
        <w:t>renewable energy deficits</w:t>
      </w:r>
      <w:r w:rsidR="00A42F34">
        <w:fldChar w:fldCharType="begin"/>
      </w:r>
      <w:r w:rsidR="00A42F34">
        <w:instrText xml:space="preserve"> ADDIN ZOTERO_ITEM CSL_CITATION {"citationID":"kXk4XAc1","properties":{"unsorted":false,"formattedCitation":"[193]","plainCitation":"[193]","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00A42F34">
        <w:fldChar w:fldCharType="separate"/>
      </w:r>
      <w:r w:rsidR="00A42F34" w:rsidRPr="00A42F34">
        <w:t>[193]</w:t>
      </w:r>
      <w:r w:rsidR="00A42F34">
        <w:fldChar w:fldCharType="end"/>
      </w:r>
      <w:r>
        <w:t>.</w:t>
      </w:r>
      <w:r w:rsidR="002E772B">
        <w:t xml:space="preserve"> </w:t>
      </w:r>
      <w:r>
        <w:t>A low-carbon hydrogen source is able to provide seasonal storage times. Now, they say, costs need to drop dramatically, from $2/kg to less than $1/kg, for economic viability in data center backup applications—a long-term target of massive amounts of electrolyzer scale-up and reductions in renewable electricity cost.</w:t>
      </w:r>
    </w:p>
    <w:p w14:paraId="0F9B0B83" w14:textId="51361BBE" w:rsidR="00365B2C" w:rsidRDefault="00365B2C" w:rsidP="00365B2C">
      <w:pPr>
        <w:pStyle w:val="Heading20"/>
        <w:jc w:val="both"/>
      </w:pPr>
      <w:r w:rsidRPr="00131821">
        <w:rPr>
          <w:color w:val="auto"/>
        </w:rPr>
        <w:t>13.</w:t>
      </w:r>
      <w:r>
        <w:rPr>
          <w:color w:val="auto"/>
        </w:rPr>
        <w:t>3</w:t>
      </w:r>
      <w:r w:rsidRPr="00131821">
        <w:rPr>
          <w:color w:val="auto"/>
        </w:rPr>
        <w:t xml:space="preserve"> </w:t>
      </w:r>
      <w:r>
        <w:t>AI and Machine Learning for Grid Optimization</w:t>
      </w:r>
    </w:p>
    <w:p w14:paraId="7DB7FD8D" w14:textId="742A60D5" w:rsidR="00593464" w:rsidRPr="00593464" w:rsidRDefault="00593464" w:rsidP="00D85E14">
      <w:pPr>
        <w:spacing w:after="120"/>
        <w:ind w:firstLine="480"/>
      </w:pPr>
      <w:r w:rsidRPr="00593464">
        <w:t>Machine learning is being applied in many ways across the grid, be it forecasting, real-time dispatch or predictive maintenance. Technologies like spatio-temporal networks and transformer-based time-series models have shown to boost the accuracy of solar and wind forecasts by 20–30% compared to traditional numerical weather prediction models</w:t>
      </w:r>
      <w:r w:rsidR="00DE6A2A">
        <w:fldChar w:fldCharType="begin"/>
      </w:r>
      <w:r w:rsidR="00DE6A2A">
        <w:instrText xml:space="preserve"> ADDIN ZOTERO_ITEM CSL_CITATION {"citationID":"IpOR4aDm","properties":{"unsorted":false,"formattedCitation":"[193]","plainCitation":"[193]","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00DE6A2A">
        <w:fldChar w:fldCharType="separate"/>
      </w:r>
      <w:r w:rsidR="00DE6A2A" w:rsidRPr="00DE6A2A">
        <w:t>[193]</w:t>
      </w:r>
      <w:r w:rsidR="00DE6A2A">
        <w:fldChar w:fldCharType="end"/>
      </w:r>
      <w:r w:rsidRPr="00593464">
        <w:t>. Reinforcement learning (RL) agents are known to be highly effective in learning optimal policies for multi-microgrid dispatch, consistently outperforming conventional rule-based or purely deterministic approaches in complex multi-objective optimization problems, while continuously interacting with simulated environments. Additionally, systems for predictive maintenance with applications based on anomaly detection algorithms on the edge can detect trends in insulation degradation and mechanical degradation of equipment in substations at an early stage. This is proactive maintenance (before catastrophic fault) which can be scheduled and minimize unplanned downtime in the facility. Developing autonomous grid control with AI is challenging in the first place because of the lack of the ability to generalize the models and provide guarantees over the training distribution, especially for high impact, low frequency extreme weather events</w:t>
      </w:r>
      <w:r w:rsidR="00D85E14">
        <w:fldChar w:fldCharType="begin"/>
      </w:r>
      <w:r w:rsidR="00D85E14">
        <w:instrText xml:space="preserve"> ADDIN ZOTERO_ITEM CSL_CITATION {"citationID":"rSU4U6il","properties":{"unsorted":false,"formattedCitation":"[194]","plainCitation":"[194]","noteIndex":0},"citationItems":[{"id":2212,"uris":["http://zotero.org/users/9870935/items/VXAENHHC"],"itemData":{"id":2212,"type":"article","abstract":"Safe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rsidR="00D85E14">
        <w:fldChar w:fldCharType="separate"/>
      </w:r>
      <w:r w:rsidR="00D85E14" w:rsidRPr="00D85E14">
        <w:t>[194]</w:t>
      </w:r>
      <w:r w:rsidR="00D85E14">
        <w:fldChar w:fldCharType="end"/>
      </w:r>
      <w:r w:rsidRPr="00593464">
        <w:t>.</w:t>
      </w:r>
    </w:p>
    <w:p w14:paraId="57CFB083" w14:textId="77777777" w:rsidR="00593464" w:rsidRPr="00593464" w:rsidRDefault="00593464" w:rsidP="00593464">
      <w:pPr>
        <w:pStyle w:val="Heading20"/>
        <w:rPr>
          <w:color w:val="auto"/>
        </w:rPr>
      </w:pPr>
      <w:r w:rsidRPr="00593464">
        <w:rPr>
          <w:color w:val="auto"/>
        </w:rPr>
        <w:t>13.4 Challenges for a 100 percent Renewable Grid</w:t>
      </w:r>
    </w:p>
    <w:p w14:paraId="624F288D" w14:textId="29C68125" w:rsidR="00593464" w:rsidRPr="00180502" w:rsidRDefault="00593464" w:rsidP="00E07F2C">
      <w:pPr>
        <w:spacing w:after="120"/>
        <w:ind w:firstLine="480"/>
      </w:pPr>
      <w:r w:rsidRPr="00180502">
        <w:t>The structural stability challenges faced by power systems operating with a renewable penetration of more than 80</w:t>
      </w:r>
      <w:r w:rsidR="00E07F2C">
        <w:t xml:space="preserve">% </w:t>
      </w:r>
      <w:r w:rsidRPr="00180502">
        <w:t xml:space="preserve">are qualitatively different from power systems operating in a traditional manner. Conventional thermal generation has been retired, leaving frequency nadir and rate of change of frequency (RoCoF) dynamics as a significant challenge. In this operating environment, fast acting Inverter Based Resources (IBRs) with Grid-Forming Control (GFC) is required to provide synthetic inertia and help stabilize sub-second frequency deviations </w:t>
      </w:r>
      <w:r w:rsidR="00E07F2C">
        <w:fldChar w:fldCharType="begin"/>
      </w:r>
      <w:r w:rsidR="00E07F2C">
        <w:instrText xml:space="preserve"> ADDIN ZOTERO_ITEM CSL_CITATION {"citationID":"TKwvq3OP","properties":{"unsorted":false,"formattedCitation":"[195]","plainCitation":"[195]","noteIndex":0},"citationItems":[{"id":2214,"uris":["http://zotero.org/users/9870935/items/L3VF7GNN"],"itemData":{"id":2214,"type":"article-journal","abstract":"This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sidR="00E07F2C">
        <w:fldChar w:fldCharType="separate"/>
      </w:r>
      <w:r w:rsidR="00E07F2C" w:rsidRPr="00E07F2C">
        <w:t>[195]</w:t>
      </w:r>
      <w:r w:rsidR="00E07F2C">
        <w:fldChar w:fldCharType="end"/>
      </w:r>
      <w:r w:rsidRPr="00180502">
        <w:t>.</w:t>
      </w:r>
    </w:p>
    <w:p w14:paraId="11D383BD" w14:textId="60B6635A" w:rsidR="00593464" w:rsidRPr="00180502" w:rsidRDefault="00593464" w:rsidP="00771877">
      <w:pPr>
        <w:spacing w:after="120"/>
        <w:ind w:firstLine="480"/>
      </w:pPr>
      <w:r w:rsidRPr="00180502">
        <w:t>Besides, weak grid conditions of low system strength and low Short Circuit Ratios (SCR) pose serious risks of control interaction and transient voltage instability when operating the equipment. With a situation of a growing number of deep generation oversupply and deep generation undersupply events, the system needs to be highly coordinated from millisecond level of dynamic voltage support to seasonal energy storage dispatch</w:t>
      </w:r>
      <w:r w:rsidR="00771877">
        <w:fldChar w:fldCharType="begin"/>
      </w:r>
      <w:r w:rsidR="00771877">
        <w:instrText xml:space="preserve"> ADDIN ZOTERO_ITEM CSL_CITATION {"citationID":"g1phXAsO","properties":{"unsorted":false,"formattedCitation":"[181]","plainCitation":"[181]","noteIndex":0},"citationItems":[{"id":2189,"uris":["http://zotero.org/users/9870935/items/U4Y7SALQ"],"itemData":{"id":2189,"type":"article-journal","abstract":"The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771877">
        <w:fldChar w:fldCharType="separate"/>
      </w:r>
      <w:r w:rsidR="00771877" w:rsidRPr="00771877">
        <w:t>[181]</w:t>
      </w:r>
      <w:r w:rsidR="00771877">
        <w:fldChar w:fldCharType="end"/>
      </w:r>
      <w:r w:rsidRPr="00180502">
        <w:t>.</w:t>
      </w:r>
    </w:p>
    <w:p w14:paraId="7A71AD51" w14:textId="77777777" w:rsidR="00593464" w:rsidRPr="00180502" w:rsidRDefault="00593464" w:rsidP="00180502">
      <w:pPr>
        <w:spacing w:after="120"/>
        <w:ind w:firstLine="480"/>
      </w:pPr>
    </w:p>
    <w:p w14:paraId="51921CE3" w14:textId="4DFA530A" w:rsidR="00593464" w:rsidRDefault="00593464" w:rsidP="00771877">
      <w:pPr>
        <w:spacing w:after="120"/>
        <w:ind w:firstLine="480"/>
      </w:pPr>
      <w:r w:rsidRPr="00180502">
        <w:t xml:space="preserve">Unlike conventional loads, data centers can be used to stabilize low-inertia grids. They are able to run as "anchor loads" and help ensure financial certainty for new clean energy projects. At the same time, data centers can use their on-site Battery Energy Storage Systems (BESS) and flexible computing architectures to provide the balancing authority with much-needed frequency response (FR), primary frequency response (PFR) and automated demand </w:t>
      </w:r>
      <w:r w:rsidRPr="00180502">
        <w:lastRenderedPageBreak/>
        <w:t>response (ADR) services, at speeds that can be as rapid as a few seconds, or as instantaneous as a few milliseconds</w:t>
      </w:r>
      <w:r w:rsidR="00771877">
        <w:fldChar w:fldCharType="begin"/>
      </w:r>
      <w:r w:rsidR="00771877">
        <w:instrText xml:space="preserve"> ADDIN ZOTERO_ITEM CSL_CITATION {"citationID":"3pIrnlsx","properties":{"unsorted":false,"formattedCitation":"[196]","plainCitation":"[196]","noteIndex":0},"citationItems":[{"id":2215,"uris":["http://zotero.org/users/9870935/items/6KYBNJ5X"],"itemData":{"id":2215,"type":"article-journal","abstract":"Abstract\n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00771877">
        <w:fldChar w:fldCharType="separate"/>
      </w:r>
      <w:r w:rsidR="00771877" w:rsidRPr="00771877">
        <w:t>[196]</w:t>
      </w:r>
      <w:r w:rsidR="00771877">
        <w:fldChar w:fldCharType="end"/>
      </w:r>
      <w:r w:rsidRPr="00180502">
        <w:t>.</w:t>
      </w:r>
    </w:p>
    <w:p w14:paraId="0CF7BC75" w14:textId="424D7F89" w:rsidR="00771877" w:rsidRPr="00593464" w:rsidRDefault="00771877" w:rsidP="00771877">
      <w:pPr>
        <w:pStyle w:val="Heading20"/>
        <w:rPr>
          <w:color w:val="auto"/>
        </w:rPr>
      </w:pPr>
      <w:r w:rsidRPr="00593464">
        <w:rPr>
          <w:color w:val="auto"/>
        </w:rPr>
        <w:t>13.</w:t>
      </w:r>
      <w:r>
        <w:rPr>
          <w:color w:val="auto"/>
        </w:rPr>
        <w:t>5</w:t>
      </w:r>
      <w:r w:rsidRPr="00593464">
        <w:rPr>
          <w:color w:val="auto"/>
        </w:rPr>
        <w:t xml:space="preserve"> </w:t>
      </w:r>
      <w:r w:rsidR="00977FE8">
        <w:t>Integration with Grid Modernization</w:t>
      </w:r>
    </w:p>
    <w:p w14:paraId="61DCB0B5" w14:textId="5276AD3A" w:rsidR="00593464" w:rsidRPr="00931E05" w:rsidRDefault="00593464" w:rsidP="003625E3">
      <w:pPr>
        <w:spacing w:after="120"/>
        <w:ind w:firstLine="480"/>
      </w:pPr>
      <w:r w:rsidRPr="00931E05">
        <w:t xml:space="preserve">Smart grid technologies, including advanced distribution automation, localized microgrid designs and power </w:t>
      </w:r>
      <w:r w:rsidR="00B50B4A" w:rsidRPr="00931E05">
        <w:t>bidirectionality</w:t>
      </w:r>
      <w:r w:rsidRPr="00931E05">
        <w:t>, are creating fertile ground for deep data center integration. Optimized vehicle-to-grid (V2G) multi-facility aggregation could decrease a data center's stationary battery footprint by 30-50</w:t>
      </w:r>
      <w:r w:rsidR="003625E3">
        <w:t>%</w:t>
      </w:r>
      <w:r w:rsidRPr="00931E05">
        <w:t>, using co-located vehicle fleet infrastructure facilities as a single energy buffer.</w:t>
      </w:r>
      <w:r w:rsidR="00D478C8" w:rsidRPr="00931E05">
        <w:t xml:space="preserve"> </w:t>
      </w:r>
      <w:r w:rsidRPr="00931E05">
        <w:t>Another obvious optimization path is thermal modernization. Hype scale facilities are quickly moving to liquid cooling loops to support high density AI clusters and are rejecting high-grade waste heat, often in excess of 60°C. This increased temperature resource enables for very effective integration with nearby municipal district heating or district cooling systems and/or adjacent industrial processes, resulting in a significant reduction of the comprehensive Power Usage Effectiveness (PUE) and Total Resource Effectiveness (TRE) of the facility</w:t>
      </w:r>
      <w:r w:rsidR="003625E3">
        <w:fldChar w:fldCharType="begin"/>
      </w:r>
      <w:r w:rsidR="003625E3">
        <w:instrText xml:space="preserve"> ADDIN ZOTERO_ITEM CSL_CITATION {"citationID":"Gz8clESV","properties":{"unsorted":false,"formattedCitation":"[197]","plainCitation":"[197]","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rsidR="003625E3">
        <w:fldChar w:fldCharType="separate"/>
      </w:r>
      <w:r w:rsidR="003625E3" w:rsidRPr="003625E3">
        <w:t>[197]</w:t>
      </w:r>
      <w:r w:rsidR="003625E3">
        <w:fldChar w:fldCharType="end"/>
      </w:r>
      <w:r w:rsidRPr="00931E05">
        <w:t>.</w:t>
      </w:r>
    </w:p>
    <w:p w14:paraId="7090D7C9" w14:textId="1A1532AE" w:rsidR="00875489" w:rsidRPr="00593464" w:rsidRDefault="00875489" w:rsidP="00875489">
      <w:pPr>
        <w:pStyle w:val="Heading20"/>
        <w:rPr>
          <w:color w:val="auto"/>
        </w:rPr>
      </w:pPr>
      <w:r w:rsidRPr="00593464">
        <w:rPr>
          <w:color w:val="auto"/>
        </w:rPr>
        <w:t>13.</w:t>
      </w:r>
      <w:r>
        <w:rPr>
          <w:color w:val="auto"/>
        </w:rPr>
        <w:t>6</w:t>
      </w:r>
      <w:r w:rsidRPr="00593464">
        <w:rPr>
          <w:color w:val="auto"/>
        </w:rPr>
        <w:t xml:space="preserve"> </w:t>
      </w:r>
      <w:r>
        <w:t>Recommendations for Future Research</w:t>
      </w:r>
    </w:p>
    <w:p w14:paraId="5F160EEC" w14:textId="66B68530" w:rsidR="00593464" w:rsidRPr="00CE10B6" w:rsidRDefault="00593464" w:rsidP="00CE10B6">
      <w:pPr>
        <w:pStyle w:val="ListParagraph"/>
        <w:numPr>
          <w:ilvl w:val="0"/>
          <w:numId w:val="7"/>
        </w:numPr>
        <w:spacing w:after="120"/>
      </w:pPr>
      <w:r w:rsidRPr="00B42D4C">
        <w:rPr>
          <w:b/>
          <w:bCs/>
        </w:rPr>
        <w:t>Long-Term Goals (5 to 10 Years):</w:t>
      </w:r>
      <w:r w:rsidRPr="00CE10B6">
        <w:t xml:space="preserve"> Implement sub-hour 24/7 CFE tracking protocols in a standard way (using cryptographic granular certificates); utilize the stability of the control loop in the grid-forming inverter (GFI) under low SCR conditions to validate stability of the control loop within data center (DC) microgrids; and field-test AI-based workload shifting in correlation with local distribution constraint signals.</w:t>
      </w:r>
    </w:p>
    <w:p w14:paraId="0B4EBA57" w14:textId="1C189D80" w:rsidR="00593464" w:rsidRPr="00CE10B6" w:rsidRDefault="00593464" w:rsidP="00CE10B6">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center backup; determine the lifecycle degradation of LDES and LLAES assets when they are scaled up; identify multiple-party co-optimization algorithms for cross-sector thermal coupling between liquid-cooled data centers and district utility networks; and characterize wide-area coordination challenges of multi-gigawatt data center clusters operating in 100 percent inverted-dominated grids.</w:t>
      </w:r>
    </w:p>
    <w:p w14:paraId="73A88A18" w14:textId="664F433E" w:rsidR="00593464" w:rsidRPr="00CE10B6" w:rsidRDefault="00593464" w:rsidP="00CE10B6">
      <w:pPr>
        <w:pStyle w:val="ListParagraph"/>
        <w:numPr>
          <w:ilvl w:val="0"/>
          <w:numId w:val="7"/>
        </w:numPr>
        <w:spacing w:after="120"/>
      </w:pPr>
      <w:r w:rsidRPr="00B42D4C">
        <w:rPr>
          <w:b/>
          <w:bCs/>
        </w:rPr>
        <w:t>Medium to long term priorities (10+ years):</w:t>
      </w:r>
      <w:r w:rsidRPr="00CE10B6">
        <w:t xml:space="preserve"> Demonstrate the operational scalability of analog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decentralised, self-healing autonomous microgrids operating in island mode.</w:t>
      </w:r>
    </w:p>
    <w:p w14:paraId="509A0D9F" w14:textId="77777777" w:rsidR="0062701F" w:rsidRDefault="008E6F28">
      <w:pPr>
        <w:pStyle w:val="Heading10"/>
        <w:rPr>
          <w:color w:val="auto"/>
        </w:rPr>
      </w:pPr>
      <w:r>
        <w:rPr>
          <w:color w:val="auto"/>
        </w:rPr>
        <w:t>References</w:t>
      </w:r>
    </w:p>
    <w:p w14:paraId="1F5DA495" w14:textId="77777777" w:rsidR="00CD6F8E" w:rsidRDefault="000F2608" w:rsidP="00CD6F8E">
      <w:pPr>
        <w:pStyle w:val="Bibliography"/>
      </w:pPr>
      <w:r>
        <w:rPr>
          <w:color w:val="auto"/>
        </w:rPr>
        <w:fldChar w:fldCharType="begin"/>
      </w:r>
      <w:r w:rsidR="00CD6F8E">
        <w:rPr>
          <w:color w:val="auto"/>
        </w:rPr>
        <w:instrText xml:space="preserve"> ADDIN ZOTERO_BIBL {"uncited":[],"omitted":[],"custom":[]} CSL_BIBLIOGRAPHY </w:instrText>
      </w:r>
      <w:r>
        <w:rPr>
          <w:color w:val="auto"/>
        </w:rPr>
        <w:fldChar w:fldCharType="separate"/>
      </w:r>
      <w:r w:rsidR="00CD6F8E">
        <w:t>[1]</w:t>
      </w:r>
      <w:r w:rsidR="00CD6F8E">
        <w:tab/>
        <w:t>IEA, “Data Centres and Data Transmission Networks.” [Online]. Available: https://www.iea.org/energy-system/buildings/data-centres-and-data-transmission-networks</w:t>
      </w:r>
    </w:p>
    <w:p w14:paraId="667FA891" w14:textId="77777777" w:rsidR="00CD6F8E" w:rsidRDefault="00CD6F8E" w:rsidP="00CD6F8E">
      <w:pPr>
        <w:pStyle w:val="Bibliography"/>
      </w:pPr>
      <w:r>
        <w:lastRenderedPageBreak/>
        <w:t>[2]</w:t>
      </w:r>
      <w:r>
        <w:tab/>
        <w:t xml:space="preserve">A. Shehabi </w:t>
      </w:r>
      <w:r>
        <w:rPr>
          <w:i/>
          <w:iCs/>
        </w:rPr>
        <w:t>et al.</w:t>
      </w:r>
      <w:r>
        <w:t>, “United States Data Center Energy Usage Report,” LBNL--1005775, 1372902, Jun. 2016. doi: 10.2172/1372902.</w:t>
      </w:r>
    </w:p>
    <w:p w14:paraId="4A72A49B" w14:textId="77777777" w:rsidR="00CD6F8E" w:rsidRDefault="00CD6F8E" w:rsidP="00CD6F8E">
      <w:pPr>
        <w:pStyle w:val="Bibliography"/>
      </w:pPr>
      <w:r>
        <w:t>[3]</w:t>
      </w:r>
      <w:r>
        <w:tab/>
        <w:t>IEA, “Energy and AI.” Accessed: Apr. 10, 2025. [Online]. Available: https://www.iea.org/reports/energy-and-ai</w:t>
      </w:r>
    </w:p>
    <w:p w14:paraId="2B21B7A9" w14:textId="77777777" w:rsidR="00CD6F8E" w:rsidRDefault="00CD6F8E" w:rsidP="00CD6F8E">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478F90B5" w14:textId="77777777" w:rsidR="00CD6F8E" w:rsidRDefault="00CD6F8E" w:rsidP="00CD6F8E">
      <w:pPr>
        <w:pStyle w:val="Bibliography"/>
      </w:pPr>
      <w:r>
        <w:t>[5]</w:t>
      </w:r>
      <w:r>
        <w:tab/>
        <w:t xml:space="preserve">E. Strubell, A. Ganesh, and A. McCallum, “Energy and Policy Considerations for Deep Learning in NLP,” 2019, </w:t>
      </w:r>
      <w:r>
        <w:rPr>
          <w:i/>
          <w:iCs/>
        </w:rPr>
        <w:t>arXiv</w:t>
      </w:r>
      <w:r>
        <w:t>. doi: 10.48550/ARXIV.1906.02243.</w:t>
      </w:r>
    </w:p>
    <w:p w14:paraId="69AF4013" w14:textId="77777777" w:rsidR="00CD6F8E" w:rsidRDefault="00CD6F8E" w:rsidP="00CD6F8E">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033A0E52" w14:textId="77777777" w:rsidR="00CD6F8E" w:rsidRDefault="00CD6F8E" w:rsidP="00CD6F8E">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6544051A" w14:textId="77777777" w:rsidR="00CD6F8E" w:rsidRDefault="00CD6F8E" w:rsidP="00CD6F8E">
      <w:pPr>
        <w:pStyle w:val="Bibliography"/>
      </w:pPr>
      <w:r>
        <w:t>[8]</w:t>
      </w:r>
      <w:r>
        <w:tab/>
        <w:t xml:space="preserve">X. Chen, X. Wang, A. Colacelli, M. Lee, and L. Xie, “Electricity Demand and Grid Impacts of AI Data Centers: Challenges and Prospects,” Nov. 26, 2025, </w:t>
      </w:r>
      <w:r>
        <w:rPr>
          <w:i/>
          <w:iCs/>
        </w:rPr>
        <w:t>arXiv</w:t>
      </w:r>
      <w:r>
        <w:t>: arXiv:2509.07218. doi: 10.48550/arXiv.2509.07218.</w:t>
      </w:r>
    </w:p>
    <w:p w14:paraId="7D84A1D1" w14:textId="77777777" w:rsidR="00CD6F8E" w:rsidRDefault="00CD6F8E" w:rsidP="00CD6F8E">
      <w:pPr>
        <w:pStyle w:val="Bibliography"/>
      </w:pPr>
      <w:r>
        <w:t>[9]</w:t>
      </w:r>
      <w:r>
        <w:tab/>
        <w:t xml:space="preserve">D. Donnellan </w:t>
      </w:r>
      <w:r>
        <w:rPr>
          <w:i/>
          <w:iCs/>
        </w:rPr>
        <w:t>et al.</w:t>
      </w:r>
      <w:r>
        <w:t>, “Uptime Institute Global Data Center Survey 2024,” 2024.</w:t>
      </w:r>
    </w:p>
    <w:p w14:paraId="6440CAEE" w14:textId="77777777" w:rsidR="00CD6F8E" w:rsidRPr="009A3002" w:rsidRDefault="00CD6F8E" w:rsidP="00CD6F8E">
      <w:pPr>
        <w:pStyle w:val="Bibliography"/>
        <w:rPr>
          <w:color w:val="EE0000"/>
        </w:rPr>
      </w:pPr>
      <w:r w:rsidRPr="009A3002">
        <w:rPr>
          <w:color w:val="EE0000"/>
        </w:rPr>
        <w:t>[10]</w:t>
      </w:r>
      <w:r w:rsidRPr="009A3002">
        <w:rPr>
          <w:color w:val="EE0000"/>
        </w:rPr>
        <w:tab/>
        <w:t xml:space="preserve">M. Andersch </w:t>
      </w:r>
      <w:r w:rsidRPr="009A3002">
        <w:rPr>
          <w:i/>
          <w:iCs/>
          <w:color w:val="EE0000"/>
        </w:rPr>
        <w:t>et al.</w:t>
      </w:r>
      <w:r w:rsidRPr="009A3002">
        <w:rPr>
          <w:color w:val="EE0000"/>
        </w:rPr>
        <w:t>, “NVIDIA Hopper Architecture In-Depth”.</w:t>
      </w:r>
    </w:p>
    <w:p w14:paraId="24B5FDFB" w14:textId="77777777" w:rsidR="00CD6F8E" w:rsidRDefault="00CD6F8E" w:rsidP="00CD6F8E">
      <w:pPr>
        <w:pStyle w:val="Bibliography"/>
      </w:pPr>
      <w:r>
        <w:t>[11]</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74DD40C6" w14:textId="77777777" w:rsidR="00CD6F8E" w:rsidRDefault="00CD6F8E" w:rsidP="00CD6F8E">
      <w:pPr>
        <w:pStyle w:val="Bibliography"/>
      </w:pPr>
      <w:r>
        <w:t>[12]</w:t>
      </w:r>
      <w:r>
        <w:tab/>
        <w:t>“Driving sustainable innovation for society.” [Online]. Available: https://datacenters.google/operating-sustainably/</w:t>
      </w:r>
    </w:p>
    <w:p w14:paraId="670AEDC7" w14:textId="77777777" w:rsidR="00CD6F8E" w:rsidRDefault="00CD6F8E" w:rsidP="00CD6F8E">
      <w:pPr>
        <w:pStyle w:val="Bibliography"/>
      </w:pPr>
      <w:r>
        <w:t>[13]</w:t>
      </w:r>
      <w:r>
        <w:tab/>
        <w:t xml:space="preserve">D. Feldman </w:t>
      </w:r>
      <w:r>
        <w:rPr>
          <w:i/>
          <w:iCs/>
        </w:rPr>
        <w:t>et al.</w:t>
      </w:r>
      <w:r>
        <w:t>, “Spring 2024 Solar Industry Update,” NREL/PR--7A40-90042, 2376145, MainId:91820, May 2024. doi: 10.2172/2376145.</w:t>
      </w:r>
    </w:p>
    <w:p w14:paraId="2950E341" w14:textId="77777777" w:rsidR="00CD6F8E" w:rsidRPr="009A3002" w:rsidRDefault="00CD6F8E" w:rsidP="00CD6F8E">
      <w:pPr>
        <w:pStyle w:val="Bibliography"/>
        <w:rPr>
          <w:color w:val="EE0000"/>
        </w:rPr>
      </w:pPr>
      <w:r w:rsidRPr="009A3002">
        <w:rPr>
          <w:color w:val="EE0000"/>
        </w:rPr>
        <w:t>[14]</w:t>
      </w:r>
      <w:r w:rsidRPr="009A3002">
        <w:rPr>
          <w:color w:val="EE0000"/>
        </w:rPr>
        <w:tab/>
        <w:t>“Renewable power generation costs in 2023”.</w:t>
      </w:r>
    </w:p>
    <w:p w14:paraId="1F2B0709" w14:textId="77777777" w:rsidR="00CD6F8E" w:rsidRDefault="00CD6F8E" w:rsidP="00CD6F8E">
      <w:pPr>
        <w:pStyle w:val="Bibliography"/>
      </w:pPr>
      <w:r>
        <w:t>[15]</w:t>
      </w:r>
      <w:r>
        <w:tab/>
        <w:t>IEA, “Wind.” Accessed: Feb. 25, 2025. [Online]. Available: https://www.iea.org/energy-system/renewables/wind</w:t>
      </w:r>
    </w:p>
    <w:p w14:paraId="50B9B69D" w14:textId="77777777" w:rsidR="00CD6F8E" w:rsidRDefault="00CD6F8E" w:rsidP="00CD6F8E">
      <w:pPr>
        <w:pStyle w:val="Bibliography"/>
      </w:pPr>
      <w:r>
        <w:t>[16]</w:t>
      </w:r>
      <w:r>
        <w:tab/>
        <w:t>“Renewable power generation costs in 2024”, [Online]. Available: https://www.rinnovabili.it/wp-content/uploads/2025/07/IRENA-RENEWABLE-POWER-GENERATION-COSTS-IN-2024.pdf</w:t>
      </w:r>
    </w:p>
    <w:p w14:paraId="7F9F96C6" w14:textId="77777777" w:rsidR="00CD6F8E" w:rsidRDefault="00CD6F8E" w:rsidP="00CD6F8E">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28681FCB" w14:textId="77777777" w:rsidR="00CD6F8E" w:rsidRDefault="00CD6F8E" w:rsidP="00CD6F8E">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3D987DF2" w14:textId="77777777" w:rsidR="00CD6F8E" w:rsidRDefault="00CD6F8E" w:rsidP="00CD6F8E">
      <w:pPr>
        <w:pStyle w:val="Bibliography"/>
      </w:pPr>
      <w:r>
        <w:lastRenderedPageBreak/>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1E248688" w14:textId="77777777" w:rsidR="00CD6F8E" w:rsidRDefault="00CD6F8E" w:rsidP="00CD6F8E">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7A49CC2B" w14:textId="77777777" w:rsidR="00CD6F8E" w:rsidRDefault="00CD6F8E" w:rsidP="00CD6F8E">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7C2A99BC" w14:textId="77777777" w:rsidR="00CD6F8E" w:rsidRDefault="00CD6F8E" w:rsidP="00CD6F8E">
      <w:pPr>
        <w:pStyle w:val="Bibliography"/>
      </w:pPr>
      <w:r>
        <w:t>[22]</w:t>
      </w:r>
      <w:r>
        <w:tab/>
      </w:r>
      <w:r>
        <w:rPr>
          <w:i/>
          <w:iCs/>
        </w:rPr>
        <w:t>IEEE Standard for Harmonic Control in Electric Power Systems</w:t>
      </w:r>
      <w:r>
        <w:t>. doi: 10.1109/IEEESTD.2022.9848440.</w:t>
      </w:r>
    </w:p>
    <w:p w14:paraId="0958B4EA" w14:textId="77777777" w:rsidR="00CD6F8E" w:rsidRDefault="00CD6F8E" w:rsidP="00CD6F8E">
      <w:pPr>
        <w:pStyle w:val="Bibliography"/>
      </w:pPr>
      <w:r>
        <w:t>[23]</w:t>
      </w:r>
      <w:r>
        <w:tab/>
        <w:t>M. C. Offutt and L. Zhu, “Data Centers and Their Energy Consumption: Frequently Asked Questions”.</w:t>
      </w:r>
    </w:p>
    <w:p w14:paraId="2B2132FA" w14:textId="77777777" w:rsidR="00CD6F8E" w:rsidRDefault="00CD6F8E" w:rsidP="00CD6F8E">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33AD5C9D" w14:textId="77777777" w:rsidR="00CD6F8E" w:rsidRDefault="00CD6F8E" w:rsidP="00CD6F8E">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1CC6CAEE" w14:textId="77777777" w:rsidR="00CD6F8E" w:rsidRDefault="00CD6F8E" w:rsidP="00CD6F8E">
      <w:pPr>
        <w:pStyle w:val="Bibliography"/>
      </w:pPr>
      <w:r>
        <w:t>[26]</w:t>
      </w:r>
      <w:r>
        <w:tab/>
        <w:t xml:space="preserve">R. Mural </w:t>
      </w:r>
      <w:r>
        <w:rPr>
          <w:i/>
          <w:iCs/>
        </w:rPr>
        <w:t>et al.</w:t>
      </w:r>
      <w:r>
        <w:t>, “AI, Data Centers, and the U.S. Electric Grid: A Watershed Moment”.</w:t>
      </w:r>
    </w:p>
    <w:p w14:paraId="1163C26A" w14:textId="77777777" w:rsidR="00CD6F8E" w:rsidRDefault="00CD6F8E" w:rsidP="00CD6F8E">
      <w:pPr>
        <w:pStyle w:val="Bibliography"/>
      </w:pPr>
      <w:r>
        <w:t>[27]</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3B260798" w14:textId="77777777" w:rsidR="00CD6F8E" w:rsidRDefault="00CD6F8E" w:rsidP="00CD6F8E">
      <w:pPr>
        <w:pStyle w:val="Bibliography"/>
      </w:pPr>
      <w:r>
        <w:t>[28]</w:t>
      </w:r>
      <w:r>
        <w:tab/>
        <w:t>V. Avelar and P. Donovan, “How 6 AI Attributes Change Data Center Design”.</w:t>
      </w:r>
    </w:p>
    <w:p w14:paraId="3CFE16B4" w14:textId="77777777" w:rsidR="00CD6F8E" w:rsidRDefault="00CD6F8E" w:rsidP="00CD6F8E">
      <w:pPr>
        <w:pStyle w:val="Bibliography"/>
      </w:pPr>
      <w:r>
        <w:t>[29]</w:t>
      </w:r>
      <w:r>
        <w:tab/>
        <w:t xml:space="preserve">T. B. Brown </w:t>
      </w:r>
      <w:r>
        <w:rPr>
          <w:i/>
          <w:iCs/>
        </w:rPr>
        <w:t>et al.</w:t>
      </w:r>
      <w:r>
        <w:t xml:space="preserve">, “Language Models are Few-Shot Learners,” 2020, </w:t>
      </w:r>
      <w:r>
        <w:rPr>
          <w:i/>
          <w:iCs/>
        </w:rPr>
        <w:t>arXiv</w:t>
      </w:r>
      <w:r>
        <w:t>. doi: 10.48550/ARXIV.2005.14165.</w:t>
      </w:r>
    </w:p>
    <w:p w14:paraId="7AB9D1FA" w14:textId="77777777" w:rsidR="00CD6F8E" w:rsidRDefault="00CD6F8E" w:rsidP="00CD6F8E">
      <w:pPr>
        <w:pStyle w:val="Bibliography"/>
      </w:pPr>
      <w:r>
        <w:t>[30]</w:t>
      </w:r>
      <w:r>
        <w:tab/>
        <w:t>M. Raza, “Carbon Literacy for Generative AI: Visualizing Training Emissions Through Human-Scale Equivalents”.</w:t>
      </w:r>
    </w:p>
    <w:p w14:paraId="45B954D0" w14:textId="77777777" w:rsidR="00CD6F8E" w:rsidRDefault="00CD6F8E" w:rsidP="00CD6F8E">
      <w:pPr>
        <w:pStyle w:val="Bibliography"/>
      </w:pPr>
      <w:r>
        <w:t>[31]</w:t>
      </w:r>
      <w:r>
        <w:tab/>
        <w:t>Google, “Growing the internet while reducing energy consumption.” [Online]. Available: Growing the internet while reducing energy consumption</w:t>
      </w:r>
    </w:p>
    <w:p w14:paraId="71F7861A" w14:textId="77777777" w:rsidR="00CD6F8E" w:rsidRDefault="00CD6F8E" w:rsidP="00CD6F8E">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3FE08BC8" w14:textId="77777777" w:rsidR="00CD6F8E" w:rsidRDefault="00CD6F8E" w:rsidP="00CD6F8E">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245F46B5" w14:textId="77777777" w:rsidR="00CD6F8E" w:rsidRDefault="00CD6F8E" w:rsidP="00CD6F8E">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7628596E" w14:textId="77777777" w:rsidR="00CD6F8E" w:rsidRDefault="00CD6F8E" w:rsidP="00CD6F8E">
      <w:pPr>
        <w:pStyle w:val="Bibliography"/>
      </w:pPr>
      <w:r>
        <w:lastRenderedPageBreak/>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04FBBC56" w14:textId="77777777" w:rsidR="00CD6F8E" w:rsidRDefault="00CD6F8E" w:rsidP="00CD6F8E">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4874EDF5" w14:textId="77777777" w:rsidR="00CD6F8E" w:rsidRDefault="00CD6F8E" w:rsidP="00CD6F8E">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48D9AB1E" w14:textId="77777777" w:rsidR="00CD6F8E" w:rsidRDefault="00CD6F8E" w:rsidP="00CD6F8E">
      <w:pPr>
        <w:pStyle w:val="Bibliography"/>
      </w:pPr>
      <w:r>
        <w:t>[38]</w:t>
      </w:r>
      <w:r>
        <w:tab/>
        <w:t xml:space="preserve">P. Blecich, I. Bonefačić, T. Senčić, and I. Wolf, “Resilience Under Heatwaves: Croatia’s Power System During the July 2024 Heatwave and the Role of Variable Renewable Energy by 2030,” </w:t>
      </w:r>
      <w:r>
        <w:rPr>
          <w:i/>
          <w:iCs/>
        </w:rPr>
        <w:t>Appl. Sci.</w:t>
      </w:r>
      <w:r>
        <w:t>, vol. 15, no. 12, p. 6440, Jun. 2025, doi: 10.3390/app15126440.</w:t>
      </w:r>
    </w:p>
    <w:p w14:paraId="618672F1" w14:textId="77777777" w:rsidR="00CD6F8E" w:rsidRDefault="00CD6F8E" w:rsidP="00CD6F8E">
      <w:pPr>
        <w:pStyle w:val="Bibliography"/>
      </w:pPr>
      <w:r>
        <w:t>[39]</w:t>
      </w:r>
      <w:r>
        <w:tab/>
        <w:t xml:space="preserve">G. Gülen, J. Das, and M. H. Young, “Assessing Economic Costs of Two Reliable Generation Mix Scenarios in the ERCOT System,” </w:t>
      </w:r>
      <w:r>
        <w:rPr>
          <w:i/>
          <w:iCs/>
        </w:rPr>
        <w:t>Energies</w:t>
      </w:r>
      <w:r>
        <w:t>, vol. 19, no. 9, p. 2195, May 2026, doi: 10.3390/en19092195.</w:t>
      </w:r>
    </w:p>
    <w:p w14:paraId="7DF4679B" w14:textId="77777777" w:rsidR="00CD6F8E" w:rsidRDefault="00CD6F8E" w:rsidP="00CD6F8E">
      <w:pPr>
        <w:pStyle w:val="Bibliography"/>
      </w:pPr>
      <w:r>
        <w:t>[40]</w:t>
      </w:r>
      <w:r>
        <w:tab/>
        <w:t xml:space="preserve">A. McCoy </w:t>
      </w:r>
      <w:r>
        <w:rPr>
          <w:i/>
          <w:iCs/>
        </w:rPr>
        <w:t>et al.</w:t>
      </w:r>
      <w:r>
        <w:t>, “Offshore Wind Market Report: 2024 Edition”.</w:t>
      </w:r>
    </w:p>
    <w:p w14:paraId="2437A045" w14:textId="77777777" w:rsidR="00CD6F8E" w:rsidRDefault="00CD6F8E" w:rsidP="00CD6F8E">
      <w:pPr>
        <w:pStyle w:val="Bibliography"/>
      </w:pPr>
      <w:r>
        <w:t>[41]</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050C2D65" w14:textId="77777777" w:rsidR="00CD6F8E" w:rsidRDefault="00CD6F8E" w:rsidP="00CD6F8E">
      <w:pPr>
        <w:pStyle w:val="Bibliography"/>
      </w:pPr>
      <w:r>
        <w:t>[42]</w:t>
      </w:r>
      <w:r>
        <w:tab/>
        <w:t xml:space="preserve">E. Virguez </w:t>
      </w:r>
      <w:r>
        <w:rPr>
          <w:i/>
          <w:iCs/>
        </w:rPr>
        <w:t>et al.</w:t>
      </w:r>
      <w:r>
        <w:t>, “Renewable energy quality trilemma and coincident wind and solar droughts”, doi: 10.17615/C4JD-4Y42.</w:t>
      </w:r>
    </w:p>
    <w:p w14:paraId="3F362341" w14:textId="77777777" w:rsidR="00CD6F8E" w:rsidRDefault="00CD6F8E" w:rsidP="00CD6F8E">
      <w:pPr>
        <w:pStyle w:val="Bibliography"/>
      </w:pPr>
      <w:r>
        <w:t>[43]</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1AF34ADC" w14:textId="77777777" w:rsidR="00CD6F8E" w:rsidRDefault="00CD6F8E" w:rsidP="00CD6F8E">
      <w:pPr>
        <w:pStyle w:val="Bibliography"/>
      </w:pPr>
      <w:r>
        <w:t>[44]</w:t>
      </w:r>
      <w:r>
        <w:tab/>
        <w:t xml:space="preserve">M. Catania, F. Parolin, F. Fattori, and P. Colbertaldo, “The role of hydropower in decarbonisation scenarios,” </w:t>
      </w:r>
      <w:r>
        <w:rPr>
          <w:i/>
          <w:iCs/>
        </w:rPr>
        <w:t>Renew. Energy</w:t>
      </w:r>
      <w:r>
        <w:t>, vol. 236, p. 121411, Dec. 2024, doi: 10.1016/j.renene.2024.121411.</w:t>
      </w:r>
    </w:p>
    <w:p w14:paraId="028B9006" w14:textId="77777777" w:rsidR="00CD6F8E" w:rsidRDefault="00CD6F8E" w:rsidP="00CD6F8E">
      <w:pPr>
        <w:pStyle w:val="Bibliography"/>
      </w:pPr>
      <w:r>
        <w:t>[45]</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3F20EF33" w14:textId="77777777" w:rsidR="00CD6F8E" w:rsidRDefault="00CD6F8E" w:rsidP="00CD6F8E">
      <w:pPr>
        <w:pStyle w:val="Bibliography"/>
      </w:pPr>
      <w:r>
        <w:t>[46]</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6D855A22" w14:textId="77777777" w:rsidR="00CD6F8E" w:rsidRDefault="00CD6F8E" w:rsidP="00CD6F8E">
      <w:pPr>
        <w:pStyle w:val="Bibliography"/>
      </w:pPr>
      <w:r>
        <w:t>[47]</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2FDFBCB2" w14:textId="77777777" w:rsidR="00CD6F8E" w:rsidRDefault="00CD6F8E" w:rsidP="00CD6F8E">
      <w:pPr>
        <w:pStyle w:val="Bibliography"/>
      </w:pPr>
      <w:r>
        <w:t>[48]</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3556B355" w14:textId="77777777" w:rsidR="00CD6F8E" w:rsidRDefault="00CD6F8E" w:rsidP="00CD6F8E">
      <w:pPr>
        <w:pStyle w:val="Bibliography"/>
      </w:pPr>
      <w:r>
        <w:lastRenderedPageBreak/>
        <w:t>[49]</w:t>
      </w:r>
      <w:r>
        <w:tab/>
        <w:t>U. Remme, “Global Hydrogen Review 2025,” 2025, [Online]. Available: https://iea.blob.core.windows.net/assets/12d92ecc-e960-40f3-aff5-b2de6690ab6b/GlobalHydrogenReview2025.pdf</w:t>
      </w:r>
    </w:p>
    <w:p w14:paraId="5A2AA655" w14:textId="77777777" w:rsidR="00CD6F8E" w:rsidRDefault="00CD6F8E" w:rsidP="00CD6F8E">
      <w:pPr>
        <w:pStyle w:val="Bibliography"/>
      </w:pPr>
      <w:r>
        <w:t>[50]</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vol. 7, p. 100106, Sep. 2025, doi: 10.1016/j.fub.2025.100106.</w:t>
      </w:r>
    </w:p>
    <w:p w14:paraId="313BFEA5" w14:textId="77777777" w:rsidR="00CD6F8E" w:rsidRDefault="00CD6F8E" w:rsidP="00CD6F8E">
      <w:pPr>
        <w:pStyle w:val="Bibliography"/>
      </w:pPr>
      <w:r>
        <w:t>[51]</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65A4CBC4" w14:textId="77777777" w:rsidR="00CD6F8E" w:rsidRDefault="00CD6F8E" w:rsidP="00CD6F8E">
      <w:pPr>
        <w:pStyle w:val="Bibliography"/>
      </w:pPr>
      <w:r>
        <w:t>[52]</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7E2A1782" w14:textId="77777777" w:rsidR="00CD6F8E" w:rsidRDefault="00CD6F8E" w:rsidP="00CD6F8E">
      <w:pPr>
        <w:pStyle w:val="Bibliography"/>
      </w:pPr>
      <w:r>
        <w:t>[53]</w:t>
      </w:r>
      <w:r>
        <w:tab/>
      </w:r>
      <w:r>
        <w:rPr>
          <w:i/>
          <w:iCs/>
        </w:rPr>
        <w:t>IEEE Standard for Interconnection and Interoperability of Inverter-Based Resources (IBRs) Interconnecting with Associated Transmission Electric Power Systems</w:t>
      </w:r>
      <w:r>
        <w:t>. doi: 10.1109/IEEESTD.2022.9762253.</w:t>
      </w:r>
    </w:p>
    <w:p w14:paraId="2FD4D95A" w14:textId="77777777" w:rsidR="00CD6F8E" w:rsidRDefault="00CD6F8E" w:rsidP="00CD6F8E">
      <w:pPr>
        <w:pStyle w:val="Bibliography"/>
      </w:pPr>
      <w:r>
        <w:t>[54]</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13A326BE" w14:textId="77777777" w:rsidR="00CD6F8E" w:rsidRDefault="00CD6F8E" w:rsidP="00CD6F8E">
      <w:pPr>
        <w:pStyle w:val="Bibliography"/>
      </w:pPr>
      <w:r>
        <w:t>[55]</w:t>
      </w:r>
      <w:r>
        <w:tab/>
        <w:t>Google, “Google Environmental Report 2025.” [Online]. Available: https://sustainability.google/reports/google-2025-environmental-report/</w:t>
      </w:r>
    </w:p>
    <w:p w14:paraId="751200B7" w14:textId="77777777" w:rsidR="00CD6F8E" w:rsidRDefault="00CD6F8E" w:rsidP="00CD6F8E">
      <w:pPr>
        <w:pStyle w:val="Bibliography"/>
      </w:pPr>
      <w:r>
        <w:t>[56]</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4EB26770" w14:textId="77777777" w:rsidR="00CD6F8E" w:rsidRDefault="00CD6F8E" w:rsidP="00CD6F8E">
      <w:pPr>
        <w:pStyle w:val="Bibliography"/>
      </w:pPr>
      <w:r>
        <w:t>[57]</w:t>
      </w:r>
      <w:r>
        <w:tab/>
        <w:t>Meta, “2025 Sustainability Report.” [Online]. Available: https://sustainability.atmeta.com/wp-content/uploads/2025/08/Meta_2025-Sustainability-Report.pdf</w:t>
      </w:r>
    </w:p>
    <w:p w14:paraId="2D371060" w14:textId="77777777" w:rsidR="00CD6F8E" w:rsidRDefault="00CD6F8E" w:rsidP="00CD6F8E">
      <w:pPr>
        <w:pStyle w:val="Bibliography"/>
      </w:pPr>
      <w:r>
        <w:t>[58]</w:t>
      </w:r>
      <w:r>
        <w:tab/>
        <w:t>BloombergNEF, “Corporate Clean Energy Buying Fell in 2025 After Nearly a Decade of Growth.”</w:t>
      </w:r>
    </w:p>
    <w:p w14:paraId="347C00CD" w14:textId="77777777" w:rsidR="00CD6F8E" w:rsidRDefault="00CD6F8E" w:rsidP="00CD6F8E">
      <w:pPr>
        <w:pStyle w:val="Bibliography"/>
      </w:pPr>
      <w:r>
        <w:t>[59]</w:t>
      </w:r>
      <w:r>
        <w:tab/>
        <w:t>Y. Panchal, S. Dubey, and R. Pathak, “Exploring the Future of Cloud Computing: A Comprehensive Study of Microsoft’s Underwater Data Centers,” vol. 12, no. 3, 2025.</w:t>
      </w:r>
    </w:p>
    <w:p w14:paraId="14378EB8" w14:textId="77777777" w:rsidR="00CD6F8E" w:rsidRDefault="00CD6F8E" w:rsidP="00CD6F8E">
      <w:pPr>
        <w:pStyle w:val="Bibliography"/>
      </w:pPr>
      <w:r>
        <w:t>[60]</w:t>
      </w:r>
      <w:r>
        <w:tab/>
        <w:t>K. Simon, “Project Natick — Microsoft’s Self-sufficient Underwater Datacenters”.</w:t>
      </w:r>
    </w:p>
    <w:p w14:paraId="326ADEF1" w14:textId="77777777" w:rsidR="00CD6F8E" w:rsidRDefault="00CD6F8E" w:rsidP="00CD6F8E">
      <w:pPr>
        <w:pStyle w:val="Bibliography"/>
      </w:pPr>
      <w:r>
        <w:t>[61]</w:t>
      </w:r>
      <w:r>
        <w:tab/>
        <w:t xml:space="preserve">G. Gülen, J. Das, and M. H. Young, “Assessing Economic Costs of Two Reliable Generation Mix Scenarios in the ERCOT System,” </w:t>
      </w:r>
      <w:r>
        <w:rPr>
          <w:i/>
          <w:iCs/>
        </w:rPr>
        <w:t>Energies</w:t>
      </w:r>
      <w:r>
        <w:t>, vol. 19, no. 9, p. 2195, May 2026, doi: 10.3390/en19092195.</w:t>
      </w:r>
    </w:p>
    <w:p w14:paraId="48F7A2EF" w14:textId="77777777" w:rsidR="00CD6F8E" w:rsidRDefault="00CD6F8E" w:rsidP="00CD6F8E">
      <w:pPr>
        <w:pStyle w:val="Bibliography"/>
      </w:pPr>
      <w:r>
        <w:t>[62]</w:t>
      </w:r>
      <w:r>
        <w:tab/>
        <w:t>Equinix, “Sustainability Report 2025.” [Online]. Available: https://delivery-p112322-e1154416.adobeaemcloud.com/adobe/assets/deliver/urn:aaid:aem:116e6fc1-6217-4132-8fcf-1dc7096396df/Equinix-Inc_2025_Sustainability-Report.pdf</w:t>
      </w:r>
    </w:p>
    <w:p w14:paraId="5F328D6E" w14:textId="77777777" w:rsidR="00CD6F8E" w:rsidRDefault="00CD6F8E" w:rsidP="00CD6F8E">
      <w:pPr>
        <w:pStyle w:val="Bibliography"/>
      </w:pPr>
      <w:r>
        <w:t>[63]</w:t>
      </w:r>
      <w:r>
        <w:tab/>
        <w:t xml:space="preserve">B. L. Willis </w:t>
      </w:r>
      <w:r>
        <w:rPr>
          <w:i/>
          <w:iCs/>
        </w:rPr>
        <w:t>et al.</w:t>
      </w:r>
      <w:r>
        <w:t xml:space="preserve">, “Sustainability outlook for leading silicon photovoltaic technologies from 2023–2034 in Europe,” </w:t>
      </w:r>
      <w:r>
        <w:rPr>
          <w:i/>
          <w:iCs/>
        </w:rPr>
        <w:t>EPJ Photovolt.</w:t>
      </w:r>
      <w:r>
        <w:t>, vol. 17, p. 16, 2026, doi: 10.1051/epjpv/2026009.</w:t>
      </w:r>
    </w:p>
    <w:p w14:paraId="3168904D" w14:textId="77777777" w:rsidR="00CD6F8E" w:rsidRDefault="00CD6F8E" w:rsidP="00CD6F8E">
      <w:pPr>
        <w:pStyle w:val="Bibliography"/>
      </w:pPr>
      <w:r>
        <w:lastRenderedPageBreak/>
        <w:t>[64]</w:t>
      </w:r>
      <w:r>
        <w:tab/>
        <w:t>Apple, “Environmental Progress Report.” [Online]. Available: https://www.apple.com/environment/pdf/Apple_Environmental_Progress_Report_2025.pdf</w:t>
      </w:r>
    </w:p>
    <w:p w14:paraId="13749D90" w14:textId="77777777" w:rsidR="00CD6F8E" w:rsidRDefault="00CD6F8E" w:rsidP="00CD6F8E">
      <w:pPr>
        <w:pStyle w:val="Bibliography"/>
      </w:pPr>
      <w:r>
        <w:t>[65]</w:t>
      </w:r>
      <w:r>
        <w:tab/>
      </w:r>
      <w:r>
        <w:rPr>
          <w:i/>
          <w:iCs/>
        </w:rPr>
        <w:t>IEEE Recommended Practice for the Design of Reliable Industrial and Commercial Power Systems (Gold Book)</w:t>
      </w:r>
      <w:r>
        <w:t>. doi: 10.1109/IEEESTD.1998.89291.</w:t>
      </w:r>
    </w:p>
    <w:p w14:paraId="7BCD4AA4" w14:textId="77777777" w:rsidR="00CD6F8E" w:rsidRDefault="00CD6F8E" w:rsidP="00CD6F8E">
      <w:pPr>
        <w:pStyle w:val="Bibliography"/>
      </w:pPr>
      <w:r>
        <w:t>[66]</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0DB571AA" w14:textId="77777777" w:rsidR="00CD6F8E" w:rsidRDefault="00CD6F8E" w:rsidP="00CD6F8E">
      <w:pPr>
        <w:pStyle w:val="Bibliography"/>
      </w:pPr>
      <w:r>
        <w:t>[67]</w:t>
      </w:r>
      <w:r>
        <w:tab/>
        <w:t>Nguyen Anh Huy and X. T. Nguyen, “Data center energy assessment process and energy efficiency metrics,” 2025, doi: 10.13140/RG.2.2.27710.75845.</w:t>
      </w:r>
    </w:p>
    <w:p w14:paraId="04D63272" w14:textId="77777777" w:rsidR="00CD6F8E" w:rsidRDefault="00CD6F8E" w:rsidP="00CD6F8E">
      <w:pPr>
        <w:pStyle w:val="Bibliography"/>
      </w:pPr>
      <w:r>
        <w:t>[68]</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2859EEEC" w14:textId="77777777" w:rsidR="00CD6F8E" w:rsidRDefault="00CD6F8E" w:rsidP="00CD6F8E">
      <w:pPr>
        <w:pStyle w:val="Bibliography"/>
      </w:pPr>
      <w:r>
        <w:t>[69]</w:t>
      </w:r>
      <w:r>
        <w:tab/>
        <w:t xml:space="preserve">S. Narayanaswamy, P. D. Patel, I. Karlin, A. Gupta, S. Saripalli, and J. Guo, “Datacenter Energy Optimized Power Profiles,” 2025, </w:t>
      </w:r>
      <w:r>
        <w:rPr>
          <w:i/>
          <w:iCs/>
        </w:rPr>
        <w:t>arXiv</w:t>
      </w:r>
      <w:r>
        <w:t>. doi: 10.48550/ARXIV.2510.03872.</w:t>
      </w:r>
    </w:p>
    <w:p w14:paraId="1D2F8D5B" w14:textId="77777777" w:rsidR="00CD6F8E" w:rsidRDefault="00CD6F8E" w:rsidP="00CD6F8E">
      <w:pPr>
        <w:pStyle w:val="Bibliography"/>
      </w:pPr>
      <w:r>
        <w:t>[70]</w:t>
      </w:r>
      <w:r>
        <w:tab/>
        <w:t xml:space="preserve">V. Singhania, S. Aga, and M. A. Ibrahim, “FinGraV: Methodology for Fine-Grain GPU Power Visibility and Insights,” Mar. 28, 2025, </w:t>
      </w:r>
      <w:r>
        <w:rPr>
          <w:i/>
          <w:iCs/>
        </w:rPr>
        <w:t>arXiv</w:t>
      </w:r>
      <w:r>
        <w:t>: arXiv:2412.12426. doi: 10.48550/arXiv.2412.12426.</w:t>
      </w:r>
    </w:p>
    <w:p w14:paraId="444EA9AF" w14:textId="77777777" w:rsidR="00CD6F8E" w:rsidRDefault="00CD6F8E" w:rsidP="00CD6F8E">
      <w:pPr>
        <w:pStyle w:val="Bibliography"/>
      </w:pPr>
      <w:r>
        <w:t>[71]</w:t>
      </w:r>
      <w:r>
        <w:tab/>
        <w:t xml:space="preserve">Z. Yang, G. He, Y. Li, Y. Sun, W. Luo, and W. Zhang, “Thermal management in copackaged optics: from device assembly to system operation,” </w:t>
      </w:r>
      <w:r>
        <w:rPr>
          <w:i/>
          <w:iCs/>
        </w:rPr>
        <w:t>Adv. Photonics Nexus</w:t>
      </w:r>
      <w:r>
        <w:t>, vol. 5, no. 03, Mar. 2026, doi: 10.1117/1.APN.5.3.034001.</w:t>
      </w:r>
    </w:p>
    <w:p w14:paraId="18D07F4F" w14:textId="77777777" w:rsidR="00CD6F8E" w:rsidRDefault="00CD6F8E" w:rsidP="00CD6F8E">
      <w:pPr>
        <w:pStyle w:val="Bibliography"/>
      </w:pPr>
      <w:r>
        <w:t>[72]</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11B0C049" w14:textId="77777777" w:rsidR="00CD6F8E" w:rsidRDefault="00CD6F8E" w:rsidP="00CD6F8E">
      <w:pPr>
        <w:pStyle w:val="Bibliography"/>
      </w:pPr>
      <w:r>
        <w:t>[73]</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44CD680B" w14:textId="77777777" w:rsidR="00CD6F8E" w:rsidRDefault="00CD6F8E" w:rsidP="00CD6F8E">
      <w:pPr>
        <w:pStyle w:val="Bibliography"/>
      </w:pPr>
      <w:r>
        <w:t>[74]</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171D3854" w14:textId="77777777" w:rsidR="00CD6F8E" w:rsidRDefault="00CD6F8E" w:rsidP="00CD6F8E">
      <w:pPr>
        <w:pStyle w:val="Bibliography"/>
      </w:pPr>
      <w:r>
        <w:t>[75]</w:t>
      </w:r>
      <w:r>
        <w:tab/>
        <w:t>IEC, “Electrical Energy Storage.” [Online]. Available: https://iec.ch/system/files/2019-09/content/media/files/iec_wp-electrical_energy_storage-en.pdf</w:t>
      </w:r>
    </w:p>
    <w:p w14:paraId="5706A92F" w14:textId="77777777" w:rsidR="00CD6F8E" w:rsidRDefault="00CD6F8E" w:rsidP="00CD6F8E">
      <w:pPr>
        <w:pStyle w:val="Bibliography"/>
      </w:pPr>
      <w:r>
        <w:t>[76]</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35955288" w14:textId="77777777" w:rsidR="00CD6F8E" w:rsidRDefault="00CD6F8E" w:rsidP="00CD6F8E">
      <w:pPr>
        <w:pStyle w:val="Bibliography"/>
      </w:pPr>
      <w:r>
        <w:t>[77]</w:t>
      </w:r>
      <w:r>
        <w:tab/>
        <w:t xml:space="preserve">E. Eslami, “Air Quality and Greenhouse Gas Emissions Assessment of Data Centers in Texas: Quantifying Impacts and Environmental Tradeoffs,” 2025, </w:t>
      </w:r>
      <w:r>
        <w:rPr>
          <w:i/>
          <w:iCs/>
        </w:rPr>
        <w:t>arXiv</w:t>
      </w:r>
      <w:r>
        <w:t>. doi: 10.48550/ARXIV.2509.21312.</w:t>
      </w:r>
    </w:p>
    <w:p w14:paraId="3C8BF8CF" w14:textId="77777777" w:rsidR="00CD6F8E" w:rsidRDefault="00CD6F8E" w:rsidP="00CD6F8E">
      <w:pPr>
        <w:pStyle w:val="Bibliography"/>
      </w:pPr>
      <w:r>
        <w:t>[78]</w:t>
      </w:r>
      <w:r>
        <w:tab/>
        <w:t xml:space="preserve">Y. Tang, X. Bai, C. Jin, Y. Fu, W. Mao, and X. Xu, “Experimental and numerical study on the thermal environment of a data center,” </w:t>
      </w:r>
      <w:r>
        <w:rPr>
          <w:i/>
          <w:iCs/>
        </w:rPr>
        <w:t>Build. Environ.</w:t>
      </w:r>
      <w:r>
        <w:t>, vol. 212, p. 108741, Mar. 2022, doi: 10.1016/j.buildenv.2021.108741.</w:t>
      </w:r>
    </w:p>
    <w:p w14:paraId="60D4E906" w14:textId="77777777" w:rsidR="00CD6F8E" w:rsidRDefault="00CD6F8E" w:rsidP="00CD6F8E">
      <w:pPr>
        <w:pStyle w:val="Bibliography"/>
      </w:pPr>
      <w:r>
        <w:lastRenderedPageBreak/>
        <w:t>[79]</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62FC847D" w14:textId="77777777" w:rsidR="00CD6F8E" w:rsidRDefault="00CD6F8E" w:rsidP="00CD6F8E">
      <w:pPr>
        <w:pStyle w:val="Bibliography"/>
      </w:pPr>
      <w:r>
        <w:t>[80]</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0C738C2D" w14:textId="77777777" w:rsidR="00CD6F8E" w:rsidRDefault="00CD6F8E" w:rsidP="00CD6F8E">
      <w:pPr>
        <w:pStyle w:val="Bibliography"/>
      </w:pPr>
      <w:r>
        <w:t>[81]</w:t>
      </w:r>
      <w:r>
        <w:tab/>
      </w:r>
      <w:r>
        <w:rPr>
          <w:i/>
          <w:iCs/>
        </w:rPr>
        <w:t>IEEE Recommended Practice for Powering and Grounding Electronic Equipment</w:t>
      </w:r>
      <w:r>
        <w:t>. doi: 10.1109/IEEESTD.1999.90559.</w:t>
      </w:r>
    </w:p>
    <w:p w14:paraId="47D548E1" w14:textId="77777777" w:rsidR="00CD6F8E" w:rsidRDefault="00CD6F8E" w:rsidP="00CD6F8E">
      <w:pPr>
        <w:pStyle w:val="Bibliography"/>
      </w:pPr>
      <w:r>
        <w:t>[82]</w:t>
      </w:r>
      <w:r>
        <w:tab/>
        <w:t>R. Siddique, “Active Power Filters for Harmonic Mitigation in Power Systems”.</w:t>
      </w:r>
    </w:p>
    <w:p w14:paraId="5C59B1DC" w14:textId="77777777" w:rsidR="00CD6F8E" w:rsidRDefault="00CD6F8E" w:rsidP="00CD6F8E">
      <w:pPr>
        <w:pStyle w:val="Bibliography"/>
      </w:pPr>
      <w:r>
        <w:t>[83]</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780921C1" w14:textId="77777777" w:rsidR="00CD6F8E" w:rsidRDefault="00CD6F8E" w:rsidP="00CD6F8E">
      <w:pPr>
        <w:pStyle w:val="Bibliography"/>
      </w:pPr>
      <w:r>
        <w:t>[84]</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1160EB58" w14:textId="77777777" w:rsidR="00CD6F8E" w:rsidRDefault="00CD6F8E" w:rsidP="00CD6F8E">
      <w:pPr>
        <w:pStyle w:val="Bibliography"/>
      </w:pPr>
      <w:r>
        <w:t>[85]</w:t>
      </w:r>
      <w:r>
        <w:tab/>
        <w:t xml:space="preserve">J. Li, C. Wang, and Y. Liu, “AI Driven Virtual Power Plants: A Comprehensive Review,” Jan. 22, 2026, </w:t>
      </w:r>
      <w:r>
        <w:rPr>
          <w:i/>
          <w:iCs/>
        </w:rPr>
        <w:t>Engineering</w:t>
      </w:r>
      <w:r>
        <w:t>. doi: 10.20944/preprints202601.1691.v1.</w:t>
      </w:r>
    </w:p>
    <w:p w14:paraId="4E3136C1" w14:textId="77777777" w:rsidR="00CD6F8E" w:rsidRDefault="00CD6F8E" w:rsidP="00CD6F8E">
      <w:pPr>
        <w:pStyle w:val="Bibliography"/>
      </w:pPr>
      <w:r>
        <w:t>[86]</w:t>
      </w:r>
      <w:r>
        <w:tab/>
        <w:t xml:space="preserve">S. Jadhav and Z. Liu, “Digital Twin-Based Cooling System Optimization for Data Center,” 2026, </w:t>
      </w:r>
      <w:r>
        <w:rPr>
          <w:i/>
          <w:iCs/>
        </w:rPr>
        <w:t>arXiv</w:t>
      </w:r>
      <w:r>
        <w:t>. doi: 10.48550/ARXIV.2603.01198.</w:t>
      </w:r>
    </w:p>
    <w:p w14:paraId="510E7543" w14:textId="77777777" w:rsidR="00CD6F8E" w:rsidRDefault="00CD6F8E" w:rsidP="00CD6F8E">
      <w:pPr>
        <w:pStyle w:val="Bibliography"/>
      </w:pPr>
      <w:r>
        <w:t>[87]</w:t>
      </w:r>
      <w:r>
        <w:tab/>
        <w:t>NREL, “National Renewable Energy Laboratory (NREL). (2026).” [Online]. Available: https://atb.nrel.gov/</w:t>
      </w:r>
    </w:p>
    <w:p w14:paraId="32B55B70" w14:textId="77777777" w:rsidR="00CD6F8E" w:rsidRDefault="00CD6F8E" w:rsidP="00CD6F8E">
      <w:pPr>
        <w:pStyle w:val="Bibliography"/>
      </w:pPr>
      <w:r>
        <w:t>[88]</w:t>
      </w:r>
      <w:r>
        <w:tab/>
        <w:t>NREL, “National Renewable Energy Laboratory (NREL).” [Online]. Available: https://www.google.com/search?q=https://atb.nrel.gov/electricity</w:t>
      </w:r>
    </w:p>
    <w:p w14:paraId="7281B831" w14:textId="77777777" w:rsidR="00CD6F8E" w:rsidRDefault="00CD6F8E" w:rsidP="00CD6F8E">
      <w:pPr>
        <w:pStyle w:val="Bibliography"/>
      </w:pPr>
      <w:r>
        <w:t>[89]</w:t>
      </w:r>
      <w:r>
        <w:tab/>
        <w:t xml:space="preserve">E. Förstner </w:t>
      </w:r>
      <w:r>
        <w:rPr>
          <w:i/>
          <w:iCs/>
        </w:rPr>
        <w:t>et al.</w:t>
      </w:r>
      <w:r>
        <w:t>, “Photovoltaic system reduces grid voltage waveform distortions in the frequency range from 700 Hz to 1250 Hz,” 2026, doi: 10.5445/IR/1000191363.</w:t>
      </w:r>
    </w:p>
    <w:p w14:paraId="75842E34" w14:textId="77777777" w:rsidR="00CD6F8E" w:rsidRDefault="00CD6F8E" w:rsidP="00CD6F8E">
      <w:pPr>
        <w:pStyle w:val="Bibliography"/>
      </w:pPr>
      <w:r>
        <w:t>[90]</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6AED6B36" w14:textId="77777777" w:rsidR="00CD6F8E" w:rsidRDefault="00CD6F8E" w:rsidP="00CD6F8E">
      <w:pPr>
        <w:pStyle w:val="Bibliography"/>
      </w:pPr>
      <w:r>
        <w:t>[91]</w:t>
      </w:r>
      <w:r>
        <w:tab/>
        <w:t xml:space="preserve">O. Ndindayino, A. Puel, and J. Meyers, “Effect of blockage on wind turbine power and wake development,” Feb. 12, 2025, </w:t>
      </w:r>
      <w:r>
        <w:rPr>
          <w:i/>
          <w:iCs/>
        </w:rPr>
        <w:t>Fluid mechanics/Wakes and wind farm aerodynamics</w:t>
      </w:r>
      <w:r>
        <w:t>. doi: 10.5194/wes-2025-6.</w:t>
      </w:r>
    </w:p>
    <w:p w14:paraId="3136ED3B" w14:textId="77777777" w:rsidR="00CD6F8E" w:rsidRDefault="00CD6F8E" w:rsidP="00CD6F8E">
      <w:pPr>
        <w:pStyle w:val="Bibliography"/>
      </w:pPr>
      <w:r>
        <w:t>[92]</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2337B897" w14:textId="77777777" w:rsidR="00CD6F8E" w:rsidRDefault="00CD6F8E" w:rsidP="00CD6F8E">
      <w:pPr>
        <w:pStyle w:val="Bibliography"/>
      </w:pPr>
      <w:r>
        <w:t>[93]</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2BB14FA0" w14:textId="77777777" w:rsidR="00CD6F8E" w:rsidRDefault="00CD6F8E" w:rsidP="00CD6F8E">
      <w:pPr>
        <w:pStyle w:val="Bibliography"/>
      </w:pPr>
      <w:r>
        <w:lastRenderedPageBreak/>
        <w:t>[94]</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4C486DA3" w14:textId="77777777" w:rsidR="00CD6F8E" w:rsidRDefault="00CD6F8E" w:rsidP="00CD6F8E">
      <w:pPr>
        <w:pStyle w:val="Bibliography"/>
      </w:pPr>
      <w:r>
        <w:t>[95]</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11A2EF1E" w14:textId="77777777" w:rsidR="00CD6F8E" w:rsidRDefault="00CD6F8E" w:rsidP="00CD6F8E">
      <w:pPr>
        <w:pStyle w:val="Bibliography"/>
      </w:pPr>
      <w:r>
        <w:t>[96]</w:t>
      </w:r>
      <w:r>
        <w:tab/>
        <w:t xml:space="preserve">T. Anderson, “An improved typical meteorological year for solar energy simulations in Rarotonga, Cook Islands,” </w:t>
      </w:r>
      <w:r>
        <w:rPr>
          <w:i/>
          <w:iCs/>
        </w:rPr>
        <w:t>J. R. Soc. N. Z.</w:t>
      </w:r>
      <w:r>
        <w:t>, vol. 52, no. 5, pp. 606–613, Oct. 2022, doi: 10.1080/03036758.2021.2013262.</w:t>
      </w:r>
    </w:p>
    <w:p w14:paraId="32BC10C4" w14:textId="77777777" w:rsidR="00CD6F8E" w:rsidRDefault="00CD6F8E" w:rsidP="00CD6F8E">
      <w:pPr>
        <w:pStyle w:val="Bibliography"/>
      </w:pPr>
      <w:r>
        <w:t>[97]</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73DBF1E3" w14:textId="77777777" w:rsidR="00CD6F8E" w:rsidRDefault="00CD6F8E" w:rsidP="00CD6F8E">
      <w:pPr>
        <w:pStyle w:val="Bibliography"/>
      </w:pPr>
      <w:r>
        <w:t>[98]</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57DB84A1" w14:textId="77777777" w:rsidR="00CD6F8E" w:rsidRDefault="00CD6F8E" w:rsidP="00CD6F8E">
      <w:pPr>
        <w:pStyle w:val="Bibliography"/>
      </w:pPr>
      <w:r>
        <w:t>[99]</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1B7BF560" w14:textId="77777777" w:rsidR="00CD6F8E" w:rsidRDefault="00CD6F8E" w:rsidP="00CD6F8E">
      <w:pPr>
        <w:pStyle w:val="Bibliography"/>
      </w:pPr>
      <w:r>
        <w:t>[100]</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7D811207" w14:textId="77777777" w:rsidR="00CD6F8E" w:rsidRDefault="00CD6F8E" w:rsidP="00CD6F8E">
      <w:pPr>
        <w:pStyle w:val="Bibliography"/>
      </w:pPr>
      <w:r>
        <w:t>[101]</w:t>
      </w:r>
      <w:r>
        <w:tab/>
        <w:t xml:space="preserve">W. Cole, V. Ramasamy, and M. Turan, “Cost Projections for Utility-Scale Battery Storage: 2025 Update,” </w:t>
      </w:r>
      <w:r>
        <w:rPr>
          <w:i/>
          <w:iCs/>
        </w:rPr>
        <w:t>Renew. Energy</w:t>
      </w:r>
      <w:r>
        <w:t>, 2025, [Online]. Available: https://docs.nrel.gov/docs/fy25osti/93281.pdf</w:t>
      </w:r>
    </w:p>
    <w:p w14:paraId="5B9D928C" w14:textId="77777777" w:rsidR="00CD6F8E" w:rsidRDefault="00CD6F8E" w:rsidP="00CD6F8E">
      <w:pPr>
        <w:pStyle w:val="Bibliography"/>
      </w:pPr>
      <w:r>
        <w:t>[102]</w:t>
      </w:r>
      <w:r>
        <w:tab/>
        <w:t>Our World in Data, “Battery costs have declined by 99% in the last three decades, making electrified transport a reality.” [Online]. Available: https://ourworldindata.org/battery-price-decline</w:t>
      </w:r>
    </w:p>
    <w:p w14:paraId="470BF660" w14:textId="77777777" w:rsidR="00CD6F8E" w:rsidRDefault="00CD6F8E" w:rsidP="00CD6F8E">
      <w:pPr>
        <w:pStyle w:val="Bibliography"/>
      </w:pPr>
      <w:r>
        <w:t>[103]</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30F7A1D5" w14:textId="77777777" w:rsidR="00CD6F8E" w:rsidRDefault="00CD6F8E" w:rsidP="00CD6F8E">
      <w:pPr>
        <w:pStyle w:val="Bibliography"/>
      </w:pPr>
      <w:r>
        <w:t>[104]</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270843DE" w14:textId="77777777" w:rsidR="00CD6F8E" w:rsidRDefault="00CD6F8E" w:rsidP="00CD6F8E">
      <w:pPr>
        <w:pStyle w:val="Bibliography"/>
      </w:pPr>
      <w:r>
        <w:t>[105]</w:t>
      </w:r>
      <w:r>
        <w:tab/>
        <w:t>D. Reber, S. Jarvis, and M. Marshak, “The role of energy density for grid-scale batteries,” Nov. 17, 2022. doi: 10.26434/chemrxiv-2022-5ddhs.</w:t>
      </w:r>
    </w:p>
    <w:p w14:paraId="03206D2D" w14:textId="77777777" w:rsidR="00CD6F8E" w:rsidRDefault="00CD6F8E" w:rsidP="00CD6F8E">
      <w:pPr>
        <w:pStyle w:val="Bibliography"/>
      </w:pPr>
      <w:r>
        <w:t>[106]</w:t>
      </w:r>
      <w:r>
        <w:tab/>
        <w:t xml:space="preserve">S. Rahman and T. A. Khan, “Energy Storage Systems for AI Data Centers: A Review of Technologies, Characteristics, and Applicability,” </w:t>
      </w:r>
      <w:r>
        <w:rPr>
          <w:i/>
          <w:iCs/>
        </w:rPr>
        <w:t>Energies</w:t>
      </w:r>
      <w:r>
        <w:t>, vol. 19, no. 3, p. 634, Jan. 2026, doi: 10.3390/en19030634.</w:t>
      </w:r>
    </w:p>
    <w:p w14:paraId="0E08FC71" w14:textId="77777777" w:rsidR="00CD6F8E" w:rsidRDefault="00CD6F8E" w:rsidP="00CD6F8E">
      <w:pPr>
        <w:pStyle w:val="Bibliography"/>
      </w:pPr>
      <w:r>
        <w:t>[107]</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09C92B29" w14:textId="77777777" w:rsidR="00CD6F8E" w:rsidRDefault="00CD6F8E" w:rsidP="00CD6F8E">
      <w:pPr>
        <w:pStyle w:val="Bibliography"/>
      </w:pPr>
      <w:r>
        <w:lastRenderedPageBreak/>
        <w:t>[108]</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05897F8B" w14:textId="77777777" w:rsidR="00CD6F8E" w:rsidRDefault="00CD6F8E" w:rsidP="00CD6F8E">
      <w:pPr>
        <w:pStyle w:val="Bibliography"/>
      </w:pPr>
      <w:r>
        <w:t>[109]</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06EE9B17" w14:textId="77777777" w:rsidR="00CD6F8E" w:rsidRDefault="00CD6F8E" w:rsidP="00CD6F8E">
      <w:pPr>
        <w:pStyle w:val="Bibliography"/>
      </w:pPr>
      <w:r>
        <w:t>[110]</w:t>
      </w:r>
      <w:r>
        <w:tab/>
        <w:t xml:space="preserve">S. Ghosh and J. Damodara, “Scalable data centers – Power generation and delivery challenges and solutions,” </w:t>
      </w:r>
      <w:r>
        <w:rPr>
          <w:i/>
          <w:iCs/>
        </w:rPr>
        <w:t>Energy Rep.</w:t>
      </w:r>
      <w:r>
        <w:t>, vol. 15, p. 109178, Jun. 2026, doi: 10.1016/j.egyr.2026.109178.</w:t>
      </w:r>
    </w:p>
    <w:p w14:paraId="0AC07F8D" w14:textId="77777777" w:rsidR="00CD6F8E" w:rsidRDefault="00CD6F8E" w:rsidP="00CD6F8E">
      <w:pPr>
        <w:pStyle w:val="Bibliography"/>
      </w:pPr>
      <w:r>
        <w:t>[111]</w:t>
      </w:r>
      <w:r>
        <w:tab/>
        <w:t>Idaho National Lab, “Powering Data Centers with Clean Energy.” [Online]. Available: https://gain.inl.gov/content/uploads/4/2024/11/INL-RPT-24-79307-Powering-Data-Cneters-with-Clean-Energy.pdf</w:t>
      </w:r>
    </w:p>
    <w:p w14:paraId="15E9EE8F" w14:textId="77777777" w:rsidR="00CD6F8E" w:rsidRDefault="00CD6F8E" w:rsidP="00CD6F8E">
      <w:pPr>
        <w:pStyle w:val="Bibliography"/>
      </w:pPr>
      <w:r>
        <w:t>[112]</w:t>
      </w:r>
      <w:r>
        <w:tab/>
        <w:t>EPRI, “Powering Data Centers in the AI Era.” [Online]. Available: https://energie.hec.ca/wp-content/uploads/2025/10/PPT_EPRI.pdf</w:t>
      </w:r>
    </w:p>
    <w:p w14:paraId="4A71AF7A" w14:textId="77777777" w:rsidR="00CD6F8E" w:rsidRDefault="00CD6F8E" w:rsidP="00CD6F8E">
      <w:pPr>
        <w:pStyle w:val="Bibliography"/>
      </w:pPr>
      <w:r>
        <w:t>[113]</w:t>
      </w:r>
      <w:r>
        <w:tab/>
        <w:t>EIA, “Electric Power Annual 2024.” [Online]. Available: https://www.eia.gov/electricity/annual/pdf/epa.pdf</w:t>
      </w:r>
    </w:p>
    <w:p w14:paraId="0665B8C2" w14:textId="77777777" w:rsidR="00CD6F8E" w:rsidRDefault="00CD6F8E" w:rsidP="00CD6F8E">
      <w:pPr>
        <w:pStyle w:val="Bibliography"/>
      </w:pPr>
      <w:r>
        <w:t>[114]</w:t>
      </w:r>
      <w:r>
        <w:tab/>
        <w:t xml:space="preserve">J. W. Zhang, Y. H. Wang, G. C. Liu, and G. Z. Tian, “A review of control strategies for flywheel energy storage system and a case study with matrix converter,” </w:t>
      </w:r>
      <w:r>
        <w:rPr>
          <w:i/>
          <w:iCs/>
        </w:rPr>
        <w:t>Energy Rep.</w:t>
      </w:r>
      <w:r>
        <w:t>, vol. 8, pp. 3948–3963, Nov. 2022, doi: 10.1016/j.egyr.2022.03.009.</w:t>
      </w:r>
    </w:p>
    <w:p w14:paraId="076DB15D" w14:textId="77777777" w:rsidR="00CD6F8E" w:rsidRDefault="00CD6F8E" w:rsidP="00CD6F8E">
      <w:pPr>
        <w:pStyle w:val="Bibliography"/>
      </w:pPr>
      <w:r>
        <w:t>[115]</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1639E9D2" w14:textId="77777777" w:rsidR="00CD6F8E" w:rsidRDefault="00CD6F8E" w:rsidP="00CD6F8E">
      <w:pPr>
        <w:pStyle w:val="Bibliography"/>
      </w:pPr>
      <w:r>
        <w:t>[116]</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46CBD722" w14:textId="77777777" w:rsidR="00CD6F8E" w:rsidRDefault="00CD6F8E" w:rsidP="00CD6F8E">
      <w:pPr>
        <w:pStyle w:val="Bibliography"/>
      </w:pPr>
      <w:r>
        <w:t>[117]</w:t>
      </w:r>
      <w:r>
        <w:tab/>
        <w:t xml:space="preserve">L. Bongini, R. A. Mastromauro, D. Sgrò, and F. Malvaldi, “Electrical Damping Assessment and Stability Considerations for a Highly Electrified Liquefied Natural Gas Plant,” </w:t>
      </w:r>
      <w:r>
        <w:rPr>
          <w:i/>
          <w:iCs/>
        </w:rPr>
        <w:t>Energies</w:t>
      </w:r>
      <w:r>
        <w:t>, vol. 13, no. 10, p. 2612, May 2020, doi: 10.3390/en13102612.</w:t>
      </w:r>
    </w:p>
    <w:p w14:paraId="150915E3" w14:textId="77777777" w:rsidR="00CD6F8E" w:rsidRDefault="00CD6F8E" w:rsidP="00CD6F8E">
      <w:pPr>
        <w:pStyle w:val="Bibliography"/>
      </w:pPr>
      <w:r>
        <w:t>[118]</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18995379" w14:textId="77777777" w:rsidR="00CD6F8E" w:rsidRDefault="00CD6F8E" w:rsidP="00CD6F8E">
      <w:pPr>
        <w:pStyle w:val="Bibliography"/>
      </w:pPr>
      <w:r>
        <w:t>[119]</w:t>
      </w:r>
      <w:r>
        <w:tab/>
        <w:t xml:space="preserve">A. J. Monticelli, A. Garcia, and O. R. Saavedra, “Fast decoupled load flow: hypothesis, derivations, and testing,” </w:t>
      </w:r>
      <w:r>
        <w:rPr>
          <w:i/>
          <w:iCs/>
        </w:rPr>
        <w:t>IEEE Trans. Power Syst.</w:t>
      </w:r>
      <w:r>
        <w:t>, vol. 5, no. 4, pp. 1425–1431, Nov. 1990, doi: 10.1109/59.99396.</w:t>
      </w:r>
    </w:p>
    <w:p w14:paraId="4D2410AA" w14:textId="77777777" w:rsidR="00CD6F8E" w:rsidRDefault="00CD6F8E" w:rsidP="00CD6F8E">
      <w:pPr>
        <w:pStyle w:val="Bibliography"/>
      </w:pPr>
      <w:r>
        <w:t>[120]</w:t>
      </w:r>
      <w:r>
        <w:tab/>
        <w:t xml:space="preserve">M. Huneault and F. D. Galiana, “A survey of the optimal power flow literature,” </w:t>
      </w:r>
      <w:r>
        <w:rPr>
          <w:i/>
          <w:iCs/>
        </w:rPr>
        <w:t>IEEE Trans. Power Syst.</w:t>
      </w:r>
      <w:r>
        <w:t>, vol. 6, no. 2, pp. 762–770, May 1991, doi: 10.1109/59.76723.</w:t>
      </w:r>
    </w:p>
    <w:p w14:paraId="7BA01D13" w14:textId="77777777" w:rsidR="00CD6F8E" w:rsidRDefault="00CD6F8E" w:rsidP="00CD6F8E">
      <w:pPr>
        <w:pStyle w:val="Bibliography"/>
      </w:pPr>
      <w:r>
        <w:t>[121]</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48886181" w14:textId="77777777" w:rsidR="00CD6F8E" w:rsidRDefault="00CD6F8E" w:rsidP="00CD6F8E">
      <w:pPr>
        <w:pStyle w:val="Bibliography"/>
      </w:pPr>
      <w:r>
        <w:lastRenderedPageBreak/>
        <w:t>[122]</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33117897" w14:textId="77777777" w:rsidR="00CD6F8E" w:rsidRDefault="00CD6F8E" w:rsidP="00CD6F8E">
      <w:pPr>
        <w:pStyle w:val="Bibliography"/>
      </w:pPr>
      <w:r>
        <w:t>[123]</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404C13D2" w14:textId="77777777" w:rsidR="00CD6F8E" w:rsidRDefault="00CD6F8E" w:rsidP="00CD6F8E">
      <w:pPr>
        <w:pStyle w:val="Bibliography"/>
      </w:pPr>
      <w:r>
        <w:t>[124]</w:t>
      </w:r>
      <w:r>
        <w:tab/>
      </w:r>
      <w:r>
        <w:rPr>
          <w:i/>
          <w:iCs/>
        </w:rPr>
        <w:t>IEEE Standard for the Specification of Microgrid Controllers</w:t>
      </w:r>
      <w:r>
        <w:t>. doi: 10.1109/IEEESTD.2018.8340204.</w:t>
      </w:r>
    </w:p>
    <w:p w14:paraId="41A12665" w14:textId="77777777" w:rsidR="00CD6F8E" w:rsidRDefault="00CD6F8E" w:rsidP="00CD6F8E">
      <w:pPr>
        <w:pStyle w:val="Bibliography"/>
      </w:pPr>
      <w:r>
        <w:t>[125]</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5E4AD8FD" w14:textId="77777777" w:rsidR="00CD6F8E" w:rsidRDefault="00CD6F8E" w:rsidP="00CD6F8E">
      <w:pPr>
        <w:pStyle w:val="Bibliography"/>
      </w:pPr>
      <w:r>
        <w:t>[126]</w:t>
      </w:r>
      <w:r>
        <w:tab/>
        <w:t>NERC, “Inverter-Based Resource Performance Issues.” [Online]. Available: https://www.nerc.com/globalassets/programs/bpsa/alerts/2023/nerc-alert-r-2023-03-14-01-level-2---inverter-based-resource-performance-issues.pdf</w:t>
      </w:r>
    </w:p>
    <w:p w14:paraId="78735C1D" w14:textId="77777777" w:rsidR="00CD6F8E" w:rsidRDefault="00CD6F8E" w:rsidP="00CD6F8E">
      <w:pPr>
        <w:pStyle w:val="Bibliography"/>
      </w:pPr>
      <w:r>
        <w:t>[127]</w:t>
      </w:r>
      <w:r>
        <w:tab/>
        <w:t xml:space="preserve">J. C. Das, </w:t>
      </w:r>
      <w:r>
        <w:rPr>
          <w:i/>
          <w:iCs/>
        </w:rPr>
        <w:t>Power System Harmonics and Passive Filter Designs</w:t>
      </w:r>
      <w:r>
        <w:t>, 1st ed. Wiley, 2015. doi: 10.1002/9781118887059.</w:t>
      </w:r>
    </w:p>
    <w:p w14:paraId="7CA1CE8D" w14:textId="77777777" w:rsidR="00CD6F8E" w:rsidRDefault="00CD6F8E" w:rsidP="00CD6F8E">
      <w:pPr>
        <w:pStyle w:val="Bibliography"/>
      </w:pPr>
      <w:r>
        <w:t>[128]</w:t>
      </w:r>
      <w:r>
        <w:tab/>
        <w:t xml:space="preserve">M. S. Anindya, F. Zaro, and M. Popescu, “Power Quality Improvement Using Active Power Filters in Industrial Systems,” </w:t>
      </w:r>
      <w:r>
        <w:rPr>
          <w:i/>
          <w:iCs/>
        </w:rPr>
        <w:t>RESWARA J. Ris. Ilmu Tek.</w:t>
      </w:r>
      <w:r>
        <w:t>, vol. 3, no. 2, pp. 44–50, Apr. 2025, doi: 10.70716/reswara.v3i2.404.</w:t>
      </w:r>
    </w:p>
    <w:p w14:paraId="667DE78A" w14:textId="77777777" w:rsidR="00CD6F8E" w:rsidRDefault="00CD6F8E" w:rsidP="00CD6F8E">
      <w:pPr>
        <w:pStyle w:val="Bibliography"/>
      </w:pPr>
      <w:r>
        <w:t>[129]</w:t>
      </w:r>
      <w:r>
        <w:tab/>
        <w:t>HOMER, “Microgrid and Hybrid Power Modeling.” [Online]. Available: https://homerenergy.com/</w:t>
      </w:r>
    </w:p>
    <w:p w14:paraId="07287DC4" w14:textId="77777777" w:rsidR="00CD6F8E" w:rsidRDefault="00CD6F8E" w:rsidP="00CD6F8E">
      <w:pPr>
        <w:pStyle w:val="Bibliography"/>
      </w:pPr>
      <w:r>
        <w:t>[130]</w:t>
      </w:r>
      <w:r>
        <w:tab/>
        <w:t xml:space="preserve">“MODELING, SIMULATION AND INTELLIGENT ALGORITHMS FOR SOLVING THE MACHINE-LOADING PROBLEM: A LITERATURE REVIEW,” in </w:t>
      </w:r>
      <w:r>
        <w:rPr>
          <w:i/>
          <w:iCs/>
        </w:rPr>
        <w:t>Proceedings of THE 22ND INTERNATIONAL CONFERENCE ON MODELING AND APPLIED SIMULATION</w:t>
      </w:r>
      <w:r>
        <w:t>, CAL-TEK srl, 2023. doi: 10.46354/i3m.2023.mas.013.</w:t>
      </w:r>
    </w:p>
    <w:p w14:paraId="376D7982" w14:textId="77777777" w:rsidR="00CD6F8E" w:rsidRDefault="00CD6F8E" w:rsidP="00CD6F8E">
      <w:pPr>
        <w:pStyle w:val="Bibliography"/>
      </w:pPr>
      <w:r>
        <w:t>[131]</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7DDB37A1" w14:textId="77777777" w:rsidR="00CD6F8E" w:rsidRDefault="00CD6F8E" w:rsidP="00CD6F8E">
      <w:pPr>
        <w:pStyle w:val="Bibliography"/>
      </w:pPr>
      <w:r>
        <w:t>[132]</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5DF21FA9" w14:textId="77777777" w:rsidR="00CD6F8E" w:rsidRDefault="00CD6F8E" w:rsidP="00CD6F8E">
      <w:pPr>
        <w:pStyle w:val="Bibliography"/>
      </w:pPr>
      <w:r>
        <w:t>[133]</w:t>
      </w:r>
      <w:r>
        <w:tab/>
        <w:t xml:space="preserve">J. M. Morales, A. J. Conejo, H. Madsen, P. Pinson, and M. Zugno, </w:t>
      </w:r>
      <w:r>
        <w:rPr>
          <w:i/>
          <w:iCs/>
        </w:rPr>
        <w:t>Integrating Renewables in Electricity Markets: Operational Problems</w:t>
      </w:r>
      <w:r>
        <w:t>, 1st ed. 2014. in International Series in Operations Research &amp; Management Science, no. 205. New York, NY: Springer US : Imprint: Springer, 2014. doi: 10.1007/978-1-4614-9411-9.</w:t>
      </w:r>
    </w:p>
    <w:p w14:paraId="2CB5801F" w14:textId="77777777" w:rsidR="00CD6F8E" w:rsidRDefault="00CD6F8E" w:rsidP="00CD6F8E">
      <w:pPr>
        <w:pStyle w:val="Bibliography"/>
      </w:pPr>
      <w:r>
        <w:lastRenderedPageBreak/>
        <w:t>[134]</w:t>
      </w:r>
      <w:r>
        <w:tab/>
        <w:t xml:space="preserve">R. H. Inman, H. T. C. Pedro, and C. F. M. Coimbra, “Solar forecasting methods for renewable energy integration,” </w:t>
      </w:r>
      <w:r>
        <w:rPr>
          <w:i/>
          <w:iCs/>
        </w:rPr>
        <w:t>Prog. Energy Combust. Sci.</w:t>
      </w:r>
      <w:r>
        <w:t>, vol. 39, no. 6, pp. 535–576, Dec. 2013, doi: 10.1016/j.pecs.2013.06.002.</w:t>
      </w:r>
    </w:p>
    <w:p w14:paraId="4A00E40D" w14:textId="77777777" w:rsidR="00CD6F8E" w:rsidRDefault="00CD6F8E" w:rsidP="00CD6F8E">
      <w:pPr>
        <w:pStyle w:val="Bibliography"/>
      </w:pPr>
      <w:r>
        <w:t>[135]</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1F39A8CE" w14:textId="77777777" w:rsidR="00CD6F8E" w:rsidRDefault="00CD6F8E" w:rsidP="00CD6F8E">
      <w:pPr>
        <w:pStyle w:val="Bibliography"/>
      </w:pPr>
      <w:r>
        <w:t>[136]</w:t>
      </w:r>
      <w:r>
        <w:tab/>
        <w:t xml:space="preserve">E. Hosseini </w:t>
      </w:r>
      <w:r>
        <w:rPr>
          <w:i/>
          <w:iCs/>
        </w:rPr>
        <w:t>et al.</w:t>
      </w:r>
      <w:r>
        <w:t xml:space="preserve">, “Reinforcement learning-based energy management system for lithium-ion battery storage in multilevel microgrid,” </w:t>
      </w:r>
      <w:r>
        <w:rPr>
          <w:i/>
          <w:iCs/>
        </w:rPr>
        <w:t>J. Energy Storage</w:t>
      </w:r>
      <w:r>
        <w:t>, vol. 109, p. 115114, Feb. 2025, doi: 10.1016/j.est.2024.115114.</w:t>
      </w:r>
    </w:p>
    <w:p w14:paraId="020DB7C3" w14:textId="77777777" w:rsidR="00CD6F8E" w:rsidRDefault="00CD6F8E" w:rsidP="00CD6F8E">
      <w:pPr>
        <w:pStyle w:val="Bibliography"/>
      </w:pPr>
      <w:r>
        <w:t>[137]</w:t>
      </w:r>
      <w:r>
        <w:tab/>
        <w:t xml:space="preserve">N. Subramanian and A. A. Stonier, “Digital twin applications and case studies in modern power grid management,” </w:t>
      </w:r>
      <w:r>
        <w:rPr>
          <w:i/>
          <w:iCs/>
        </w:rPr>
        <w:t>Energy Rep.</w:t>
      </w:r>
      <w:r>
        <w:t>, vol. 15, p. 109218, Jun. 2026, doi: 10.1016/j.egyr.2026.109218.</w:t>
      </w:r>
    </w:p>
    <w:p w14:paraId="634F6DE8" w14:textId="77777777" w:rsidR="00CD6F8E" w:rsidRDefault="00CD6F8E" w:rsidP="00CD6F8E">
      <w:pPr>
        <w:pStyle w:val="Bibliography"/>
      </w:pPr>
      <w:r>
        <w:t>[138]</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793854B7" w14:textId="77777777" w:rsidR="00CD6F8E" w:rsidRDefault="00CD6F8E" w:rsidP="00CD6F8E">
      <w:pPr>
        <w:pStyle w:val="Bibliography"/>
      </w:pPr>
      <w:r>
        <w:t>[139]</w:t>
      </w:r>
      <w:r>
        <w:tab/>
        <w:t xml:space="preserve">R. Schaeffer </w:t>
      </w:r>
      <w:r>
        <w:rPr>
          <w:i/>
          <w:iCs/>
        </w:rPr>
        <w:t>et al.</w:t>
      </w:r>
      <w:r>
        <w:t xml:space="preserve">, “Energy sector vulnerability to climate change: A review,” </w:t>
      </w:r>
      <w:r>
        <w:rPr>
          <w:i/>
          <w:iCs/>
        </w:rPr>
        <w:t>Energy</w:t>
      </w:r>
      <w:r>
        <w:t>, vol. 38, no. 1, pp. 1–12, Feb. 2012, doi: 10.1016/j.energy.2011.11.056.</w:t>
      </w:r>
    </w:p>
    <w:p w14:paraId="0116F5DB" w14:textId="77777777" w:rsidR="00CD6F8E" w:rsidRDefault="00CD6F8E" w:rsidP="00CD6F8E">
      <w:pPr>
        <w:pStyle w:val="Bibliography"/>
      </w:pPr>
      <w:r>
        <w:t>[140]</w:t>
      </w:r>
      <w:r>
        <w:tab/>
        <w:t xml:space="preserve">M. A. Bekhti, L. Ghomri, H. L. Beklaouz, and R. Bouddou, “Techno-economic and environmental optimization of standalone hybrid energy systems using advanced energy storage for remote electrification in Southern Algeria,” </w:t>
      </w:r>
      <w:r>
        <w:rPr>
          <w:i/>
          <w:iCs/>
        </w:rPr>
        <w:t>J. Renew. Sustain. Energy</w:t>
      </w:r>
      <w:r>
        <w:t>, vol. 17, no. 5, p. 056309, Sep. 2025, doi: 10.1063/5.0297401.</w:t>
      </w:r>
    </w:p>
    <w:p w14:paraId="68E29252" w14:textId="77777777" w:rsidR="00CD6F8E" w:rsidRDefault="00CD6F8E" w:rsidP="00CD6F8E">
      <w:pPr>
        <w:pStyle w:val="Bibliography"/>
      </w:pPr>
      <w:r>
        <w:t>[141]</w:t>
      </w:r>
      <w:r>
        <w:tab/>
        <w:t xml:space="preserve">M. T. Takci, M. Qadrdan, J. Summers, and J. Gustafsson, “Data centres as a source of flexibility for power systems,” </w:t>
      </w:r>
      <w:r>
        <w:rPr>
          <w:i/>
          <w:iCs/>
        </w:rPr>
        <w:t>Energy Rep.</w:t>
      </w:r>
      <w:r>
        <w:t>, vol. 13, pp. 3661–3671, Jun. 2025, doi: 10.1016/j.egyr.2025.03.020.</w:t>
      </w:r>
    </w:p>
    <w:p w14:paraId="571443BB" w14:textId="77777777" w:rsidR="00CD6F8E" w:rsidRDefault="00CD6F8E" w:rsidP="00CD6F8E">
      <w:pPr>
        <w:pStyle w:val="Bibliography"/>
      </w:pPr>
      <w:r>
        <w:t>[142]</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3F775079" w14:textId="77777777" w:rsidR="00CD6F8E" w:rsidRDefault="00CD6F8E" w:rsidP="00CD6F8E">
      <w:pPr>
        <w:pStyle w:val="Bibliography"/>
      </w:pPr>
      <w:r>
        <w:t>[143]</w:t>
      </w:r>
      <w:r>
        <w:tab/>
        <w:t xml:space="preserve">A. Radovanovic </w:t>
      </w:r>
      <w:r>
        <w:rPr>
          <w:i/>
          <w:iCs/>
        </w:rPr>
        <w:t>et al.</w:t>
      </w:r>
      <w:r>
        <w:t xml:space="preserve">, “Carbon-Aware Computing for Datacenters,” 2021, </w:t>
      </w:r>
      <w:r>
        <w:rPr>
          <w:i/>
          <w:iCs/>
        </w:rPr>
        <w:t>arXiv</w:t>
      </w:r>
      <w:r>
        <w:t>. doi: 10.48550/ARXIV.2106.11750.</w:t>
      </w:r>
    </w:p>
    <w:p w14:paraId="5F570F3E" w14:textId="77777777" w:rsidR="00CD6F8E" w:rsidRDefault="00CD6F8E" w:rsidP="00CD6F8E">
      <w:pPr>
        <w:pStyle w:val="Bibliography"/>
      </w:pPr>
      <w:r>
        <w:t>[144]</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29F09CD5" w14:textId="77777777" w:rsidR="00CD6F8E" w:rsidRDefault="00CD6F8E" w:rsidP="00CD6F8E">
      <w:pPr>
        <w:pStyle w:val="Bibliography"/>
      </w:pPr>
      <w:r>
        <w:t>[145]</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0EBD7305" w14:textId="77777777" w:rsidR="00CD6F8E" w:rsidRDefault="00CD6F8E" w:rsidP="00CD6F8E">
      <w:pPr>
        <w:pStyle w:val="Bibliography"/>
      </w:pPr>
      <w:r>
        <w:t>[146]</w:t>
      </w:r>
      <w:r>
        <w:tab/>
        <w:t xml:space="preserve">S. Sarkar </w:t>
      </w:r>
      <w:r>
        <w:rPr>
          <w:i/>
          <w:iCs/>
        </w:rPr>
        <w:t>et al.</w:t>
      </w:r>
      <w:r>
        <w:t xml:space="preserve">, “Carbon Footprint Reduction for Sustainable Data Centers in Real-Time,” 2024, </w:t>
      </w:r>
      <w:r>
        <w:rPr>
          <w:i/>
          <w:iCs/>
        </w:rPr>
        <w:t>arXiv</w:t>
      </w:r>
      <w:r>
        <w:t>. doi: 10.48550/ARXIV.2403.14092.</w:t>
      </w:r>
    </w:p>
    <w:p w14:paraId="14F23FEA" w14:textId="77777777" w:rsidR="00CD6F8E" w:rsidRDefault="00CD6F8E" w:rsidP="00CD6F8E">
      <w:pPr>
        <w:pStyle w:val="Bibliography"/>
      </w:pPr>
      <w:r>
        <w:t>[147]</w:t>
      </w:r>
      <w:r>
        <w:tab/>
        <w:t xml:space="preserve">J. Sefyrin, “Sustainable datacentres and eco-modernist frictions in Sweden,” </w:t>
      </w:r>
      <w:r>
        <w:rPr>
          <w:i/>
          <w:iCs/>
        </w:rPr>
        <w:t>Inf. Commun. Soc.</w:t>
      </w:r>
      <w:r>
        <w:t>, pp. 1–17, Dec. 2025, doi: 10.1080/1369118X.2025.2596872.</w:t>
      </w:r>
    </w:p>
    <w:p w14:paraId="2C8AB738" w14:textId="77777777" w:rsidR="00CD6F8E" w:rsidRDefault="00CD6F8E" w:rsidP="00CD6F8E">
      <w:pPr>
        <w:pStyle w:val="Bibliography"/>
      </w:pPr>
      <w:r>
        <w:lastRenderedPageBreak/>
        <w:t>[148]</w:t>
      </w:r>
      <w:r>
        <w:tab/>
        <w:t>Lazard, “Levelized Cost of Energy.” [Online]. Available: https://www.lazard.com/media/eijnqja3/lazards-lcoeplus-june-2025.pdf</w:t>
      </w:r>
    </w:p>
    <w:p w14:paraId="60A3B68F" w14:textId="77777777" w:rsidR="00CD6F8E" w:rsidRDefault="00CD6F8E" w:rsidP="00CD6F8E">
      <w:pPr>
        <w:pStyle w:val="Bibliography"/>
      </w:pPr>
      <w:r>
        <w:t>[149]</w:t>
      </w:r>
      <w:r>
        <w:tab/>
        <w:t>EPA, “Summary of Inflation Reduction Act provisions related to renewable energy.” [Online]. Available: https://www.epa.gov/green-power-markets/summary-inflation-reduction-act-provisions-related-renewable-energy</w:t>
      </w:r>
    </w:p>
    <w:p w14:paraId="039F7647" w14:textId="77777777" w:rsidR="00CD6F8E" w:rsidRDefault="00CD6F8E" w:rsidP="00CD6F8E">
      <w:pPr>
        <w:pStyle w:val="Bibliography"/>
      </w:pPr>
      <w:r>
        <w:t>[150]</w:t>
      </w:r>
      <w:r>
        <w:tab/>
        <w:t xml:space="preserve">J. Rand </w:t>
      </w:r>
      <w:r>
        <w:rPr>
          <w:i/>
          <w:iCs/>
        </w:rPr>
        <w:t>et al.</w:t>
      </w:r>
      <w:r>
        <w:t>, “Characteristics of Power Plants Seeking Transmission Interconnection As of the End of 2024”.</w:t>
      </w:r>
    </w:p>
    <w:p w14:paraId="17892B9B" w14:textId="77777777" w:rsidR="00CD6F8E" w:rsidRDefault="00CD6F8E" w:rsidP="00CD6F8E">
      <w:pPr>
        <w:pStyle w:val="Bibliography"/>
      </w:pPr>
      <w:r>
        <w:t>[151]</w:t>
      </w:r>
      <w:r>
        <w:tab/>
        <w:t xml:space="preserve">M. S. Hoosain, B. S. Paul, S. Kass, and S. Ramakrishna, “Tools Towards the Sustainability and Circularity of Data Centers,” </w:t>
      </w:r>
      <w:r>
        <w:rPr>
          <w:i/>
          <w:iCs/>
        </w:rPr>
        <w:t>Circ. Econ. Sustain.</w:t>
      </w:r>
      <w:r>
        <w:t>, vol. 3, no. 1, pp. 173–197, Mar. 2023, doi: 10.1007/s43615-022-00191-9.</w:t>
      </w:r>
    </w:p>
    <w:p w14:paraId="045A9A6D" w14:textId="77777777" w:rsidR="00CD6F8E" w:rsidRDefault="00CD6F8E" w:rsidP="00CD6F8E">
      <w:pPr>
        <w:pStyle w:val="Bibliography"/>
      </w:pPr>
      <w:r>
        <w:t>[152]</w:t>
      </w:r>
      <w:r>
        <w:tab/>
        <w:t>NFPA, “NFPA 110 Type 10 Requirements for Emergency Power Systems.” [Online]. Available: https://www.cummins.com/sites/default/files/2019-03/PowerHour_NFPA110.pdf</w:t>
      </w:r>
    </w:p>
    <w:p w14:paraId="22E2F528" w14:textId="77777777" w:rsidR="00CD6F8E" w:rsidRDefault="00CD6F8E" w:rsidP="00CD6F8E">
      <w:pPr>
        <w:pStyle w:val="Bibliography"/>
      </w:pPr>
      <w:r>
        <w:t>[153]</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77E3C3CA" w14:textId="77777777" w:rsidR="00CD6F8E" w:rsidRDefault="00CD6F8E" w:rsidP="00CD6F8E">
      <w:pPr>
        <w:pStyle w:val="Bibliography"/>
      </w:pPr>
      <w:r>
        <w:t>[154]</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77DB086D" w14:textId="77777777" w:rsidR="00CD6F8E" w:rsidRDefault="00CD6F8E" w:rsidP="00CD6F8E">
      <w:pPr>
        <w:pStyle w:val="Bibliography"/>
      </w:pPr>
      <w:r>
        <w:t>[155]</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28DF3B1B" w14:textId="77777777" w:rsidR="00CD6F8E" w:rsidRDefault="00CD6F8E" w:rsidP="00CD6F8E">
      <w:pPr>
        <w:pStyle w:val="Bibliography"/>
      </w:pPr>
      <w:r>
        <w:t>[156]</w:t>
      </w:r>
      <w:r>
        <w:tab/>
        <w:t>Arthur D. Little, “U N L O C K I N G FUSION ENERGY.” [Online]. Available: https://www.adlittle.com/sites/default/files/reports/ADL_Unlocking_fusion_energy_2025%20%281%29.pdf</w:t>
      </w:r>
    </w:p>
    <w:p w14:paraId="16EB37E1" w14:textId="77777777" w:rsidR="00CD6F8E" w:rsidRDefault="00CD6F8E" w:rsidP="00CD6F8E">
      <w:pPr>
        <w:pStyle w:val="Bibliography"/>
      </w:pPr>
      <w:r>
        <w:t>[157]</w:t>
      </w:r>
      <w:r>
        <w:tab/>
        <w:t xml:space="preserve">F. M. A. Hadi, H. H. Aly, and T. Little, “Harmonics Forecasting of Wind and Solar Hybrid Model Based on Deep Machine Learning,” </w:t>
      </w:r>
      <w:r>
        <w:rPr>
          <w:i/>
          <w:iCs/>
        </w:rPr>
        <w:t>IEEE Access</w:t>
      </w:r>
      <w:r>
        <w:t>, vol. 11, pp. 100438–100457, 2023, doi: 10.1109/ACCESS.2023.3314742.</w:t>
      </w:r>
    </w:p>
    <w:p w14:paraId="58CB67A3" w14:textId="77777777" w:rsidR="00CD6F8E" w:rsidRDefault="00CD6F8E" w:rsidP="00CD6F8E">
      <w:pPr>
        <w:pStyle w:val="Bibliography"/>
      </w:pPr>
      <w:r>
        <w:t>[158]</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0E53BB33" w14:textId="77777777" w:rsidR="00CD6F8E" w:rsidRDefault="00CD6F8E" w:rsidP="00CD6F8E">
      <w:pPr>
        <w:pStyle w:val="Bibliography"/>
      </w:pPr>
      <w:r>
        <w:t>[159]</w:t>
      </w:r>
      <w:r>
        <w:tab/>
        <w:t>N. Institute, “Beyond FERC Order 2023: Considerations on Deep Interconnection Reform”, [Online]. Available: https://www.researchgate.net/publication/382074664_Beyond_FERC_Order_2023_Considerations_on_Deep_Interconnection_Reform</w:t>
      </w:r>
    </w:p>
    <w:p w14:paraId="3D4144FB" w14:textId="77777777" w:rsidR="00CD6F8E" w:rsidRDefault="00CD6F8E" w:rsidP="00CD6F8E">
      <w:pPr>
        <w:pStyle w:val="Bibliography"/>
      </w:pPr>
      <w:r>
        <w:t>[160]</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0C002688" w14:textId="77777777" w:rsidR="00CD6F8E" w:rsidRDefault="00CD6F8E" w:rsidP="00CD6F8E">
      <w:pPr>
        <w:pStyle w:val="Bibliography"/>
      </w:pPr>
      <w:r>
        <w:t>[161]</w:t>
      </w:r>
      <w:r>
        <w:tab/>
        <w:t xml:space="preserve">H. Chen, Z. Zhang, C. Guan, and H. Gao, “Optimization of sizing and frequency control in battery/supercapacitor hybrid energy storage system for fuel cell ship,” </w:t>
      </w:r>
      <w:r>
        <w:rPr>
          <w:i/>
          <w:iCs/>
        </w:rPr>
        <w:t>Energy</w:t>
      </w:r>
      <w:r>
        <w:t>, vol. 197, p. 117285, Apr. 2020, doi: 10.1016/j.energy.2020.117285.</w:t>
      </w:r>
    </w:p>
    <w:p w14:paraId="7CD2DE9C" w14:textId="77777777" w:rsidR="00CD6F8E" w:rsidRDefault="00CD6F8E" w:rsidP="00CD6F8E">
      <w:pPr>
        <w:pStyle w:val="Bibliography"/>
      </w:pPr>
      <w:r>
        <w:lastRenderedPageBreak/>
        <w:t>[162]</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40B2F125" w14:textId="77777777" w:rsidR="00CD6F8E" w:rsidRDefault="00CD6F8E" w:rsidP="00CD6F8E">
      <w:pPr>
        <w:pStyle w:val="Bibliography"/>
      </w:pPr>
      <w:r>
        <w:t>[163]</w:t>
      </w:r>
      <w:r>
        <w:tab/>
        <w:t>S. Chatterjee, “Mitigating Supply Chain Malware Risks in Operational Technology: Challenges and Solutions for the Oil and Gas Industry”.</w:t>
      </w:r>
    </w:p>
    <w:p w14:paraId="2BD9F6A1" w14:textId="77777777" w:rsidR="00CD6F8E" w:rsidRDefault="00CD6F8E" w:rsidP="00CD6F8E">
      <w:pPr>
        <w:pStyle w:val="Bibliography"/>
      </w:pPr>
      <w:r>
        <w:t>[164]</w:t>
      </w:r>
      <w:r>
        <w:tab/>
        <w:t>M. G. Todeschini, G. Dondossola, and R. Terruggia, “IMPACT EVALUATION OF IEC 62351 CYBER SECURITY ON IEC 61850 COMMUNICATIONS PERFORMANCE,” 2019.</w:t>
      </w:r>
    </w:p>
    <w:p w14:paraId="63D73E53" w14:textId="77777777" w:rsidR="00CD6F8E" w:rsidRDefault="00CD6F8E" w:rsidP="00CD6F8E">
      <w:pPr>
        <w:pStyle w:val="Bibliography"/>
      </w:pPr>
      <w:r>
        <w:t>[165]</w:t>
      </w:r>
      <w:r>
        <w:tab/>
        <w:t xml:space="preserve">A. Dimakopoulou and K. Rantos, “Comprehensive Analysis of Maritime Cybersecurity Landscape Based on the NIST CSF v2.0,” </w:t>
      </w:r>
      <w:r>
        <w:rPr>
          <w:i/>
          <w:iCs/>
        </w:rPr>
        <w:t>J. Mar. Sci. Eng.</w:t>
      </w:r>
      <w:r>
        <w:t>, vol. 12, no. 6, p. 919, May 2024, doi: 10.3390/jmse12060919.</w:t>
      </w:r>
    </w:p>
    <w:p w14:paraId="537EED10" w14:textId="77777777" w:rsidR="00CD6F8E" w:rsidRDefault="00CD6F8E" w:rsidP="00CD6F8E">
      <w:pPr>
        <w:pStyle w:val="Bibliography"/>
      </w:pPr>
      <w:r>
        <w:t>[166]</w:t>
      </w:r>
      <w:r>
        <w:tab/>
        <w:t>E. Chojkiewicz, A. Manocha, U. Paliwal, D. Callaway, and A. Phadke, “Utilizing Noncoincident Needs to Site Data Centers with Solar+Storage at Existing Gas Plants”.</w:t>
      </w:r>
    </w:p>
    <w:p w14:paraId="475962C4" w14:textId="77777777" w:rsidR="00CD6F8E" w:rsidRDefault="00CD6F8E" w:rsidP="00CD6F8E">
      <w:pPr>
        <w:pStyle w:val="Bibliography"/>
      </w:pPr>
      <w:r>
        <w:t>[167]</w:t>
      </w:r>
      <w:r>
        <w:tab/>
        <w:t xml:space="preserve">A. Jäger-Waldau, “Snapshot of photovoltaics—February 2026,” </w:t>
      </w:r>
      <w:r>
        <w:rPr>
          <w:i/>
          <w:iCs/>
        </w:rPr>
        <w:t>EPJ Photovolt.</w:t>
      </w:r>
      <w:r>
        <w:t>, vol. 17, p. 18, 2026, doi: 10.1051/epjpv/2026011.</w:t>
      </w:r>
    </w:p>
    <w:p w14:paraId="4B2EDEE1" w14:textId="77777777" w:rsidR="00CD6F8E" w:rsidRDefault="00CD6F8E" w:rsidP="00CD6F8E">
      <w:pPr>
        <w:pStyle w:val="Bibliography"/>
      </w:pPr>
      <w:r>
        <w:t>[168]</w:t>
      </w:r>
      <w:r>
        <w:tab/>
        <w:t xml:space="preserve">O. Kay, R. Reaser, and R. Taylor, “Processing Power: The Effect of Data Centers on Wholesale Electricity Markets,” </w:t>
      </w:r>
      <w:r>
        <w:rPr>
          <w:i/>
          <w:iCs/>
        </w:rPr>
        <w:t>Fed. Reserve Bank Dallas Work. Pap.</w:t>
      </w:r>
      <w:r>
        <w:t>, vol. 2026, no. 2606, Mar. 2026, doi: 10.24149/wp2606.</w:t>
      </w:r>
    </w:p>
    <w:p w14:paraId="60294A3C" w14:textId="77777777" w:rsidR="00CD6F8E" w:rsidRDefault="00CD6F8E" w:rsidP="00CD6F8E">
      <w:pPr>
        <w:pStyle w:val="Bibliography"/>
      </w:pPr>
      <w:r>
        <w:t>[169]</w:t>
      </w:r>
      <w:r>
        <w:tab/>
        <w:t>S. Clemmer, M. Chavez, S. Dotson, J. Gignac, S. Sattler, and L. Shaver, “Data Center Power Play: How Clean Energy Can Meet Rising Electricity Demand While Delivering Climate and Health Benefits,” Union of Concerned Scientists, Jan. 2026. doi: 10.47923/2026.16051.</w:t>
      </w:r>
    </w:p>
    <w:p w14:paraId="2B11BA3D" w14:textId="77777777" w:rsidR="00CD6F8E" w:rsidRDefault="00CD6F8E" w:rsidP="00CD6F8E">
      <w:pPr>
        <w:pStyle w:val="Bibliography"/>
      </w:pPr>
      <w:r>
        <w:t>[170]</w:t>
      </w:r>
      <w:r>
        <w:tab/>
        <w:t>Q. Yang, Y. Liu, T. Chen, and Y. Tong, “Federated Machine Learning: Concept and Applications,” 2019, doi: 10.48550/ARXIV.1902.04885.</w:t>
      </w:r>
    </w:p>
    <w:p w14:paraId="622272DA" w14:textId="77777777" w:rsidR="00CD6F8E" w:rsidRDefault="00CD6F8E" w:rsidP="00CD6F8E">
      <w:pPr>
        <w:pStyle w:val="Bibliography"/>
      </w:pPr>
      <w:r>
        <w:t>[171]</w:t>
      </w:r>
      <w:r>
        <w:tab/>
        <w:t xml:space="preserve">M. Dukan and B. Steffen, “Cost of capital for renewables and enabling technologies: Measuring the multidimensional heterogeneity in Switzerland,” 2024, </w:t>
      </w:r>
      <w:r>
        <w:rPr>
          <w:i/>
          <w:iCs/>
        </w:rPr>
        <w:t>SSRN</w:t>
      </w:r>
      <w:r>
        <w:t>. doi: 10.2139/ssrn.4926798.</w:t>
      </w:r>
    </w:p>
    <w:p w14:paraId="5E9CF3FA" w14:textId="77777777" w:rsidR="00CD6F8E" w:rsidRDefault="00CD6F8E" w:rsidP="00CD6F8E">
      <w:pPr>
        <w:pStyle w:val="Bibliography"/>
      </w:pPr>
      <w:r>
        <w:t>[172]</w:t>
      </w:r>
      <w:r>
        <w:tab/>
        <w:t>IESO, “2026 Annual Planning Outlook.” [Online]. Available: https://www.ieso.ca/-/media/Files/IESO/Document-Library/planning-forecasts/apo/2026/2026-APO-Demand-Forecast-Module.pdf</w:t>
      </w:r>
    </w:p>
    <w:p w14:paraId="4648B568" w14:textId="77777777" w:rsidR="00CD6F8E" w:rsidRDefault="00CD6F8E" w:rsidP="00CD6F8E">
      <w:pPr>
        <w:pStyle w:val="Bibliography"/>
      </w:pPr>
      <w:r>
        <w:t>[173]</w:t>
      </w:r>
      <w:r>
        <w:tab/>
        <w:t xml:space="preserve">“Assessing the Economic Impact of Artificial Intelligence,” </w:t>
      </w:r>
      <w:r>
        <w:rPr>
          <w:i/>
          <w:iCs/>
        </w:rPr>
        <w:t>ITU</w:t>
      </w:r>
      <w:r>
        <w:t>, [Online]. Available: https://www.itu.int/dms_pub/itu-s/opb/gen/S-gen-issuepaper-2018-1-pdf-e.pdf</w:t>
      </w:r>
    </w:p>
    <w:p w14:paraId="6E642CB9" w14:textId="77777777" w:rsidR="00CD6F8E" w:rsidRDefault="00CD6F8E" w:rsidP="00CD6F8E">
      <w:pPr>
        <w:pStyle w:val="Bibliography"/>
      </w:pPr>
      <w:r>
        <w:t>[174]</w:t>
      </w:r>
      <w:r>
        <w:tab/>
        <w:t xml:space="preserve">G. Duppati, “Carbon pricing and revenue growth valuation risk exposure,” </w:t>
      </w:r>
      <w:r>
        <w:rPr>
          <w:i/>
          <w:iCs/>
        </w:rPr>
        <w:t>Int. Rev. Econ. Finance</w:t>
      </w:r>
      <w:r>
        <w:t>, vol. 103, p. 104442, Oct. 2025, doi: 10.1016/j.iref.2025.104442.</w:t>
      </w:r>
    </w:p>
    <w:p w14:paraId="14149C29" w14:textId="77777777" w:rsidR="00CD6F8E" w:rsidRDefault="00CD6F8E" w:rsidP="00CD6F8E">
      <w:pPr>
        <w:pStyle w:val="Bibliography"/>
      </w:pPr>
      <w:r>
        <w:t>[175]</w:t>
      </w:r>
      <w:r>
        <w:tab/>
        <w:t>Daniel Yang, “Risk Structure and Financial Hedging in Nodal Electricity Markets.” [Online]. Available: https://www.oxfordenergy.org/wpcms/wp-content/uploads/2026/01/EL-61-Risk-Structure-and-Financial-Hedging.pdf</w:t>
      </w:r>
    </w:p>
    <w:p w14:paraId="75B79A8C" w14:textId="77777777" w:rsidR="00CD6F8E" w:rsidRDefault="00CD6F8E" w:rsidP="00CD6F8E">
      <w:pPr>
        <w:pStyle w:val="Bibliography"/>
      </w:pPr>
      <w:r>
        <w:t>[176]</w:t>
      </w:r>
      <w:r>
        <w:tab/>
        <w:t>S. Pillai and M. I. J. Nazir, “DemandLens: Enhancing Forecast Accuracy Through Product-Specific Hyperparameter Optimization”.</w:t>
      </w:r>
    </w:p>
    <w:p w14:paraId="1FB0DBE8" w14:textId="77777777" w:rsidR="00CD6F8E" w:rsidRDefault="00CD6F8E" w:rsidP="00CD6F8E">
      <w:pPr>
        <w:pStyle w:val="Bibliography"/>
      </w:pPr>
      <w:r>
        <w:t>[177]</w:t>
      </w:r>
      <w:r>
        <w:tab/>
        <w:t>PJM, “PJM State of the Market - 2025.” [Online]. Available: https://www.monitoringanalytics.com/reports/PJM_State_of_the_Market/2025.shtml</w:t>
      </w:r>
    </w:p>
    <w:p w14:paraId="5EF10E40" w14:textId="77777777" w:rsidR="00CD6F8E" w:rsidRDefault="00CD6F8E" w:rsidP="00CD6F8E">
      <w:pPr>
        <w:pStyle w:val="Bibliography"/>
      </w:pPr>
      <w:r>
        <w:lastRenderedPageBreak/>
        <w:t>[178]</w:t>
      </w:r>
      <w:r>
        <w:tab/>
        <w:t>Brooke Tanner, “Global energy demands within the AI regulatory landscape.” [Online]. Available: https://www.brookings.edu/articles/global-energy-demands-within-the-ai-regulatory-landscape/</w:t>
      </w:r>
    </w:p>
    <w:p w14:paraId="60BC8537" w14:textId="77777777" w:rsidR="00CD6F8E" w:rsidRDefault="00CD6F8E" w:rsidP="00CD6F8E">
      <w:pPr>
        <w:pStyle w:val="Bibliography"/>
      </w:pPr>
      <w:r>
        <w:t>[179]</w:t>
      </w:r>
      <w:r>
        <w:tab/>
        <w:t>Alistair Baker-Brian, “Data Centers in 2026: 5 Trends Reshaping Power, Cost, and Resilience.” [Online]. Available: https://www.enersys.com/en/blog-articles/data-centers-five-trends-reshaping-power-cost-and-resilience/</w:t>
      </w:r>
    </w:p>
    <w:p w14:paraId="3B4F7243" w14:textId="77777777" w:rsidR="00CD6F8E" w:rsidRDefault="00CD6F8E" w:rsidP="00CD6F8E">
      <w:pPr>
        <w:pStyle w:val="Bibliography"/>
      </w:pPr>
      <w:r>
        <w:t>[180]</w:t>
      </w:r>
      <w:r>
        <w:tab/>
        <w:t>F. Kahrl, J. H. Kim, A. Mills, R. Wiser, C. Montañés, and W. Gorman, “Variable Renewable Energy Participation in U.S. Ancillary Services Markets”.</w:t>
      </w:r>
    </w:p>
    <w:p w14:paraId="71DF41AA" w14:textId="77777777" w:rsidR="00CD6F8E" w:rsidRDefault="00CD6F8E" w:rsidP="00CD6F8E">
      <w:pPr>
        <w:pStyle w:val="Bibliography"/>
      </w:pPr>
      <w:r>
        <w:t>[181]</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1CE701FC" w14:textId="77777777" w:rsidR="00CD6F8E" w:rsidRDefault="00CD6F8E" w:rsidP="00CD6F8E">
      <w:pPr>
        <w:pStyle w:val="Bibliography"/>
      </w:pPr>
      <w:r>
        <w:t>[182]</w:t>
      </w:r>
      <w:r>
        <w:tab/>
        <w:t xml:space="preserve">J. Rand </w:t>
      </w:r>
      <w:r>
        <w:rPr>
          <w:i/>
          <w:iCs/>
        </w:rPr>
        <w:t>et al.</w:t>
      </w:r>
      <w:r>
        <w:t>, “Up: 2025 Edition, Characteristics of Power Plants Seeking Transmission Interconnection As of the End of 2024,” 2025, doi: 10.13140/RG.2.2.12274.67520.</w:t>
      </w:r>
    </w:p>
    <w:p w14:paraId="6543D153" w14:textId="77777777" w:rsidR="00CD6F8E" w:rsidRDefault="00CD6F8E" w:rsidP="00CD6F8E">
      <w:pPr>
        <w:pStyle w:val="Bibliography"/>
      </w:pPr>
      <w:r>
        <w:t>[183]</w:t>
      </w:r>
      <w:r>
        <w:tab/>
        <w:t xml:space="preserve">UN, “ENVIRONMENTAL COST OF AI’S ENERGY USE.” </w:t>
      </w:r>
    </w:p>
    <w:p w14:paraId="75C24081" w14:textId="77777777" w:rsidR="00CD6F8E" w:rsidRDefault="00CD6F8E" w:rsidP="00CD6F8E">
      <w:pPr>
        <w:pStyle w:val="Bibliography"/>
      </w:pPr>
      <w:r>
        <w:t>[184]</w:t>
      </w:r>
      <w:r>
        <w:tab/>
        <w:t>Alexander Heiss, Zacharias Sautner, and Zacharias Sautner, “Powering AI: How Do Data Centers Affect Renewable Energy Investment?” [Online]. Available: https://papers.ssrn.com/sol3/papers.cfm?abstract_id=6426079</w:t>
      </w:r>
    </w:p>
    <w:p w14:paraId="38318F86" w14:textId="77777777" w:rsidR="00CD6F8E" w:rsidRDefault="00CD6F8E" w:rsidP="00CD6F8E">
      <w:pPr>
        <w:pStyle w:val="Bibliography"/>
      </w:pPr>
      <w:r>
        <w:t>[185]</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605BC87E" w14:textId="77777777" w:rsidR="00CD6F8E" w:rsidRDefault="00CD6F8E" w:rsidP="00CD6F8E">
      <w:pPr>
        <w:pStyle w:val="Bibliography"/>
      </w:pPr>
      <w:r>
        <w:t>[186]</w:t>
      </w:r>
      <w:r>
        <w:tab/>
        <w:t>i2X, “Transmission Interconnection Roadmap.” [Online]. Available: https://www.energy.gov/sites/default/files/2024-04/i2X%20Transmission%20Interconnection%20Roadmap.pdf</w:t>
      </w:r>
    </w:p>
    <w:p w14:paraId="3C27682F" w14:textId="77777777" w:rsidR="00CD6F8E" w:rsidRDefault="00CD6F8E" w:rsidP="00CD6F8E">
      <w:pPr>
        <w:pStyle w:val="Bibliography"/>
      </w:pPr>
      <w:r>
        <w:t>[187]</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4ED4A7D1" w14:textId="77777777" w:rsidR="00CD6F8E" w:rsidRDefault="00CD6F8E" w:rsidP="00CD6F8E">
      <w:pPr>
        <w:pStyle w:val="Bibliography"/>
      </w:pPr>
      <w:r>
        <w:t>[188]</w:t>
      </w:r>
      <w:r>
        <w:tab/>
        <w:t>Jessica Commins, “Towards Planet Proof Computing: Law and Policy of Data Centre Sustainability in the European Union.” [Online]. Available: file:///C:/Users/mtk17/Downloads/TechReg2025.001+Commins.pdf</w:t>
      </w:r>
    </w:p>
    <w:p w14:paraId="4F36E779" w14:textId="77777777" w:rsidR="00CD6F8E" w:rsidRDefault="00CD6F8E" w:rsidP="00CD6F8E">
      <w:pPr>
        <w:pStyle w:val="Bibliography"/>
      </w:pPr>
      <w:r>
        <w:t>[189]</w:t>
      </w:r>
      <w:r>
        <w:tab/>
        <w:t xml:space="preserve">M. A. Nielsen and I. L. Chuang, </w:t>
      </w:r>
      <w:r>
        <w:rPr>
          <w:i/>
          <w:iCs/>
        </w:rPr>
        <w:t>Quantum computation and quantum information</w:t>
      </w:r>
      <w:r>
        <w:t>, 10th anniversary ed. Cambridge ; New York: Cambridge University Press, 2010.</w:t>
      </w:r>
    </w:p>
    <w:p w14:paraId="085AF20A" w14:textId="77777777" w:rsidR="00CD6F8E" w:rsidRDefault="00CD6F8E" w:rsidP="00CD6F8E">
      <w:pPr>
        <w:pStyle w:val="Bibliography"/>
      </w:pPr>
      <w:r>
        <w:t>[190]</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24041E62" w14:textId="77777777" w:rsidR="00CD6F8E" w:rsidRDefault="00CD6F8E" w:rsidP="00CD6F8E">
      <w:pPr>
        <w:pStyle w:val="Bibliography"/>
      </w:pPr>
      <w:r>
        <w:t>[191]</w:t>
      </w:r>
      <w:r>
        <w:tab/>
        <w:t>T.-C. Hsueh, “Panel-Scale Reconfigurable Photonic Interconnects for Scalable AI Computation”.</w:t>
      </w:r>
    </w:p>
    <w:p w14:paraId="4D0E6AA5" w14:textId="77777777" w:rsidR="00CD6F8E" w:rsidRDefault="00CD6F8E" w:rsidP="00CD6F8E">
      <w:pPr>
        <w:pStyle w:val="Bibliography"/>
      </w:pPr>
      <w:r>
        <w:t>[192]</w:t>
      </w:r>
      <w:r>
        <w:tab/>
        <w:t xml:space="preserve">Y. Ding, Z. P. Cano, A. Yu, J. Lu, and Z. Chen, “Automotive Li-Ion Batteries: Current Status and Future Perspectives,” </w:t>
      </w:r>
      <w:r>
        <w:rPr>
          <w:i/>
          <w:iCs/>
        </w:rPr>
        <w:t>Electrochem. Energy Rev.</w:t>
      </w:r>
      <w:r>
        <w:t>, vol. 2, no. 1, pp. 1–28, Mar. 2019, doi: 10.1007/s41918-018-0022-z.</w:t>
      </w:r>
    </w:p>
    <w:p w14:paraId="3D1E1C00" w14:textId="77777777" w:rsidR="00CD6F8E" w:rsidRDefault="00CD6F8E" w:rsidP="00CD6F8E">
      <w:pPr>
        <w:pStyle w:val="Bibliography"/>
      </w:pPr>
      <w:r>
        <w:t>[193]</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47250098" w14:textId="77777777" w:rsidR="00CD6F8E" w:rsidRDefault="00CD6F8E" w:rsidP="00CD6F8E">
      <w:pPr>
        <w:pStyle w:val="Bibliography"/>
      </w:pPr>
      <w:r>
        <w:lastRenderedPageBreak/>
        <w:t>[194]</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7194A3D4" w14:textId="77777777" w:rsidR="00CD6F8E" w:rsidRDefault="00CD6F8E" w:rsidP="00CD6F8E">
      <w:pPr>
        <w:pStyle w:val="Bibliography"/>
      </w:pPr>
      <w:r>
        <w:t>[195]</w:t>
      </w:r>
      <w:r>
        <w:tab/>
        <w:t xml:space="preserve">R. Eriksson, N. Modig, and K. Elkington, “Synthetic inertia versus fast frequency response: a definition,” </w:t>
      </w:r>
      <w:r>
        <w:rPr>
          <w:i/>
          <w:iCs/>
        </w:rPr>
        <w:t>IET Renew. Power Gener.</w:t>
      </w:r>
      <w:r>
        <w:t>, vol. 12, no. 5, pp. 507–514, Apr. 2018, doi: 10.1049/iet-rpg.2017.0370.</w:t>
      </w:r>
    </w:p>
    <w:p w14:paraId="6E5DE955" w14:textId="77777777" w:rsidR="00CD6F8E" w:rsidRDefault="00CD6F8E" w:rsidP="00CD6F8E">
      <w:pPr>
        <w:pStyle w:val="Bibliography"/>
      </w:pPr>
      <w:r>
        <w:t>[196]</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23CD62AF" w14:textId="77777777" w:rsidR="00CD6F8E" w:rsidRDefault="00CD6F8E" w:rsidP="00CD6F8E">
      <w:pPr>
        <w:pStyle w:val="Bibliography"/>
      </w:pPr>
      <w:r>
        <w:t>[197]</w:t>
      </w:r>
      <w:r>
        <w:tab/>
        <w:t xml:space="preserve">H. Nikafshan Rad, A. Ghasemi, and M. Marefati, “Cost and environmental analysis and optimization of a new and green three-level waste heat recovery-based cogeneration cycle: A comparative study,” </w:t>
      </w:r>
      <w:r>
        <w:rPr>
          <w:i/>
          <w:iCs/>
        </w:rPr>
        <w:t>Heliyon</w:t>
      </w:r>
      <w:r>
        <w:t>, vol. 10, no. 7, p. e29087, Apr. 2024, doi: 10.1016/j.heliyon.2024.e29087.</w:t>
      </w:r>
    </w:p>
    <w:p w14:paraId="6973CD59" w14:textId="1C613F5C" w:rsidR="0062701F" w:rsidRDefault="000F2608">
      <w:pPr>
        <w:pStyle w:val="Acknowledgments"/>
        <w:rPr>
          <w:color w:val="auto"/>
        </w:rPr>
      </w:pPr>
      <w:r>
        <w:rPr>
          <w:color w:val="auto"/>
        </w:rPr>
        <w:fldChar w:fldCharType="end"/>
      </w:r>
    </w:p>
    <w:sectPr w:rsidR="0062701F" w:rsidSect="00962BDF">
      <w:headerReference w:type="even" r:id="rId18"/>
      <w:headerReference w:type="default" r:id="rId19"/>
      <w:footerReference w:type="default" r:id="rId20"/>
      <w:headerReference w:type="first" r:id="rId21"/>
      <w:footerReference w:type="first" r:id="rId22"/>
      <w:pgSz w:w="11906" w:h="16838" w:code="9"/>
      <w:pgMar w:top="1417" w:right="1531" w:bottom="1077" w:left="1531" w:header="1020" w:footer="850"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Hamed Aly" w:date="2026-06-10T09:03:00Z" w:initials="HA">
    <w:p w14:paraId="0518B15C" w14:textId="77777777" w:rsidR="00BE113B" w:rsidRDefault="00BE113B" w:rsidP="00BE113B">
      <w:pPr>
        <w:pStyle w:val="CommentText"/>
      </w:pPr>
      <w:r>
        <w:rPr>
          <w:rStyle w:val="CommentReference"/>
        </w:rPr>
        <w:annotationRef/>
      </w:r>
      <w:r>
        <w:rPr>
          <w:lang w:val="en-CA"/>
        </w:rPr>
        <w:t>This is similar to section 3.4. Please adjust either one or merge them in one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8B1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0C0048" w16cex:dateUtc="2026-06-10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8B15C" w16cid:durableId="350C0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06B7F" w14:textId="77777777" w:rsidR="00B86BE5" w:rsidRDefault="00B86BE5">
      <w:r>
        <w:separator/>
      </w:r>
    </w:p>
  </w:endnote>
  <w:endnote w:type="continuationSeparator" w:id="0">
    <w:p w14:paraId="12E768E2" w14:textId="77777777" w:rsidR="00B86BE5" w:rsidRDefault="00B8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EAA3" w14:textId="77777777" w:rsidR="0062701F" w:rsidRDefault="008E6F28">
    <w:pPr>
      <w:pStyle w:val="Footer"/>
      <w:rPr>
        <w:rFonts w:ascii="Palatino Linotype" w:hAnsi="Palatino Linotype"/>
        <w:i/>
        <w:sz w:val="16"/>
        <w:szCs w:val="16"/>
      </w:rPr>
    </w:pPr>
    <w:r>
      <w:rPr>
        <w:rFonts w:ascii="Palatino Linotype" w:hAnsi="Palatino Linotype"/>
        <w:i/>
        <w:sz w:val="16"/>
        <w:szCs w:val="16"/>
      </w:rPr>
      <w:t>https://www.keaipublishing.com/en/journals/space-solar-power-and-wireless-transmission/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44BF8" w14:textId="77777777" w:rsidR="00B86BE5" w:rsidRDefault="00B86BE5">
      <w:r>
        <w:separator/>
      </w:r>
    </w:p>
  </w:footnote>
  <w:footnote w:type="continuationSeparator" w:id="0">
    <w:p w14:paraId="42A8CB5B" w14:textId="77777777" w:rsidR="00B86BE5" w:rsidRDefault="00B8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593B26" w:rsidR="0062701F" w:rsidRDefault="008E6F28">
    <w:pPr>
      <w:tabs>
        <w:tab w:val="right" w:pos="8844"/>
      </w:tabs>
      <w:adjustRightInd w:val="0"/>
      <w:snapToGrid w:val="0"/>
      <w:spacing w:after="240"/>
      <w:rPr>
        <w:rFonts w:ascii="Palatino Linotype" w:hAnsi="Palatino Linotype"/>
        <w:sz w:val="16"/>
      </w:rPr>
    </w:pPr>
    <w:r>
      <w:rPr>
        <w:rFonts w:ascii="Palatino Linotype" w:hAnsi="Palatino Linotype"/>
        <w:i/>
        <w:sz w:val="16"/>
      </w:rPr>
      <w:t>https://www.keaipublishing.com/en/journals/space-solar-power-and-wireless-transmission/</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5E932E4C" w:rsidR="0062701F" w:rsidRDefault="008E6F28">
    <w:pPr>
      <w:tabs>
        <w:tab w:val="right" w:pos="8844"/>
      </w:tabs>
      <w:adjustRightInd w:val="0"/>
      <w:snapToGrid w:val="0"/>
      <w:spacing w:after="240"/>
      <w:rPr>
        <w:rFonts w:ascii="Palatino Linotype" w:hAnsi="Palatino Linotype"/>
        <w:sz w:val="16"/>
      </w:rPr>
    </w:pPr>
    <w:r>
      <w:rPr>
        <w:rFonts w:eastAsia="SimSun"/>
        <w:lang w:eastAsia="zh-CN"/>
      </w:rPr>
      <w:t>Instructions for preparing papers for S</w:t>
    </w:r>
    <w:r>
      <w:rPr>
        <w:rFonts w:eastAsia="SimSun" w:hint="eastAsia"/>
        <w:lang w:eastAsia="zh-CN"/>
      </w:rPr>
      <w:t>pa</w:t>
    </w:r>
    <w:r>
      <w:rPr>
        <w:rFonts w:eastAsia="SimSun"/>
        <w:lang w:eastAsia="zh-CN"/>
      </w:rPr>
      <w:t>ce Solar Power &amp; Wireless Transmission</w:t>
    </w:r>
    <w:r>
      <w:rPr>
        <w:rFonts w:eastAsia="SimSun"/>
        <w:lang w:eastAsia="zh-CN"/>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1</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3"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8"/>
  </w:num>
  <w:num w:numId="4" w16cid:durableId="1280408060">
    <w:abstractNumId w:val="9"/>
  </w:num>
  <w:num w:numId="5" w16cid:durableId="451441336">
    <w:abstractNumId w:val="6"/>
  </w:num>
  <w:num w:numId="6" w16cid:durableId="2038002810">
    <w:abstractNumId w:val="4"/>
  </w:num>
  <w:num w:numId="7" w16cid:durableId="618532243">
    <w:abstractNumId w:val="2"/>
  </w:num>
  <w:num w:numId="8" w16cid:durableId="45876077">
    <w:abstractNumId w:val="5"/>
  </w:num>
  <w:num w:numId="9" w16cid:durableId="1102922736">
    <w:abstractNumId w:val="3"/>
  </w:num>
  <w:num w:numId="10" w16cid:durableId="473761911">
    <w:abstractNumId w:val="7"/>
  </w:num>
  <w:num w:numId="11" w16cid:durableId="66127580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ed Aly">
    <w15:presenceInfo w15:providerId="Windows Live" w15:userId="a4e762c0cfe887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CC0"/>
    <w:rsid w:val="00004098"/>
    <w:rsid w:val="00004DA8"/>
    <w:rsid w:val="00021D4C"/>
    <w:rsid w:val="0002304C"/>
    <w:rsid w:val="000321B5"/>
    <w:rsid w:val="00035D77"/>
    <w:rsid w:val="00040480"/>
    <w:rsid w:val="00044C5D"/>
    <w:rsid w:val="000642A3"/>
    <w:rsid w:val="00070841"/>
    <w:rsid w:val="000717F7"/>
    <w:rsid w:val="00080FE2"/>
    <w:rsid w:val="000812E0"/>
    <w:rsid w:val="00081E76"/>
    <w:rsid w:val="0008622D"/>
    <w:rsid w:val="0008678B"/>
    <w:rsid w:val="00095528"/>
    <w:rsid w:val="00095712"/>
    <w:rsid w:val="00095E8E"/>
    <w:rsid w:val="000973F7"/>
    <w:rsid w:val="000A408E"/>
    <w:rsid w:val="000A5126"/>
    <w:rsid w:val="000B39AB"/>
    <w:rsid w:val="000C0A5A"/>
    <w:rsid w:val="000C1B14"/>
    <w:rsid w:val="000C26DB"/>
    <w:rsid w:val="000C2F0C"/>
    <w:rsid w:val="000C3F0F"/>
    <w:rsid w:val="000D010A"/>
    <w:rsid w:val="000D6850"/>
    <w:rsid w:val="000E3C80"/>
    <w:rsid w:val="000E4885"/>
    <w:rsid w:val="000E77FA"/>
    <w:rsid w:val="000F2608"/>
    <w:rsid w:val="000F592A"/>
    <w:rsid w:val="0010384E"/>
    <w:rsid w:val="00103F18"/>
    <w:rsid w:val="00104D7D"/>
    <w:rsid w:val="001109A6"/>
    <w:rsid w:val="00114F15"/>
    <w:rsid w:val="001161F2"/>
    <w:rsid w:val="00116D36"/>
    <w:rsid w:val="00131821"/>
    <w:rsid w:val="001329E8"/>
    <w:rsid w:val="00137E95"/>
    <w:rsid w:val="0014185D"/>
    <w:rsid w:val="00145C6F"/>
    <w:rsid w:val="0014625D"/>
    <w:rsid w:val="00147ED5"/>
    <w:rsid w:val="001530DD"/>
    <w:rsid w:val="001623F2"/>
    <w:rsid w:val="00163578"/>
    <w:rsid w:val="00166ED5"/>
    <w:rsid w:val="0017147F"/>
    <w:rsid w:val="00172115"/>
    <w:rsid w:val="0017345A"/>
    <w:rsid w:val="00173D97"/>
    <w:rsid w:val="001751D4"/>
    <w:rsid w:val="0017669A"/>
    <w:rsid w:val="001772C5"/>
    <w:rsid w:val="00180502"/>
    <w:rsid w:val="001850C1"/>
    <w:rsid w:val="0019198D"/>
    <w:rsid w:val="00194936"/>
    <w:rsid w:val="0019592A"/>
    <w:rsid w:val="00195B91"/>
    <w:rsid w:val="001A3F06"/>
    <w:rsid w:val="001A5343"/>
    <w:rsid w:val="001A6DB0"/>
    <w:rsid w:val="001A7127"/>
    <w:rsid w:val="001B2A37"/>
    <w:rsid w:val="001B3304"/>
    <w:rsid w:val="001B70F9"/>
    <w:rsid w:val="001B7512"/>
    <w:rsid w:val="001C0F6D"/>
    <w:rsid w:val="001C1DB8"/>
    <w:rsid w:val="001C2BF8"/>
    <w:rsid w:val="001D0BAC"/>
    <w:rsid w:val="001E0AAE"/>
    <w:rsid w:val="001E162E"/>
    <w:rsid w:val="001E2527"/>
    <w:rsid w:val="001E32DD"/>
    <w:rsid w:val="001F0361"/>
    <w:rsid w:val="00203B6C"/>
    <w:rsid w:val="002068F4"/>
    <w:rsid w:val="002108A4"/>
    <w:rsid w:val="0021274D"/>
    <w:rsid w:val="00215994"/>
    <w:rsid w:val="00217AE8"/>
    <w:rsid w:val="00217ECC"/>
    <w:rsid w:val="00220493"/>
    <w:rsid w:val="00227113"/>
    <w:rsid w:val="002272B2"/>
    <w:rsid w:val="002306B5"/>
    <w:rsid w:val="002462C2"/>
    <w:rsid w:val="00251236"/>
    <w:rsid w:val="00253CAD"/>
    <w:rsid w:val="002641B9"/>
    <w:rsid w:val="00266077"/>
    <w:rsid w:val="00266ECA"/>
    <w:rsid w:val="00272BD0"/>
    <w:rsid w:val="00282103"/>
    <w:rsid w:val="0028220C"/>
    <w:rsid w:val="00286D4E"/>
    <w:rsid w:val="00291800"/>
    <w:rsid w:val="002951E4"/>
    <w:rsid w:val="0029629A"/>
    <w:rsid w:val="002A05B5"/>
    <w:rsid w:val="002A0616"/>
    <w:rsid w:val="002A1396"/>
    <w:rsid w:val="002A4526"/>
    <w:rsid w:val="002B35CB"/>
    <w:rsid w:val="002B39C3"/>
    <w:rsid w:val="002C06D9"/>
    <w:rsid w:val="002C0878"/>
    <w:rsid w:val="002C0C00"/>
    <w:rsid w:val="002C20E4"/>
    <w:rsid w:val="002C35E0"/>
    <w:rsid w:val="002C38FF"/>
    <w:rsid w:val="002C3CD7"/>
    <w:rsid w:val="002C45A5"/>
    <w:rsid w:val="002C5687"/>
    <w:rsid w:val="002C5CB3"/>
    <w:rsid w:val="002E0101"/>
    <w:rsid w:val="002E0505"/>
    <w:rsid w:val="002E2886"/>
    <w:rsid w:val="002E5A5D"/>
    <w:rsid w:val="002E772B"/>
    <w:rsid w:val="002F4FBC"/>
    <w:rsid w:val="00301AC3"/>
    <w:rsid w:val="00303C61"/>
    <w:rsid w:val="00310653"/>
    <w:rsid w:val="00314B47"/>
    <w:rsid w:val="00322C79"/>
    <w:rsid w:val="00323DD0"/>
    <w:rsid w:val="003265AE"/>
    <w:rsid w:val="00330029"/>
    <w:rsid w:val="00332576"/>
    <w:rsid w:val="00332F17"/>
    <w:rsid w:val="00337DE9"/>
    <w:rsid w:val="00341A95"/>
    <w:rsid w:val="00341E54"/>
    <w:rsid w:val="0035074E"/>
    <w:rsid w:val="00350D1E"/>
    <w:rsid w:val="00352CE2"/>
    <w:rsid w:val="003546AC"/>
    <w:rsid w:val="00354B1B"/>
    <w:rsid w:val="00355C72"/>
    <w:rsid w:val="00361F8B"/>
    <w:rsid w:val="003625E3"/>
    <w:rsid w:val="00363763"/>
    <w:rsid w:val="00363AE3"/>
    <w:rsid w:val="00365172"/>
    <w:rsid w:val="00365B2C"/>
    <w:rsid w:val="00367469"/>
    <w:rsid w:val="00367A03"/>
    <w:rsid w:val="00367B33"/>
    <w:rsid w:val="003728B2"/>
    <w:rsid w:val="00373AC1"/>
    <w:rsid w:val="00373B58"/>
    <w:rsid w:val="00380693"/>
    <w:rsid w:val="00380ED5"/>
    <w:rsid w:val="00383E7D"/>
    <w:rsid w:val="00392B15"/>
    <w:rsid w:val="00392C53"/>
    <w:rsid w:val="00392EA5"/>
    <w:rsid w:val="00394AF8"/>
    <w:rsid w:val="003A6352"/>
    <w:rsid w:val="003B1D88"/>
    <w:rsid w:val="003B30CC"/>
    <w:rsid w:val="003B33E0"/>
    <w:rsid w:val="003B44B7"/>
    <w:rsid w:val="003B53B0"/>
    <w:rsid w:val="003B7EEF"/>
    <w:rsid w:val="003C05F8"/>
    <w:rsid w:val="003C4670"/>
    <w:rsid w:val="003D3FE4"/>
    <w:rsid w:val="003E3E28"/>
    <w:rsid w:val="003E44F5"/>
    <w:rsid w:val="003F24D0"/>
    <w:rsid w:val="003F4876"/>
    <w:rsid w:val="003F5F56"/>
    <w:rsid w:val="00405F8F"/>
    <w:rsid w:val="0040687D"/>
    <w:rsid w:val="00412819"/>
    <w:rsid w:val="0041565E"/>
    <w:rsid w:val="00416183"/>
    <w:rsid w:val="004172B4"/>
    <w:rsid w:val="004211F1"/>
    <w:rsid w:val="004246FC"/>
    <w:rsid w:val="0042671C"/>
    <w:rsid w:val="00426773"/>
    <w:rsid w:val="00426A09"/>
    <w:rsid w:val="0043037D"/>
    <w:rsid w:val="00430A84"/>
    <w:rsid w:val="0043558A"/>
    <w:rsid w:val="00436A2E"/>
    <w:rsid w:val="00436DD1"/>
    <w:rsid w:val="00444FE2"/>
    <w:rsid w:val="004450CF"/>
    <w:rsid w:val="00452A11"/>
    <w:rsid w:val="00462752"/>
    <w:rsid w:val="00465E05"/>
    <w:rsid w:val="00466451"/>
    <w:rsid w:val="00483956"/>
    <w:rsid w:val="00491686"/>
    <w:rsid w:val="00493D72"/>
    <w:rsid w:val="00494A61"/>
    <w:rsid w:val="00495A80"/>
    <w:rsid w:val="004A0F17"/>
    <w:rsid w:val="004A4722"/>
    <w:rsid w:val="004A6040"/>
    <w:rsid w:val="004B221A"/>
    <w:rsid w:val="004B2C96"/>
    <w:rsid w:val="004B2DB1"/>
    <w:rsid w:val="004C48CC"/>
    <w:rsid w:val="004C5D3A"/>
    <w:rsid w:val="004D02F2"/>
    <w:rsid w:val="004D4343"/>
    <w:rsid w:val="004E2572"/>
    <w:rsid w:val="004E5D29"/>
    <w:rsid w:val="004E7936"/>
    <w:rsid w:val="004F362B"/>
    <w:rsid w:val="004F700D"/>
    <w:rsid w:val="005022CC"/>
    <w:rsid w:val="00510160"/>
    <w:rsid w:val="005108FD"/>
    <w:rsid w:val="005117D6"/>
    <w:rsid w:val="005150B5"/>
    <w:rsid w:val="00516167"/>
    <w:rsid w:val="00525D68"/>
    <w:rsid w:val="00527876"/>
    <w:rsid w:val="00530654"/>
    <w:rsid w:val="00531B55"/>
    <w:rsid w:val="00533059"/>
    <w:rsid w:val="00540990"/>
    <w:rsid w:val="00555CCB"/>
    <w:rsid w:val="00556DF7"/>
    <w:rsid w:val="00561FEA"/>
    <w:rsid w:val="00566296"/>
    <w:rsid w:val="005705A5"/>
    <w:rsid w:val="00571D9E"/>
    <w:rsid w:val="00572140"/>
    <w:rsid w:val="0057330A"/>
    <w:rsid w:val="00581E8E"/>
    <w:rsid w:val="00593464"/>
    <w:rsid w:val="00593A3C"/>
    <w:rsid w:val="005957BD"/>
    <w:rsid w:val="00596679"/>
    <w:rsid w:val="005A2E15"/>
    <w:rsid w:val="005A4C37"/>
    <w:rsid w:val="005B0229"/>
    <w:rsid w:val="005B1FF5"/>
    <w:rsid w:val="005B20EC"/>
    <w:rsid w:val="005B3B34"/>
    <w:rsid w:val="005B5BA4"/>
    <w:rsid w:val="005B6395"/>
    <w:rsid w:val="005C1A2E"/>
    <w:rsid w:val="005C44F5"/>
    <w:rsid w:val="005C58DC"/>
    <w:rsid w:val="005C62D0"/>
    <w:rsid w:val="005D3F4C"/>
    <w:rsid w:val="005D66E7"/>
    <w:rsid w:val="005E1042"/>
    <w:rsid w:val="005F1307"/>
    <w:rsid w:val="005F31AA"/>
    <w:rsid w:val="00604139"/>
    <w:rsid w:val="00607AA0"/>
    <w:rsid w:val="00612AA0"/>
    <w:rsid w:val="00613288"/>
    <w:rsid w:val="00614114"/>
    <w:rsid w:val="00617F77"/>
    <w:rsid w:val="00621DDC"/>
    <w:rsid w:val="006236BD"/>
    <w:rsid w:val="00624913"/>
    <w:rsid w:val="0062701F"/>
    <w:rsid w:val="00634212"/>
    <w:rsid w:val="00637E25"/>
    <w:rsid w:val="00640B1F"/>
    <w:rsid w:val="00642719"/>
    <w:rsid w:val="00642763"/>
    <w:rsid w:val="00645165"/>
    <w:rsid w:val="006456FF"/>
    <w:rsid w:val="00646205"/>
    <w:rsid w:val="00646C76"/>
    <w:rsid w:val="006512AA"/>
    <w:rsid w:val="00651340"/>
    <w:rsid w:val="00653055"/>
    <w:rsid w:val="00653A57"/>
    <w:rsid w:val="006541C1"/>
    <w:rsid w:val="00654C5B"/>
    <w:rsid w:val="00655A07"/>
    <w:rsid w:val="0065715D"/>
    <w:rsid w:val="00657990"/>
    <w:rsid w:val="00665F0B"/>
    <w:rsid w:val="00666BB6"/>
    <w:rsid w:val="0066721E"/>
    <w:rsid w:val="006701FD"/>
    <w:rsid w:val="00670E8A"/>
    <w:rsid w:val="006751FE"/>
    <w:rsid w:val="006843AB"/>
    <w:rsid w:val="00684620"/>
    <w:rsid w:val="0068505A"/>
    <w:rsid w:val="00685D20"/>
    <w:rsid w:val="0069673B"/>
    <w:rsid w:val="006A6861"/>
    <w:rsid w:val="006B708C"/>
    <w:rsid w:val="006C04AA"/>
    <w:rsid w:val="006C5722"/>
    <w:rsid w:val="006D0E83"/>
    <w:rsid w:val="006D1510"/>
    <w:rsid w:val="006D435C"/>
    <w:rsid w:val="006E1A39"/>
    <w:rsid w:val="006E21DA"/>
    <w:rsid w:val="006E3CEE"/>
    <w:rsid w:val="006E439E"/>
    <w:rsid w:val="006F0E97"/>
    <w:rsid w:val="006F51CB"/>
    <w:rsid w:val="006F5703"/>
    <w:rsid w:val="0070515F"/>
    <w:rsid w:val="0070582C"/>
    <w:rsid w:val="00711AA9"/>
    <w:rsid w:val="00721E74"/>
    <w:rsid w:val="0072287A"/>
    <w:rsid w:val="0072648C"/>
    <w:rsid w:val="00730D0A"/>
    <w:rsid w:val="0073662B"/>
    <w:rsid w:val="007504E5"/>
    <w:rsid w:val="00760EDA"/>
    <w:rsid w:val="00762428"/>
    <w:rsid w:val="00762DCD"/>
    <w:rsid w:val="00770843"/>
    <w:rsid w:val="00770EE9"/>
    <w:rsid w:val="007711F0"/>
    <w:rsid w:val="00771877"/>
    <w:rsid w:val="00772C6B"/>
    <w:rsid w:val="00775467"/>
    <w:rsid w:val="007803A3"/>
    <w:rsid w:val="00784DD3"/>
    <w:rsid w:val="00786534"/>
    <w:rsid w:val="0079480E"/>
    <w:rsid w:val="00797947"/>
    <w:rsid w:val="007A48E6"/>
    <w:rsid w:val="007B470D"/>
    <w:rsid w:val="007B5EF9"/>
    <w:rsid w:val="007B720C"/>
    <w:rsid w:val="007B76FF"/>
    <w:rsid w:val="007C1DA5"/>
    <w:rsid w:val="007C4483"/>
    <w:rsid w:val="007C4CD9"/>
    <w:rsid w:val="007D006A"/>
    <w:rsid w:val="007D0685"/>
    <w:rsid w:val="007D08DE"/>
    <w:rsid w:val="007D315D"/>
    <w:rsid w:val="007D4972"/>
    <w:rsid w:val="007D5C38"/>
    <w:rsid w:val="007D6A70"/>
    <w:rsid w:val="007D7825"/>
    <w:rsid w:val="007E0119"/>
    <w:rsid w:val="007E1BC7"/>
    <w:rsid w:val="007E2AA2"/>
    <w:rsid w:val="007E5970"/>
    <w:rsid w:val="007F14EA"/>
    <w:rsid w:val="007F2B99"/>
    <w:rsid w:val="007F3A9E"/>
    <w:rsid w:val="007F408C"/>
    <w:rsid w:val="007F4093"/>
    <w:rsid w:val="007F7AF6"/>
    <w:rsid w:val="007F7CDC"/>
    <w:rsid w:val="0080266D"/>
    <w:rsid w:val="00803B94"/>
    <w:rsid w:val="008051DD"/>
    <w:rsid w:val="008130CA"/>
    <w:rsid w:val="00817CAF"/>
    <w:rsid w:val="00820A59"/>
    <w:rsid w:val="00824393"/>
    <w:rsid w:val="008257C1"/>
    <w:rsid w:val="00831A6A"/>
    <w:rsid w:val="00832063"/>
    <w:rsid w:val="00832BD4"/>
    <w:rsid w:val="00833F3E"/>
    <w:rsid w:val="008344F0"/>
    <w:rsid w:val="00836B83"/>
    <w:rsid w:val="00843609"/>
    <w:rsid w:val="008513ED"/>
    <w:rsid w:val="00866BB5"/>
    <w:rsid w:val="008729A6"/>
    <w:rsid w:val="00874C62"/>
    <w:rsid w:val="00875489"/>
    <w:rsid w:val="00877478"/>
    <w:rsid w:val="0089615F"/>
    <w:rsid w:val="008A1C61"/>
    <w:rsid w:val="008A2F4C"/>
    <w:rsid w:val="008B1FE8"/>
    <w:rsid w:val="008B333D"/>
    <w:rsid w:val="008B5AA3"/>
    <w:rsid w:val="008B7997"/>
    <w:rsid w:val="008C1D8C"/>
    <w:rsid w:val="008D67D3"/>
    <w:rsid w:val="008D6D76"/>
    <w:rsid w:val="008E07DE"/>
    <w:rsid w:val="008E350C"/>
    <w:rsid w:val="008E5F30"/>
    <w:rsid w:val="008E68EC"/>
    <w:rsid w:val="008E6980"/>
    <w:rsid w:val="008E6F28"/>
    <w:rsid w:val="008E7870"/>
    <w:rsid w:val="008F2267"/>
    <w:rsid w:val="008F410C"/>
    <w:rsid w:val="00901B02"/>
    <w:rsid w:val="00901B3D"/>
    <w:rsid w:val="009035F8"/>
    <w:rsid w:val="00905B51"/>
    <w:rsid w:val="009068CF"/>
    <w:rsid w:val="00915220"/>
    <w:rsid w:val="00925F1B"/>
    <w:rsid w:val="00931E05"/>
    <w:rsid w:val="00941682"/>
    <w:rsid w:val="009429B7"/>
    <w:rsid w:val="00962BDF"/>
    <w:rsid w:val="00965B5C"/>
    <w:rsid w:val="00967457"/>
    <w:rsid w:val="00970159"/>
    <w:rsid w:val="00977FE8"/>
    <w:rsid w:val="00984CA9"/>
    <w:rsid w:val="00994384"/>
    <w:rsid w:val="0099465F"/>
    <w:rsid w:val="009948A0"/>
    <w:rsid w:val="0099741A"/>
    <w:rsid w:val="009A3002"/>
    <w:rsid w:val="009B3274"/>
    <w:rsid w:val="009B372B"/>
    <w:rsid w:val="009B3EC2"/>
    <w:rsid w:val="009C1130"/>
    <w:rsid w:val="009C3032"/>
    <w:rsid w:val="009C5A33"/>
    <w:rsid w:val="009C775C"/>
    <w:rsid w:val="009D69B5"/>
    <w:rsid w:val="009E0A0D"/>
    <w:rsid w:val="009E0D53"/>
    <w:rsid w:val="009E3649"/>
    <w:rsid w:val="009E64DF"/>
    <w:rsid w:val="009F52EC"/>
    <w:rsid w:val="009F5E9B"/>
    <w:rsid w:val="00A02978"/>
    <w:rsid w:val="00A0306E"/>
    <w:rsid w:val="00A0692C"/>
    <w:rsid w:val="00A1253B"/>
    <w:rsid w:val="00A13CFF"/>
    <w:rsid w:val="00A155CD"/>
    <w:rsid w:val="00A16B49"/>
    <w:rsid w:val="00A20371"/>
    <w:rsid w:val="00A23247"/>
    <w:rsid w:val="00A3022C"/>
    <w:rsid w:val="00A32DE7"/>
    <w:rsid w:val="00A34E8F"/>
    <w:rsid w:val="00A42F34"/>
    <w:rsid w:val="00A44D61"/>
    <w:rsid w:val="00A4549A"/>
    <w:rsid w:val="00A47543"/>
    <w:rsid w:val="00A63ABE"/>
    <w:rsid w:val="00A675D8"/>
    <w:rsid w:val="00A72334"/>
    <w:rsid w:val="00A75EF8"/>
    <w:rsid w:val="00A8352A"/>
    <w:rsid w:val="00A85F9E"/>
    <w:rsid w:val="00A8646E"/>
    <w:rsid w:val="00A91417"/>
    <w:rsid w:val="00A9262B"/>
    <w:rsid w:val="00A9395C"/>
    <w:rsid w:val="00A95E3D"/>
    <w:rsid w:val="00AA35E2"/>
    <w:rsid w:val="00AA4A79"/>
    <w:rsid w:val="00AA4E78"/>
    <w:rsid w:val="00AA52FF"/>
    <w:rsid w:val="00AA7BA7"/>
    <w:rsid w:val="00AB2163"/>
    <w:rsid w:val="00AB503F"/>
    <w:rsid w:val="00AB5408"/>
    <w:rsid w:val="00AB6923"/>
    <w:rsid w:val="00AC2F22"/>
    <w:rsid w:val="00AC40BA"/>
    <w:rsid w:val="00AC5FC4"/>
    <w:rsid w:val="00AD1F07"/>
    <w:rsid w:val="00AD7656"/>
    <w:rsid w:val="00AD7884"/>
    <w:rsid w:val="00AD7BFD"/>
    <w:rsid w:val="00AE0C9B"/>
    <w:rsid w:val="00AE143F"/>
    <w:rsid w:val="00AE3245"/>
    <w:rsid w:val="00AE36CD"/>
    <w:rsid w:val="00AE55E1"/>
    <w:rsid w:val="00AE6A99"/>
    <w:rsid w:val="00AE74B4"/>
    <w:rsid w:val="00AF1505"/>
    <w:rsid w:val="00AF40CE"/>
    <w:rsid w:val="00AF6E46"/>
    <w:rsid w:val="00B0261C"/>
    <w:rsid w:val="00B05FA0"/>
    <w:rsid w:val="00B11F1D"/>
    <w:rsid w:val="00B138D4"/>
    <w:rsid w:val="00B177C4"/>
    <w:rsid w:val="00B2096E"/>
    <w:rsid w:val="00B23B6D"/>
    <w:rsid w:val="00B27D63"/>
    <w:rsid w:val="00B34AEE"/>
    <w:rsid w:val="00B40CF9"/>
    <w:rsid w:val="00B42475"/>
    <w:rsid w:val="00B42D4C"/>
    <w:rsid w:val="00B4497F"/>
    <w:rsid w:val="00B50B4A"/>
    <w:rsid w:val="00B55492"/>
    <w:rsid w:val="00B55BC9"/>
    <w:rsid w:val="00B56A24"/>
    <w:rsid w:val="00B71BA8"/>
    <w:rsid w:val="00B72506"/>
    <w:rsid w:val="00B73E41"/>
    <w:rsid w:val="00B768DA"/>
    <w:rsid w:val="00B8030A"/>
    <w:rsid w:val="00B83856"/>
    <w:rsid w:val="00B856CD"/>
    <w:rsid w:val="00B85EB2"/>
    <w:rsid w:val="00B86BE5"/>
    <w:rsid w:val="00B92CC3"/>
    <w:rsid w:val="00B93B28"/>
    <w:rsid w:val="00B9789E"/>
    <w:rsid w:val="00BA2BA6"/>
    <w:rsid w:val="00BB1439"/>
    <w:rsid w:val="00BC0335"/>
    <w:rsid w:val="00BC0E93"/>
    <w:rsid w:val="00BC16C4"/>
    <w:rsid w:val="00BC4945"/>
    <w:rsid w:val="00BC59F2"/>
    <w:rsid w:val="00BC5EE1"/>
    <w:rsid w:val="00BD018A"/>
    <w:rsid w:val="00BD2299"/>
    <w:rsid w:val="00BD4B33"/>
    <w:rsid w:val="00BE03AE"/>
    <w:rsid w:val="00BE0A60"/>
    <w:rsid w:val="00BE113B"/>
    <w:rsid w:val="00BE3B0C"/>
    <w:rsid w:val="00BE4166"/>
    <w:rsid w:val="00BE55EA"/>
    <w:rsid w:val="00BE6E41"/>
    <w:rsid w:val="00BF1056"/>
    <w:rsid w:val="00BF4946"/>
    <w:rsid w:val="00C04593"/>
    <w:rsid w:val="00C071A1"/>
    <w:rsid w:val="00C127D3"/>
    <w:rsid w:val="00C161EC"/>
    <w:rsid w:val="00C16D07"/>
    <w:rsid w:val="00C2010E"/>
    <w:rsid w:val="00C218A6"/>
    <w:rsid w:val="00C24F3F"/>
    <w:rsid w:val="00C33AC1"/>
    <w:rsid w:val="00C3415F"/>
    <w:rsid w:val="00C3424F"/>
    <w:rsid w:val="00C34C89"/>
    <w:rsid w:val="00C355CA"/>
    <w:rsid w:val="00C44659"/>
    <w:rsid w:val="00C45362"/>
    <w:rsid w:val="00C45569"/>
    <w:rsid w:val="00C52C71"/>
    <w:rsid w:val="00C55716"/>
    <w:rsid w:val="00C57541"/>
    <w:rsid w:val="00C57C71"/>
    <w:rsid w:val="00C6437B"/>
    <w:rsid w:val="00C71CA7"/>
    <w:rsid w:val="00C72DDD"/>
    <w:rsid w:val="00C74BA1"/>
    <w:rsid w:val="00C80B29"/>
    <w:rsid w:val="00C8356E"/>
    <w:rsid w:val="00C84E30"/>
    <w:rsid w:val="00C901E2"/>
    <w:rsid w:val="00C90ABC"/>
    <w:rsid w:val="00C92131"/>
    <w:rsid w:val="00CA49D7"/>
    <w:rsid w:val="00CA4C67"/>
    <w:rsid w:val="00CB0BDB"/>
    <w:rsid w:val="00CC570B"/>
    <w:rsid w:val="00CC5EED"/>
    <w:rsid w:val="00CC7EAF"/>
    <w:rsid w:val="00CD0542"/>
    <w:rsid w:val="00CD6F8E"/>
    <w:rsid w:val="00CE10B6"/>
    <w:rsid w:val="00CE1B1C"/>
    <w:rsid w:val="00CE5CEE"/>
    <w:rsid w:val="00CF09BC"/>
    <w:rsid w:val="00CF6F72"/>
    <w:rsid w:val="00D0205A"/>
    <w:rsid w:val="00D04786"/>
    <w:rsid w:val="00D079A2"/>
    <w:rsid w:val="00D17DBD"/>
    <w:rsid w:val="00D21173"/>
    <w:rsid w:val="00D221DC"/>
    <w:rsid w:val="00D233EF"/>
    <w:rsid w:val="00D27B11"/>
    <w:rsid w:val="00D34D14"/>
    <w:rsid w:val="00D40A09"/>
    <w:rsid w:val="00D41ABC"/>
    <w:rsid w:val="00D43001"/>
    <w:rsid w:val="00D478C8"/>
    <w:rsid w:val="00D47CF5"/>
    <w:rsid w:val="00D5023F"/>
    <w:rsid w:val="00D52CC4"/>
    <w:rsid w:val="00D546F1"/>
    <w:rsid w:val="00D572C0"/>
    <w:rsid w:val="00D600DA"/>
    <w:rsid w:val="00D61687"/>
    <w:rsid w:val="00D6323E"/>
    <w:rsid w:val="00D64775"/>
    <w:rsid w:val="00D65F06"/>
    <w:rsid w:val="00D67F5B"/>
    <w:rsid w:val="00D70EF1"/>
    <w:rsid w:val="00D71FCA"/>
    <w:rsid w:val="00D73303"/>
    <w:rsid w:val="00D734F8"/>
    <w:rsid w:val="00D746B6"/>
    <w:rsid w:val="00D85E14"/>
    <w:rsid w:val="00D904C4"/>
    <w:rsid w:val="00D9450C"/>
    <w:rsid w:val="00D968E8"/>
    <w:rsid w:val="00DA4899"/>
    <w:rsid w:val="00DA4C8D"/>
    <w:rsid w:val="00DB0B99"/>
    <w:rsid w:val="00DB1FD5"/>
    <w:rsid w:val="00DB24DF"/>
    <w:rsid w:val="00DB6901"/>
    <w:rsid w:val="00DC09E9"/>
    <w:rsid w:val="00DC1A35"/>
    <w:rsid w:val="00DC3063"/>
    <w:rsid w:val="00DC4828"/>
    <w:rsid w:val="00DC6319"/>
    <w:rsid w:val="00DD6FC7"/>
    <w:rsid w:val="00DE27F0"/>
    <w:rsid w:val="00DE2AF5"/>
    <w:rsid w:val="00DE3070"/>
    <w:rsid w:val="00DE6321"/>
    <w:rsid w:val="00DE6A2A"/>
    <w:rsid w:val="00DF0C2F"/>
    <w:rsid w:val="00DF2596"/>
    <w:rsid w:val="00DF58DF"/>
    <w:rsid w:val="00DF6659"/>
    <w:rsid w:val="00DF7526"/>
    <w:rsid w:val="00E02F2D"/>
    <w:rsid w:val="00E07028"/>
    <w:rsid w:val="00E07F2C"/>
    <w:rsid w:val="00E14DE0"/>
    <w:rsid w:val="00E20CA4"/>
    <w:rsid w:val="00E2506A"/>
    <w:rsid w:val="00E26484"/>
    <w:rsid w:val="00E27421"/>
    <w:rsid w:val="00E3235C"/>
    <w:rsid w:val="00E342F7"/>
    <w:rsid w:val="00E47D1C"/>
    <w:rsid w:val="00E56DF3"/>
    <w:rsid w:val="00E61F85"/>
    <w:rsid w:val="00E66E1D"/>
    <w:rsid w:val="00E74A80"/>
    <w:rsid w:val="00E75DCC"/>
    <w:rsid w:val="00E75DEE"/>
    <w:rsid w:val="00E87A9C"/>
    <w:rsid w:val="00E92130"/>
    <w:rsid w:val="00EA3B7C"/>
    <w:rsid w:val="00EA6137"/>
    <w:rsid w:val="00EA67DF"/>
    <w:rsid w:val="00EB1FF0"/>
    <w:rsid w:val="00EB3CAD"/>
    <w:rsid w:val="00EB4F97"/>
    <w:rsid w:val="00EB5E56"/>
    <w:rsid w:val="00EB7271"/>
    <w:rsid w:val="00EB77FB"/>
    <w:rsid w:val="00EC024C"/>
    <w:rsid w:val="00EC0439"/>
    <w:rsid w:val="00EC11D5"/>
    <w:rsid w:val="00ED0153"/>
    <w:rsid w:val="00ED11B4"/>
    <w:rsid w:val="00ED2C1B"/>
    <w:rsid w:val="00ED5900"/>
    <w:rsid w:val="00EE0471"/>
    <w:rsid w:val="00EE168C"/>
    <w:rsid w:val="00EE5514"/>
    <w:rsid w:val="00EE6C9C"/>
    <w:rsid w:val="00EF0A8C"/>
    <w:rsid w:val="00EF17CB"/>
    <w:rsid w:val="00EF1B88"/>
    <w:rsid w:val="00EF54E4"/>
    <w:rsid w:val="00F0303A"/>
    <w:rsid w:val="00F03B21"/>
    <w:rsid w:val="00F04E69"/>
    <w:rsid w:val="00F07242"/>
    <w:rsid w:val="00F07E08"/>
    <w:rsid w:val="00F1013B"/>
    <w:rsid w:val="00F11272"/>
    <w:rsid w:val="00F12DCF"/>
    <w:rsid w:val="00F14FD4"/>
    <w:rsid w:val="00F166F8"/>
    <w:rsid w:val="00F17FC4"/>
    <w:rsid w:val="00F20B6D"/>
    <w:rsid w:val="00F20E8C"/>
    <w:rsid w:val="00F23251"/>
    <w:rsid w:val="00F30983"/>
    <w:rsid w:val="00F30DD8"/>
    <w:rsid w:val="00F31A23"/>
    <w:rsid w:val="00F36463"/>
    <w:rsid w:val="00F37B6C"/>
    <w:rsid w:val="00F417EF"/>
    <w:rsid w:val="00F432AD"/>
    <w:rsid w:val="00F44B4B"/>
    <w:rsid w:val="00F50509"/>
    <w:rsid w:val="00F56D3B"/>
    <w:rsid w:val="00F61006"/>
    <w:rsid w:val="00F65F01"/>
    <w:rsid w:val="00F66B81"/>
    <w:rsid w:val="00F70DBD"/>
    <w:rsid w:val="00F71164"/>
    <w:rsid w:val="00F722BB"/>
    <w:rsid w:val="00F72FC8"/>
    <w:rsid w:val="00F76513"/>
    <w:rsid w:val="00F7716E"/>
    <w:rsid w:val="00F81B79"/>
    <w:rsid w:val="00F85C33"/>
    <w:rsid w:val="00F9103B"/>
    <w:rsid w:val="00F914E9"/>
    <w:rsid w:val="00F9303E"/>
    <w:rsid w:val="00F9340C"/>
    <w:rsid w:val="00F93504"/>
    <w:rsid w:val="00F93C13"/>
    <w:rsid w:val="00FA4627"/>
    <w:rsid w:val="00FB1BE5"/>
    <w:rsid w:val="00FB44CF"/>
    <w:rsid w:val="00FB732E"/>
    <w:rsid w:val="00FC26B6"/>
    <w:rsid w:val="00FC528D"/>
    <w:rsid w:val="00FC5E40"/>
    <w:rsid w:val="00FC638D"/>
    <w:rsid w:val="00FD5E90"/>
    <w:rsid w:val="00FD76F5"/>
    <w:rsid w:val="00FE141F"/>
    <w:rsid w:val="00FE2248"/>
    <w:rsid w:val="00FE61B7"/>
    <w:rsid w:val="00FE7955"/>
    <w:rsid w:val="00FF26BE"/>
    <w:rsid w:val="00FF5DCC"/>
    <w:rsid w:val="00FF620A"/>
    <w:rsid w:val="00FF659B"/>
    <w:rsid w:val="00FF79A5"/>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18/08/relationships/commentsExtensible" Target="commentsExtensible.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83</TotalTime>
  <Pages>63</Pages>
  <Words>80202</Words>
  <Characters>457154</Characters>
  <Application>Microsoft Office Word</Application>
  <DocSecurity>0</DocSecurity>
  <Lines>3809</Lines>
  <Paragraphs>1072</Paragraphs>
  <ScaleCrop>false</ScaleCrop>
  <Company/>
  <LinksUpToDate>false</LinksUpToDate>
  <CharactersWithSpaces>536284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dc:creator>
  <cp:keywords/>
  <cp:lastModifiedBy>Mahmoud Kiasari</cp:lastModifiedBy>
  <cp:revision>26</cp:revision>
  <dcterms:created xsi:type="dcterms:W3CDTF">2026-06-10T11:45:00Z</dcterms:created>
  <dcterms:modified xsi:type="dcterms:W3CDTF">2026-06-13T17:10:00Z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zotero-version="9.0.4"&gt;&lt;session id="1jOmB778"/&gt;&lt;style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ies>
</file>