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pPr>
    </w:p>
    <w:p>
      <w:pPr>
        <w:spacing w:after="100"/>
        <w:jc w:val="center"/>
      </w:pPr>
      <w:r>
        <w:rPr>
          <w:rFonts w:ascii="Times New Roman" w:cs="Times New Roman" w:eastAsia="Times New Roman" w:hAnsi="Times New Roman"/>
          <w:b/>
          <w:bCs/>
          <w:color w:val="000000"/>
          <w:sz w:val="28"/>
          <w:szCs w:val="28"/>
        </w:rPr>
        <w:t xml:space="preserve">Dalhousie University</w:t>
      </w:r>
    </w:p>
    <w:p>
      <w:pPr>
        <w:spacing w:after="300"/>
        <w:jc w:val="center"/>
      </w:pPr>
      <w:r>
        <w:rPr>
          <w:rFonts w:ascii="Times New Roman" w:cs="Times New Roman" w:eastAsia="Times New Roman" w:hAnsi="Times New Roman"/>
          <w:color w:val="000000"/>
          <w:sz w:val="24"/>
          <w:szCs w:val="24"/>
        </w:rPr>
        <w:t xml:space="preserve">Department of Electrical and Computer Engineering</w:t>
      </w:r>
    </w:p>
    <w:p>
      <w:pPr>
        <w:spacing w:after="200"/>
      </w:pPr>
    </w:p>
    <w:p>
      <w:pPr>
        <w:spacing w:after="400" w:line="400"/>
        <w:jc w:val="center"/>
      </w:pPr>
      <w:r>
        <w:rPr>
          <w:rFonts w:ascii="Times New Roman" w:cs="Times New Roman" w:eastAsia="Times New Roman" w:hAnsi="Times New Roman"/>
          <w:b/>
          <w:bCs/>
          <w:color w:val="000000"/>
          <w:sz w:val="40"/>
          <w:szCs w:val="40"/>
        </w:rPr>
        <w:t xml:space="preserve">Metacognitive Continual Learning for Non-Stationary Smart Grid Dynamics</w:t>
      </w:r>
    </w:p>
    <w:p>
      <w:pPr>
        <w:spacing w:after="200"/>
      </w:pPr>
    </w:p>
    <w:p>
      <w:pPr>
        <w:spacing w:after="100"/>
        <w:jc w:val="center"/>
      </w:pPr>
      <w:r>
        <w:rPr>
          <w:rFonts w:ascii="Times New Roman" w:cs="Times New Roman" w:eastAsia="Times New Roman" w:hAnsi="Times New Roman"/>
          <w:color w:val="000000"/>
          <w:sz w:val="28"/>
          <w:szCs w:val="28"/>
        </w:rPr>
        <w:t xml:space="preserve">[Author Name]</w:t>
      </w:r>
    </w:p>
    <w:p>
      <w:pPr>
        <w:spacing w:after="100"/>
        <w:jc w:val="center"/>
      </w:pPr>
      <w:r>
        <w:rPr>
          <w:rFonts w:ascii="Times New Roman" w:cs="Times New Roman" w:eastAsia="Times New Roman" w:hAnsi="Times New Roman"/>
          <w:color w:val="000000"/>
          <w:sz w:val="24"/>
          <w:szCs w:val="24"/>
        </w:rPr>
        <w:t xml:space="preserve">Advisor: [Advisor Name]</w:t>
      </w:r>
    </w:p>
    <w:p>
      <w:pPr>
        <w:spacing w:after="100"/>
        <w:jc w:val="center"/>
      </w:pPr>
      <w:r>
        <w:rPr>
          <w:rFonts w:ascii="Times New Roman" w:cs="Times New Roman" w:eastAsia="Times New Roman" w:hAnsi="Times New Roman"/>
          <w:color w:val="000000"/>
          <w:sz w:val="22"/>
          <w:szCs w:val="22"/>
        </w:rPr>
        <w:t xml:space="preserve">Department of Electrical and Computer Engineering</w:t>
      </w:r>
    </w:p>
    <w:p>
      <w:pPr>
        <w:spacing w:after="400"/>
        <w:jc w:val="center"/>
      </w:pPr>
      <w:r>
        <w:rPr>
          <w:rFonts w:ascii="Times New Roman" w:cs="Times New Roman" w:eastAsia="Times New Roman" w:hAnsi="Times New Roman"/>
          <w:color w:val="000000"/>
          <w:sz w:val="22"/>
          <w:szCs w:val="22"/>
        </w:rPr>
        <w:t xml:space="preserve">Halifax, Nova Scotia, Canada</w:t>
      </w:r>
    </w:p>
    <w:p>
      <w:pPr>
        <w:spacing w:after="200"/>
      </w:pPr>
    </w:p>
    <w:p>
      <w:pPr>
        <w:spacing w:after="100"/>
        <w:jc w:val="center"/>
      </w:pPr>
      <w:r>
        <w:rPr>
          <w:rFonts w:ascii="Times New Roman" w:cs="Times New Roman" w:eastAsia="Times New Roman" w:hAnsi="Times New Roman"/>
          <w:b/>
          <w:bCs/>
          <w:color w:val="000000"/>
          <w:sz w:val="26"/>
          <w:szCs w:val="26"/>
        </w:rPr>
        <w:t xml:space="preserve">May 2026</w:t>
      </w:r>
    </w:p>
    <w:p>
      <w:pPr>
        <w:spacing w:after="100"/>
        <w:jc w:val="center"/>
      </w:pPr>
      <w:r>
        <w:rPr>
          <w:rFonts w:ascii="Times New Roman" w:cs="Times New Roman" w:eastAsia="Times New Roman" w:hAnsi="Times New Roman"/>
          <w:i/>
          <w:iCs/>
          <w:color w:val="000000"/>
          <w:sz w:val="22"/>
          <w:szCs w:val="22"/>
        </w:rPr>
        <w:t xml:space="preserve">Submitted to NeurIPS 2026</w:t>
      </w:r>
    </w:p>
    <w:p>
      <w:pPr>
        <w:sectPr>
          <w:pgSz w:w="11906" w:h="16838" w:orient="portrait"/>
          <w:pgMar w:top="1440" w:right="1417" w:bottom="1440" w:left="1701" w:header="708" w:footer="708" w:gutter="0"/>
          <w:pgNumType/>
          <w:docGrid w:linePitch="360"/>
        </w:sectPr>
      </w:pPr>
    </w:p>
    <w:p>
      <w:pPr>
        <w:pStyle w:val="Heading1"/>
        <w:spacing w:after="240" w:before="480" w:line="360"/>
        <w:jc w:val="center"/>
      </w:pPr>
      <w:bookmarkStart w:id="100000" w:name="_Toc100000"/>
      <w:r>
        <w:rPr>
          <w:rFonts w:ascii="Times New Roman" w:cs="Times New Roman" w:eastAsia="Times New Roman" w:hAnsi="Times New Roman"/>
          <w:b/>
          <w:bCs/>
          <w:color w:val="000000"/>
          <w:sz w:val="32"/>
          <w:szCs w:val="32"/>
        </w:rPr>
        <w:t xml:space="preserve">Abstract</w:t>
      </w:r>
      <w:bookmarkEnd w:id="100000"/>
    </w:p>
    <w:p>
      <w:pPr>
        <w:spacing w:after="60" w:line="360"/>
        <w:ind w:firstLine="480"/>
        <w:jc w:val="both"/>
      </w:pPr>
      <w:r>
        <w:rPr>
          <w:rFonts w:ascii="Times New Roman" w:cs="Times New Roman" w:eastAsia="Times New Roman" w:hAnsi="Times New Roman"/>
          <w:color w:val="000000"/>
          <w:sz w:val="24"/>
          <w:szCs w:val="24"/>
        </w:rPr>
        <w:t xml:space="preserve">This paper introduces Metacognitive Continual Learning (MCL), a novel framework that addresses the critical challenge of model degradation in smart grid applications caused by non-stationary distribution shifts. Traditional deep learning models for power system prediction assume independent and identically distributed data, an assumption fundamentally violated in real-world smart grids where seasonal variations, demand evolution, and infrastructure changes induce continuous concept drift. Our proposed EWC-IXER algorithm combines Elastic Weight Consolidation with improved experience replay, augmented by a metacognitive monitoring module that leverages conformal prediction for real-time uncertainty quantification and adaptive learning rate modulation. We further integrate Bayesian change point detection for automatic task boundary identification, enabling the system to recognize when distribution shifts occur without manual intervention. Comprehensive experiments on synthetic and IEEE benchmark bus systems demonstrate that EWC-IXER achieves an average RMSE of 0.0389 across five sequential tasks while maintaining a backward transfer ratio of -0.0035, representing a 73% improvement in catastrophic forgetting prevention compared to naive fine-tuning. The framework delivers sub-millisecond inference latency (0.02ms mean) with minimal memory overhead (&lt;1MB for 50 tasks), making it practically deployable in safety-critical smart grid environments.</w:t>
      </w:r>
    </w:p>
    <w:p>
      <w:pPr>
        <w:spacing w:after="200" w:before="120" w:line="360"/>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Continual Learning, Smart Grid, Catastrophic Forgetting, Metacognitive Monitoring, Conformal Prediction, Bayesian Change Point Detection, Uncertainty Quantification, Elastic Weight Consolidation</w:t>
      </w:r>
    </w:p>
    <w:p>
      <w:pPr>
        <w:pStyle w:val="Heading1"/>
        <w:spacing w:after="240" w:before="480" w:line="360"/>
        <w:jc w:val="center"/>
      </w:pPr>
      <w:bookmarkStart w:id="100001" w:name="_Toc100001"/>
      <w:r>
        <w:rPr>
          <w:rFonts w:ascii="Times New Roman" w:cs="Times New Roman" w:eastAsia="Times New Roman" w:hAnsi="Times New Roman"/>
          <w:b/>
          <w:bCs/>
          <w:color w:val="000000"/>
          <w:sz w:val="32"/>
          <w:szCs w:val="32"/>
        </w:rPr>
        <w:t xml:space="preserve">Table of Contents</w:t>
      </w:r>
      <w:bookmarkEnd w:id="100001"/>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Table of Contents</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1. Introduction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Motivation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Continual Learning in Power Systems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1.3 Contributions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1.4 Paper Organization</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2. Related Work</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2.1 Continual Learning Methods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2.2 Continual Learning in Power Systems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2.3 Uncertainty Quantification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2.4 Distribution Shift Detection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2.5 Positioning</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3. Methodology</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3.1 Problem Formulation</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3.2 Architecture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3.3 EWC-IXER Algorithm</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3.4 Metacognitive Monitoring</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3.5 Bayesian Change Point Detection</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3.6 Uncertainty Decomposition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3.7 Computational Complexity</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4. Experimental Setup</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4.1 Dataset</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4.2 Task Segmentation</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4.3 Baselines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4.4 Hyperparameters</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4.5 Evaluation Metrics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4.6 Statistical Protocol</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5. Results</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5.1 Main Results</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5.2 Learning Curves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5.3 Forgetting Analysis</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5.4 Statistical Significance</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5.5 Uncertainty Quantification</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5.6 Large-Scale Experiments</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5.7 IEEE Bus System Validation</w:t>
            </w:r>
            <w:r>
              <w:tab/>
            </w:r>
            <w:r>
              <w:fldChar w:fldCharType="begin"/>
            </w:r>
            <w:r>
              <w:instrText xml:space="preserve"> PAGEREF _Toc100035 \h </w:instrText>
            </w:r>
            <w:r>
              <w:fldChar w:fldCharType="separate"/>
            </w:r>
            <w:r>
              <w:t>17</w:t>
            </w:r>
            <w:r>
              <w:fldChar w:fldCharType="end"/>
            </w:r>
          </w:hyperlink>
        </w:p>
        <w:p>
          <w:pPr>
            <w:pStyle w:val="9"/>
            <w:tabs>
              <w:tab w:val="right" w:leader="dot" w:pos="9026"/>
            </w:tabs>
            <w:spacing w:before="120" w:after="60"/>
          </w:pPr>
          <w:hyperlink w:anchor="_Toc100036" w:history="1">
            <w:r>
              <w:rPr>
                <w:rStyle w:val="Hyperlink"/>
              </w:rPr>
              <w:t>6. Ablation Studies</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6.1 Component Ablation</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6.2 EWC Lambda Sensitivity</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6.3 Replay Buffer Size Sensitivity</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6.4 Metacognitive Threshold Analysis</w:t>
            </w:r>
            <w:r>
              <w:tab/>
            </w:r>
            <w:r>
              <w:fldChar w:fldCharType="begin"/>
            </w:r>
            <w:r>
              <w:instrText xml:space="preserve"> PAGEREF _Toc100040 \h </w:instrText>
            </w:r>
            <w:r>
              <w:fldChar w:fldCharType="separate"/>
            </w:r>
            <w:r>
              <w:t>19</w:t>
            </w:r>
            <w:r>
              <w:fldChar w:fldCharType="end"/>
            </w:r>
          </w:hyperlink>
        </w:p>
        <w:p>
          <w:pPr>
            <w:pStyle w:val="9"/>
            <w:tabs>
              <w:tab w:val="right" w:leader="dot" w:pos="9026"/>
            </w:tabs>
            <w:spacing w:before="120" w:after="60"/>
          </w:pPr>
          <w:hyperlink w:anchor="_Toc100041" w:history="1">
            <w:r>
              <w:rPr>
                <w:rStyle w:val="Hyperlink"/>
              </w:rPr>
              <w:t>7. Computational Efficiency</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7.1 Inference Latency</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7.2 Memory Usage</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7.3 Scaling Analysis</w:t>
            </w:r>
            <w:r>
              <w:tab/>
            </w:r>
            <w:r>
              <w:fldChar w:fldCharType="begin"/>
            </w:r>
            <w:r>
              <w:instrText xml:space="preserve"> PAGEREF _Toc100044 \h </w:instrText>
            </w:r>
            <w:r>
              <w:fldChar w:fldCharType="separate"/>
            </w:r>
            <w:r>
              <w:t>20</w:t>
            </w:r>
            <w:r>
              <w:fldChar w:fldCharType="end"/>
            </w:r>
          </w:hyperlink>
        </w:p>
        <w:p>
          <w:pPr>
            <w:pStyle w:val="9"/>
            <w:tabs>
              <w:tab w:val="right" w:leader="dot" w:pos="9026"/>
            </w:tabs>
            <w:spacing w:before="120" w:after="60"/>
          </w:pPr>
          <w:hyperlink w:anchor="_Toc100045" w:history="1">
            <w:r>
              <w:rPr>
                <w:rStyle w:val="Hyperlink"/>
              </w:rPr>
              <w:t>8. Explainability</w:t>
            </w:r>
            <w:r>
              <w:tab/>
            </w:r>
            <w:r>
              <w:fldChar w:fldCharType="begin"/>
            </w:r>
            <w:r>
              <w:instrText xml:space="preserve"> PAGEREF _Toc100045 \h </w:instrText>
            </w:r>
            <w:r>
              <w:fldChar w:fldCharType="separate"/>
            </w:r>
            <w:r>
              <w:t>21</w:t>
            </w:r>
            <w:r>
              <w:fldChar w:fldCharType="end"/>
            </w:r>
          </w:hyperlink>
        </w:p>
        <w:p>
          <w:pPr>
            <w:pStyle w:val="11"/>
            <w:ind w:left="360"/>
            <w:tabs>
              <w:tab w:val="right" w:leader="dot" w:pos="9026"/>
            </w:tabs>
            <w:spacing w:before="120" w:after="60"/>
          </w:pPr>
          <w:hyperlink w:anchor="_Toc100046" w:history="1">
            <w:r>
              <w:rPr>
                <w:rStyle w:val="Hyperlink"/>
              </w:rPr>
              <w:t>8.1 Feature Importance</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8.2 Feature Drift Across Tasks</w:t>
            </w:r>
            <w:r>
              <w:tab/>
            </w:r>
            <w:r>
              <w:fldChar w:fldCharType="begin"/>
            </w:r>
            <w:r>
              <w:instrText xml:space="preserve"> PAGEREF _Toc100047 \h </w:instrText>
            </w:r>
            <w:r>
              <w:fldChar w:fldCharType="separate"/>
            </w:r>
            <w:r>
              <w:t>22</w:t>
            </w:r>
            <w:r>
              <w:fldChar w:fldCharType="end"/>
            </w:r>
          </w:hyperlink>
        </w:p>
        <w:p>
          <w:pPr>
            <w:pStyle w:val="9"/>
            <w:tabs>
              <w:tab w:val="right" w:leader="dot" w:pos="9026"/>
            </w:tabs>
            <w:spacing w:before="120" w:after="60"/>
          </w:pPr>
          <w:hyperlink w:anchor="_Toc100048" w:history="1">
            <w:r>
              <w:rPr>
                <w:rStyle w:val="Hyperlink"/>
              </w:rPr>
              <w:t>9. Discussion</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9.1 Key Findings</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9.2 Limitations</w:t>
            </w:r>
            <w:r>
              <w:tab/>
            </w:r>
            <w:r>
              <w:fldChar w:fldCharType="begin"/>
            </w:r>
            <w:r>
              <w:instrText xml:space="preserve"> PAGEREF _Toc100050 \h </w:instrText>
            </w:r>
            <w:r>
              <w:fldChar w:fldCharType="separate"/>
            </w:r>
            <w:r>
              <w:t>23</w:t>
            </w:r>
            <w:r>
              <w:fldChar w:fldCharType="end"/>
            </w:r>
          </w:hyperlink>
        </w:p>
        <w:p>
          <w:pPr>
            <w:pStyle w:val="11"/>
            <w:ind w:left="360"/>
            <w:tabs>
              <w:tab w:val="right" w:leader="dot" w:pos="9026"/>
            </w:tabs>
            <w:spacing w:before="120" w:after="60"/>
          </w:pPr>
          <w:hyperlink w:anchor="_Toc100051" w:history="1">
            <w:r>
              <w:rPr>
                <w:rStyle w:val="Hyperlink"/>
              </w:rPr>
              <w:t>9.3 Practical Implications</w:t>
            </w:r>
            <w:r>
              <w:tab/>
            </w:r>
            <w:r>
              <w:fldChar w:fldCharType="begin"/>
            </w:r>
            <w:r>
              <w:instrText xml:space="preserve"> PAGEREF _Toc100051 \h </w:instrText>
            </w:r>
            <w:r>
              <w:fldChar w:fldCharType="separate"/>
            </w:r>
            <w:r>
              <w:t>23</w:t>
            </w:r>
            <w:r>
              <w:fldChar w:fldCharType="end"/>
            </w:r>
          </w:hyperlink>
        </w:p>
        <w:p>
          <w:pPr>
            <w:pStyle w:val="9"/>
            <w:tabs>
              <w:tab w:val="right" w:leader="dot" w:pos="9026"/>
            </w:tabs>
            <w:spacing w:before="120" w:after="60"/>
          </w:pPr>
          <w:hyperlink w:anchor="_Toc100052" w:history="1">
            <w:r>
              <w:rPr>
                <w:rStyle w:val="Hyperlink"/>
              </w:rPr>
              <w:t>10. Conclusion</w:t>
            </w:r>
            <w:r>
              <w:tab/>
            </w:r>
            <w:r>
              <w:fldChar w:fldCharType="begin"/>
            </w:r>
            <w:r>
              <w:instrText xml:space="preserve"> PAGEREF _Toc100052 \h </w:instrText>
            </w:r>
            <w:r>
              <w:fldChar w:fldCharType="separate"/>
            </w:r>
            <w:r>
              <w:t>23</w:t>
            </w:r>
            <w:r>
              <w:fldChar w:fldCharType="end"/>
            </w:r>
          </w:hyperlink>
        </w:p>
        <w:p>
          <w:pPr>
            <w:pStyle w:val="9"/>
            <w:tabs>
              <w:tab w:val="right" w:leader="dot" w:pos="9026"/>
            </w:tabs>
            <w:spacing w:before="120" w:after="60"/>
          </w:pPr>
          <w:hyperlink w:anchor="_Toc100053" w:history="1">
            <w:r>
              <w:rPr>
                <w:rStyle w:val="Hyperlink"/>
              </w:rPr>
              <w:t>References</w:t>
            </w:r>
            <w:r>
              <w:tab/>
            </w:r>
            <w:r>
              <w:fldChar w:fldCharType="begin"/>
            </w:r>
            <w:r>
              <w:instrText xml:space="preserve"> PAGEREF _Toc100053 \h </w:instrText>
            </w:r>
            <w:r>
              <w:fldChar w:fldCharType="separate"/>
            </w:r>
            <w:r>
              <w:t>24</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40" w:before="480" w:line="360"/>
        <w:jc w:val="center"/>
      </w:pPr>
      <w:bookmarkStart w:id="100002" w:name="_Toc100002"/>
      <w:r>
        <w:rPr>
          <w:rFonts w:ascii="Times New Roman" w:cs="Times New Roman" w:eastAsia="Times New Roman" w:hAnsi="Times New Roman"/>
          <w:b/>
          <w:bCs/>
          <w:color w:val="000000"/>
          <w:sz w:val="32"/>
          <w:szCs w:val="32"/>
        </w:rPr>
        <w:t xml:space="preserve">1. Introduction</w:t>
      </w:r>
      <w:bookmarkEnd w:id="100002"/>
    </w:p>
    <w:p>
      <w:pPr>
        <w:pStyle w:val="Heading2"/>
        <w:spacing w:after="180" w:before="360" w:line="360"/>
      </w:pPr>
      <w:bookmarkStart w:id="100003" w:name="_Toc100003"/>
      <w:r>
        <w:rPr>
          <w:rFonts w:ascii="Times New Roman" w:cs="Times New Roman" w:eastAsia="Times New Roman" w:hAnsi="Times New Roman"/>
          <w:b/>
          <w:bCs/>
          <w:color w:val="000000"/>
          <w:sz w:val="28"/>
          <w:szCs w:val="28"/>
        </w:rPr>
        <w:t xml:space="preserve">1.1 Motivation</w:t>
      </w:r>
      <w:bookmarkEnd w:id="100003"/>
    </w:p>
    <w:p>
      <w:pPr>
        <w:spacing w:after="60" w:line="360"/>
        <w:ind w:firstLine="480"/>
        <w:jc w:val="both"/>
      </w:pPr>
      <w:r>
        <w:rPr>
          <w:rFonts w:ascii="Times New Roman" w:cs="Times New Roman" w:eastAsia="Times New Roman" w:hAnsi="Times New Roman"/>
          <w:color w:val="000000"/>
          <w:sz w:val="24"/>
          <w:szCs w:val="24"/>
        </w:rPr>
        <w:t xml:space="preserve">The rapid integration of renewable energy sources, distributed generation, and advanced metering infrastructure has transformed modern power systems into complex, data-rich environments where artificial intelligence plays an increasingly central role.</w:t>
      </w:r>
      <w:r>
        <w:rPr>
          <w:rFonts w:ascii="Times New Roman" w:cs="Times New Roman" w:eastAsia="Times New Roman" w:hAnsi="Times New Roman"/>
          <w:color w:val="000000"/>
          <w:sz w:val="20"/>
          <w:szCs w:val="20"/>
          <w:vertAlign w:val="superscript"/>
        </w:rPr>
        <w:t xml:space="preserve">[15]</w:t>
      </w:r>
      <w:r>
        <w:rPr>
          <w:rFonts w:ascii="Times New Roman" w:cs="Times New Roman" w:eastAsia="Times New Roman" w:hAnsi="Times New Roman"/>
          <w:color w:val="000000"/>
          <w:sz w:val="24"/>
          <w:szCs w:val="24"/>
        </w:rPr>
        <w:t xml:space="preserve"> However, a fundamental challenge persists: the non-stationary nature of smart grid dynamics systematically violates the assumption of independent and identically distributed (i.i.d.) data that underpins most machine learning models. Seasonal variations in solar irradiance can produce up to 60% fluctuations in photovoltaic output, while evolving consumer behavior patterns and infrastructure upgrades introduce continuous distribution shifts that degrade predictive model performance over time.</w:t>
      </w:r>
      <w:r>
        <w:rPr>
          <w:rFonts w:ascii="Times New Roman" w:cs="Times New Roman" w:eastAsia="Times New Roman" w:hAnsi="Times New Roman"/>
          <w:color w:val="000000"/>
          <w:sz w:val="20"/>
          <w:szCs w:val="20"/>
          <w:vertAlign w:val="superscript"/>
        </w:rPr>
        <w:t xml:space="preserve">[23]</w:t>
      </w:r>
    </w:p>
    <w:p>
      <w:pPr>
        <w:spacing w:after="60" w:line="360"/>
        <w:ind w:firstLine="480"/>
        <w:jc w:val="both"/>
      </w:pPr>
      <w:r>
        <w:rPr>
          <w:rFonts w:ascii="Times New Roman" w:cs="Times New Roman" w:eastAsia="Times New Roman" w:hAnsi="Times New Roman"/>
          <w:color w:val="000000"/>
          <w:sz w:val="24"/>
          <w:szCs w:val="24"/>
        </w:rPr>
        <w:t xml:space="preserve">Current state-of-the-art approaches for load forecasting, renewable energy prediction, and grid state estimation predominantly rely on models trained on historical data under the assumption of temporal stationarity.</w:t>
      </w:r>
      <w:r>
        <w:rPr>
          <w:rFonts w:ascii="Times New Roman" w:cs="Times New Roman" w:eastAsia="Times New Roman" w:hAnsi="Times New Roman"/>
          <w:color w:val="000000"/>
          <w:sz w:val="20"/>
          <w:szCs w:val="20"/>
          <w:vertAlign w:val="superscript"/>
        </w:rPr>
        <w:t xml:space="preserve">[16]</w:t>
      </w:r>
      <w:r>
        <w:rPr>
          <w:rFonts w:ascii="Times New Roman" w:cs="Times New Roman" w:eastAsia="Times New Roman" w:hAnsi="Times New Roman"/>
          <w:color w:val="000000"/>
          <w:sz w:val="24"/>
          <w:szCs w:val="24"/>
        </w:rPr>
        <w:t xml:space="preserve"> In practice, when these models encounter data distributions that differ from their training conditions, their predictions become increasingly unreliable. The consequences extend beyond mere accuracy degradation: inaccurate power system predictions can lead to suboptimal dispatch decisions, increased operational costs, and in extreme cases, cascading failures that compromise grid stability and reliability.</w:t>
      </w:r>
      <w:r>
        <w:rPr>
          <w:rFonts w:ascii="Times New Roman" w:cs="Times New Roman" w:eastAsia="Times New Roman" w:hAnsi="Times New Roman"/>
          <w:color w:val="000000"/>
          <w:sz w:val="20"/>
          <w:szCs w:val="20"/>
          <w:vertAlign w:val="superscript"/>
        </w:rPr>
        <w:t xml:space="preserve">[17]</w:t>
      </w:r>
    </w:p>
    <w:p>
      <w:pPr>
        <w:spacing w:after="60" w:line="360"/>
        <w:ind w:firstLine="480"/>
        <w:jc w:val="both"/>
      </w:pPr>
      <w:r>
        <w:rPr>
          <w:rFonts w:ascii="Times New Roman" w:cs="Times New Roman" w:eastAsia="Times New Roman" w:hAnsi="Times New Roman"/>
          <w:color w:val="000000"/>
          <w:sz w:val="24"/>
          <w:szCs w:val="24"/>
        </w:rPr>
        <w:t xml:space="preserve">The financial implications are substantial. Operational losses attributable to forecast errors in power systems are estimated at billions of dollars annually across global utility markets, with distribution shift-induced degradation accounting for a significant and growing proportion of these losses as grid complexity increases.</w:t>
      </w:r>
      <w:r>
        <w:rPr>
          <w:rFonts w:ascii="Times New Roman" w:cs="Times New Roman" w:eastAsia="Times New Roman" w:hAnsi="Times New Roman"/>
          <w:color w:val="000000"/>
          <w:sz w:val="20"/>
          <w:szCs w:val="20"/>
          <w:vertAlign w:val="superscript"/>
        </w:rPr>
        <w:t xml:space="preserve">[18]</w:t>
      </w:r>
      <w:r>
        <w:rPr>
          <w:rFonts w:ascii="Times New Roman" w:cs="Times New Roman" w:eastAsia="Times New Roman" w:hAnsi="Times New Roman"/>
          <w:color w:val="000000"/>
          <w:sz w:val="24"/>
          <w:szCs w:val="24"/>
        </w:rPr>
        <w:t xml:space="preserve"> This reality motivates the development of adaptive learning systems capable of acquiring new knowledge from non-stationary data streams while preserving previously learned competencies, a challenge known in the machine learning literature as continual or lifelong learning.</w:t>
      </w:r>
    </w:p>
    <w:p>
      <w:pPr>
        <w:pStyle w:val="Heading2"/>
        <w:spacing w:after="180" w:before="360" w:line="360"/>
      </w:pPr>
      <w:bookmarkStart w:id="100004" w:name="_Toc100004"/>
      <w:r>
        <w:rPr>
          <w:rFonts w:ascii="Times New Roman" w:cs="Times New Roman" w:eastAsia="Times New Roman" w:hAnsi="Times New Roman"/>
          <w:b/>
          <w:bCs/>
          <w:color w:val="000000"/>
          <w:sz w:val="28"/>
          <w:szCs w:val="28"/>
        </w:rPr>
        <w:t xml:space="preserve">1.2 Continual Learning in Power Systems</w:t>
      </w:r>
      <w:bookmarkEnd w:id="100004"/>
    </w:p>
    <w:p>
      <w:pPr>
        <w:spacing w:after="60" w:line="360"/>
        <w:ind w:firstLine="480"/>
        <w:jc w:val="both"/>
      </w:pPr>
      <w:r>
        <w:rPr>
          <w:rFonts w:ascii="Times New Roman" w:cs="Times New Roman" w:eastAsia="Times New Roman" w:hAnsi="Times New Roman"/>
          <w:color w:val="000000"/>
          <w:sz w:val="24"/>
          <w:szCs w:val="24"/>
        </w:rPr>
        <w:t xml:space="preserve">Continual learning (CL) has achieved remarkable progress in computer vision and natural language processing, with methods such as Elastic Weight Consolidation (EWC),</w:t>
      </w:r>
      <w:r>
        <w:rPr>
          <w:rFonts w:ascii="Times New Roman" w:cs="Times New Roman" w:eastAsia="Times New Roman" w:hAnsi="Times New Roman"/>
          <w:color w:val="000000"/>
          <w:sz w:val="20"/>
          <w:szCs w:val="20"/>
          <w:vertAlign w:val="superscript"/>
        </w:rPr>
        <w:t xml:space="preserve">[1]</w:t>
      </w:r>
      <w:r>
        <w:rPr>
          <w:rFonts w:ascii="Times New Roman" w:cs="Times New Roman" w:eastAsia="Times New Roman" w:hAnsi="Times New Roman"/>
          <w:color w:val="000000"/>
          <w:sz w:val="24"/>
          <w:szCs w:val="24"/>
        </w:rPr>
        <w:t xml:space="preserve"> Progressive Neural Networks,</w:t>
      </w:r>
      <w:r>
        <w:rPr>
          <w:rFonts w:ascii="Times New Roman" w:cs="Times New Roman" w:eastAsia="Times New Roman" w:hAnsi="Times New Roman"/>
          <w:color w:val="000000"/>
          <w:sz w:val="20"/>
          <w:szCs w:val="20"/>
          <w:vertAlign w:val="superscript"/>
        </w:rPr>
        <w:t xml:space="preserve">[5]</w:t>
      </w:r>
      <w:r>
        <w:rPr>
          <w:rFonts w:ascii="Times New Roman" w:cs="Times New Roman" w:eastAsia="Times New Roman" w:hAnsi="Times New Roman"/>
          <w:color w:val="000000"/>
          <w:sz w:val="24"/>
          <w:szCs w:val="24"/>
        </w:rPr>
        <w:t xml:space="preserve"> and experience replay strategies</w:t>
      </w:r>
      <w:r>
        <w:rPr>
          <w:rFonts w:ascii="Times New Roman" w:cs="Times New Roman" w:eastAsia="Times New Roman" w:hAnsi="Times New Roman"/>
          <w:color w:val="000000"/>
          <w:sz w:val="20"/>
          <w:szCs w:val="20"/>
          <w:vertAlign w:val="superscript"/>
        </w:rPr>
        <w:t xml:space="preserve">[34]</w:t>
      </w:r>
      <w:r>
        <w:rPr>
          <w:rFonts w:ascii="Times New Roman" w:cs="Times New Roman" w:eastAsia="Times New Roman" w:hAnsi="Times New Roman"/>
          <w:color w:val="000000"/>
          <w:sz w:val="24"/>
          <w:szCs w:val="24"/>
        </w:rPr>
        <w:t xml:space="preserve"> demonstrating the ability to learn from non-stationary task sequences while mitigating catastrophic forgetting. However, the application of CL to power systems remains largely unexplored despite the field presenting unique and demanding challenges that differ fundamentally from those encountered in vision and language domains.</w:t>
      </w:r>
    </w:p>
    <w:p>
      <w:pPr>
        <w:spacing w:after="60" w:line="360"/>
        <w:ind w:firstLine="480"/>
        <w:jc w:val="both"/>
      </w:pPr>
      <w:r>
        <w:rPr>
          <w:rFonts w:ascii="Times New Roman" w:cs="Times New Roman" w:eastAsia="Times New Roman" w:hAnsi="Times New Roman"/>
          <w:color w:val="000000"/>
          <w:sz w:val="24"/>
          <w:szCs w:val="24"/>
        </w:rPr>
        <w:t xml:space="preserve">Power system applications impose stringent requirements that constrain the design of continual learning solutions. First, these systems are safety-critical: prediction failures can have immediate physical consequences including equipment damage, service interruptions, and safety hazards.</w:t>
      </w:r>
      <w:r>
        <w:rPr>
          <w:rFonts w:ascii="Times New Roman" w:cs="Times New Roman" w:eastAsia="Times New Roman" w:hAnsi="Times New Roman"/>
          <w:color w:val="000000"/>
          <w:sz w:val="20"/>
          <w:szCs w:val="20"/>
          <w:vertAlign w:val="superscript"/>
        </w:rPr>
        <w:t xml:space="preserve">[46]</w:t>
      </w:r>
      <w:r>
        <w:rPr>
          <w:rFonts w:ascii="Times New Roman" w:cs="Times New Roman" w:eastAsia="Times New Roman" w:hAnsi="Times New Roman"/>
          <w:color w:val="000000"/>
          <w:sz w:val="24"/>
          <w:szCs w:val="24"/>
        </w:rPr>
        <w:t xml:space="preserve"> Second, real-time operation demands sub-millisecond inference latency, precluding approaches that rely on computationally expensive ensembles or large replay buffers. Third, physical constraints govern the relationship between input variables and outputs, meaning that the model must respect the underlying physics of power flow and energy balance rather than simply minimizing empirical loss.</w:t>
      </w:r>
      <w:r>
        <w:rPr>
          <w:rFonts w:ascii="Times New Roman" w:cs="Times New Roman" w:eastAsia="Times New Roman" w:hAnsi="Times New Roman"/>
          <w:color w:val="000000"/>
          <w:sz w:val="20"/>
          <w:szCs w:val="20"/>
          <w:vertAlign w:val="superscript"/>
        </w:rPr>
        <w:t xml:space="preserve">[47]</w:t>
      </w:r>
    </w:p>
    <w:p>
      <w:pPr>
        <w:spacing w:after="60" w:line="360"/>
        <w:ind w:firstLine="480"/>
        <w:jc w:val="both"/>
      </w:pPr>
      <w:r>
        <w:rPr>
          <w:rFonts w:ascii="Times New Roman" w:cs="Times New Roman" w:eastAsia="Times New Roman" w:hAnsi="Times New Roman"/>
          <w:color w:val="000000"/>
          <w:sz w:val="24"/>
          <w:szCs w:val="24"/>
        </w:rPr>
        <w:t xml:space="preserve">Furthermore, the nature of distribution shifts in power systems differs from that in vision and language tasks. Rather than discrete task boundaries, power system data exhibits gradual drift driven by seasonal cycles, infrastructure aging, and evolving consumption patterns. Detecting these shifts and triggering appropriate adaptation responses represents a challenge that existing CL methods, designed primarily for task-incremental or domain-incremental scenarios, are ill-equipped to handle.</w:t>
      </w:r>
      <w:r>
        <w:rPr>
          <w:rFonts w:ascii="Times New Roman" w:cs="Times New Roman" w:eastAsia="Times New Roman" w:hAnsi="Times New Roman"/>
          <w:color w:val="000000"/>
          <w:sz w:val="20"/>
          <w:szCs w:val="20"/>
          <w:vertAlign w:val="superscript"/>
        </w:rPr>
        <w:t xml:space="preserve">[50]</w:t>
      </w:r>
    </w:p>
    <w:p>
      <w:pPr>
        <w:pStyle w:val="Heading2"/>
        <w:spacing w:after="180" w:before="360" w:line="360"/>
      </w:pPr>
      <w:bookmarkStart w:id="100005" w:name="_Toc100005"/>
      <w:r>
        <w:rPr>
          <w:rFonts w:ascii="Times New Roman" w:cs="Times New Roman" w:eastAsia="Times New Roman" w:hAnsi="Times New Roman"/>
          <w:b/>
          <w:bCs/>
          <w:color w:val="000000"/>
          <w:sz w:val="28"/>
          <w:szCs w:val="28"/>
        </w:rPr>
        <w:t xml:space="preserve">1.3 Contributions</w:t>
      </w:r>
      <w:bookmarkEnd w:id="100005"/>
    </w:p>
    <w:p>
      <w:pPr>
        <w:spacing w:after="60" w:line="360"/>
        <w:ind w:firstLine="480"/>
        <w:jc w:val="both"/>
      </w:pPr>
      <w:r>
        <w:rPr>
          <w:rFonts w:ascii="Times New Roman" w:cs="Times New Roman" w:eastAsia="Times New Roman" w:hAnsi="Times New Roman"/>
          <w:color w:val="000000"/>
          <w:sz w:val="24"/>
          <w:szCs w:val="24"/>
        </w:rPr>
        <w:t xml:space="preserve">The principal contributions of this paper are fourfold:</w:t>
      </w:r>
    </w:p>
    <w:p>
      <w:pPr>
        <w:spacing w:after="60" w:line="360"/>
        <w:ind w:firstLine="48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We propose the EWC-IXER algorithm, a novel continual learning framework that extends Elastic Weight Consolidation with Improved Experience Replay incorporating priority sampling, achieving state-of-the-art performance in mitigating catastrophic forgetting for smart grid prediction tasks.</w:t>
      </w:r>
    </w:p>
    <w:p>
      <w:pPr>
        <w:spacing w:after="60" w:line="360"/>
        <w:ind w:firstLine="48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We introduce a metacognitive monitoring module that leverages conformal prediction for real-time uncertainty quantification, enabling adaptive learning rate modulation based on the model's predictive confidence and coverage guarantees.</w:t>
      </w:r>
      <w:r>
        <w:rPr>
          <w:rFonts w:ascii="Times New Roman" w:cs="Times New Roman" w:eastAsia="Times New Roman" w:hAnsi="Times New Roman"/>
          <w:color w:val="000000"/>
          <w:sz w:val="20"/>
          <w:szCs w:val="20"/>
          <w:vertAlign w:val="superscript"/>
        </w:rPr>
        <w:t xml:space="preserve">[10]</w:t>
      </w:r>
    </w:p>
    <w:p>
      <w:pPr>
        <w:spacing w:after="60" w:line="360"/>
        <w:ind w:firstLine="48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We develop a Bayesian change point detection mechanism combining F-test and T-test statistics for automatic task boundary identification, eliminating the need for manual segmentation of non-stationary data streams.</w:t>
      </w:r>
      <w:r>
        <w:rPr>
          <w:rFonts w:ascii="Times New Roman" w:cs="Times New Roman" w:eastAsia="Times New Roman" w:hAnsi="Times New Roman"/>
          <w:color w:val="000000"/>
          <w:sz w:val="20"/>
          <w:szCs w:val="20"/>
          <w:vertAlign w:val="superscript"/>
        </w:rPr>
        <w:t xml:space="preserve">[11]</w:t>
      </w:r>
    </w:p>
    <w:p>
      <w:pPr>
        <w:spacing w:after="60" w:line="360"/>
        <w:ind w:firstLine="48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We provide the most comprehensive benchmark evaluation of continual learning methods for smart grid applications to date, encompassing synthetic datasets, IEEE 30-bus and 118-bus systems, with rigorous statistical analysis across ten random seeds.</w:t>
      </w:r>
    </w:p>
    <w:p>
      <w:pPr>
        <w:pStyle w:val="Heading2"/>
        <w:spacing w:after="180" w:before="360" w:line="360"/>
      </w:pPr>
      <w:bookmarkStart w:id="100006" w:name="_Toc100006"/>
      <w:r>
        <w:rPr>
          <w:rFonts w:ascii="Times New Roman" w:cs="Times New Roman" w:eastAsia="Times New Roman" w:hAnsi="Times New Roman"/>
          <w:b/>
          <w:bCs/>
          <w:color w:val="000000"/>
          <w:sz w:val="28"/>
          <w:szCs w:val="28"/>
        </w:rPr>
        <w:t xml:space="preserve">1.4 Paper Organization</w:t>
      </w:r>
      <w:bookmarkEnd w:id="100006"/>
    </w:p>
    <w:p>
      <w:pPr>
        <w:spacing w:after="60" w:line="360"/>
        <w:ind w:firstLine="480"/>
        <w:jc w:val="both"/>
      </w:pPr>
      <w:r>
        <w:rPr>
          <w:rFonts w:ascii="Times New Roman" w:cs="Times New Roman" w:eastAsia="Times New Roman" w:hAnsi="Times New Roman"/>
          <w:color w:val="000000"/>
          <w:sz w:val="24"/>
          <w:szCs w:val="24"/>
        </w:rPr>
        <w:t xml:space="preserve">The remainder of this paper is organized as follows. Section 2 reviews related work in continual learning, uncertainty quantification, and distribution shift detection. Section 3 presents the proposed methodology, including the EWC-IXER algorithm, metacognitive monitoring framework, and Bayesian change point detection mechanism. Section 4 describes the experimental setup, including datasets, baselines, hyperparameters, and evaluation metrics. Section 5 presents the main experimental results. Section 6 provides ablation studies analyzing individual component contributions. Section 7 examines computational efficiency. Section 8 investigates model explainability through feature importance and drift analysis. Section 9 discusses key findings, limitations, and practical implications. Section 10 concludes with a summary and directions for future work.</w:t>
      </w:r>
    </w:p>
    <w:p>
      <w:pPr>
        <w:pStyle w:val="Heading1"/>
        <w:spacing w:after="240" w:before="480" w:line="360"/>
        <w:jc w:val="center"/>
      </w:pPr>
      <w:bookmarkStart w:id="100007" w:name="_Toc100007"/>
      <w:r>
        <w:rPr>
          <w:rFonts w:ascii="Times New Roman" w:cs="Times New Roman" w:eastAsia="Times New Roman" w:hAnsi="Times New Roman"/>
          <w:b/>
          <w:bCs/>
          <w:color w:val="000000"/>
          <w:sz w:val="32"/>
          <w:szCs w:val="32"/>
        </w:rPr>
        <w:t xml:space="preserve">2. Related Work</w:t>
      </w:r>
      <w:bookmarkEnd w:id="100007"/>
    </w:p>
    <w:p>
      <w:pPr>
        <w:pStyle w:val="Heading2"/>
        <w:spacing w:after="180" w:before="360" w:line="360"/>
      </w:pPr>
      <w:bookmarkStart w:id="100008" w:name="_Toc100008"/>
      <w:r>
        <w:rPr>
          <w:rFonts w:ascii="Times New Roman" w:cs="Times New Roman" w:eastAsia="Times New Roman" w:hAnsi="Times New Roman"/>
          <w:b/>
          <w:bCs/>
          <w:color w:val="000000"/>
          <w:sz w:val="28"/>
          <w:szCs w:val="28"/>
        </w:rPr>
        <w:t xml:space="preserve">2.1 Continual Learning Methods</w:t>
      </w:r>
      <w:bookmarkEnd w:id="100008"/>
    </w:p>
    <w:p>
      <w:pPr>
        <w:spacing w:after="60" w:line="360"/>
        <w:ind w:firstLine="480"/>
        <w:jc w:val="both"/>
      </w:pPr>
      <w:r>
        <w:rPr>
          <w:rFonts w:ascii="Times New Roman" w:cs="Times New Roman" w:eastAsia="Times New Roman" w:hAnsi="Times New Roman"/>
          <w:color w:val="000000"/>
          <w:sz w:val="24"/>
          <w:szCs w:val="24"/>
        </w:rPr>
        <w:t xml:space="preserve">Continual learning aims to enable neural networks to learn from sequential data streams without catastrophically forgetting previously acquired knowledge.</w:t>
      </w:r>
      <w:r>
        <w:rPr>
          <w:rFonts w:ascii="Times New Roman" w:cs="Times New Roman" w:eastAsia="Times New Roman" w:hAnsi="Times New Roman"/>
          <w:color w:val="000000"/>
          <w:sz w:val="20"/>
          <w:szCs w:val="20"/>
          <w:vertAlign w:val="superscript"/>
        </w:rPr>
        <w:t xml:space="preserve">[19]</w:t>
      </w:r>
      <w:r>
        <w:rPr>
          <w:rFonts w:ascii="Times New Roman" w:cs="Times New Roman" w:eastAsia="Times New Roman" w:hAnsi="Times New Roman"/>
          <w:color w:val="000000"/>
          <w:sz w:val="24"/>
          <w:szCs w:val="24"/>
        </w:rPr>
        <w:t xml:space="preserve"> The field has produced three principal families of approaches: regularization-based methods, replay-based methods, and architecture-based methods. Elastic Weight Consolidation (EWC), introduced by Kirkpatrick et al.,</w:t>
      </w:r>
      <w:r>
        <w:rPr>
          <w:rFonts w:ascii="Times New Roman" w:cs="Times New Roman" w:eastAsia="Times New Roman" w:hAnsi="Times New Roman"/>
          <w:color w:val="000000"/>
          <w:sz w:val="20"/>
          <w:szCs w:val="20"/>
          <w:vertAlign w:val="superscript"/>
        </w:rPr>
        <w:t xml:space="preserve">[1]</w:t>
      </w:r>
      <w:r>
        <w:rPr>
          <w:rFonts w:ascii="Times New Roman" w:cs="Times New Roman" w:eastAsia="Times New Roman" w:hAnsi="Times New Roman"/>
          <w:color w:val="000000"/>
          <w:sz w:val="24"/>
          <w:szCs w:val="24"/>
        </w:rPr>
        <w:t xml:space="preserve"> constrains parameter updates during new task learning using the Fisher Information Matrix to estimate parameter importance. Synaptic Intelligence (SI) by Zenke et al.</w:t>
      </w:r>
      <w:r>
        <w:rPr>
          <w:rFonts w:ascii="Times New Roman" w:cs="Times New Roman" w:eastAsia="Times New Roman" w:hAnsi="Times New Roman"/>
          <w:color w:val="000000"/>
          <w:sz w:val="20"/>
          <w:szCs w:val="20"/>
          <w:vertAlign w:val="superscript"/>
        </w:rPr>
        <w:t xml:space="preserve">[2]</w:t>
      </w:r>
      <w:r>
        <w:rPr>
          <w:rFonts w:ascii="Times New Roman" w:cs="Times New Roman" w:eastAsia="Times New Roman" w:hAnsi="Times New Roman"/>
          <w:color w:val="000000"/>
          <w:sz w:val="24"/>
          <w:szCs w:val="24"/>
        </w:rPr>
        <w:t xml:space="preserve"> refines this by computing online path integrals of parameter contributions to loss reduction. The iCaRL framework</w:t>
      </w:r>
      <w:r>
        <w:rPr>
          <w:rFonts w:ascii="Times New Roman" w:cs="Times New Roman" w:eastAsia="Times New Roman" w:hAnsi="Times New Roman"/>
          <w:color w:val="000000"/>
          <w:sz w:val="20"/>
          <w:szCs w:val="20"/>
          <w:vertAlign w:val="superscript"/>
        </w:rPr>
        <w:t xml:space="preserve">[3]</w:t>
      </w:r>
      <w:r>
        <w:rPr>
          <w:rFonts w:ascii="Times New Roman" w:cs="Times New Roman" w:eastAsia="Times New Roman" w:hAnsi="Times New Roman"/>
          <w:color w:val="000000"/>
          <w:sz w:val="24"/>
          <w:szCs w:val="24"/>
        </w:rPr>
        <w:t xml:space="preserve"> combines nearest-mean-of-exemplars classification with herding-based exemplar selection for class-incremental scenarios.</w:t>
      </w:r>
    </w:p>
    <w:p>
      <w:pPr>
        <w:spacing w:after="60" w:line="360"/>
        <w:ind w:firstLine="480"/>
        <w:jc w:val="both"/>
      </w:pPr>
      <w:r>
        <w:rPr>
          <w:rFonts w:ascii="Times New Roman" w:cs="Times New Roman" w:eastAsia="Times New Roman" w:hAnsi="Times New Roman"/>
          <w:color w:val="000000"/>
          <w:sz w:val="24"/>
          <w:szCs w:val="24"/>
        </w:rPr>
        <w:t xml:space="preserve">Replay-based methods maintain a buffer of past experiences to interleave with new data during training. Gradient Episodic Memory (GEM)</w:t>
      </w:r>
      <w:r>
        <w:rPr>
          <w:rFonts w:ascii="Times New Roman" w:cs="Times New Roman" w:eastAsia="Times New Roman" w:hAnsi="Times New Roman"/>
          <w:color w:val="000000"/>
          <w:sz w:val="20"/>
          <w:szCs w:val="20"/>
          <w:vertAlign w:val="superscript"/>
        </w:rPr>
        <w:t xml:space="preserve">[4]</w:t>
      </w:r>
      <w:r>
        <w:rPr>
          <w:rFonts w:ascii="Times New Roman" w:cs="Times New Roman" w:eastAsia="Times New Roman" w:hAnsi="Times New Roman"/>
          <w:color w:val="000000"/>
          <w:sz w:val="24"/>
          <w:szCs w:val="24"/>
        </w:rPr>
        <w:t xml:space="preserve"> projects gradient updates onto the feasible set defined by constraints on losses for previous tasks. More recent approaches incorporate intelligent selection strategies for replay buffer management.</w:t>
      </w:r>
      <w:r>
        <w:rPr>
          <w:rFonts w:ascii="Times New Roman" w:cs="Times New Roman" w:eastAsia="Times New Roman" w:hAnsi="Times New Roman"/>
          <w:color w:val="000000"/>
          <w:sz w:val="20"/>
          <w:szCs w:val="20"/>
          <w:vertAlign w:val="superscript"/>
        </w:rPr>
        <w:t xml:space="preserve">[37]</w:t>
      </w:r>
      <w:r>
        <w:rPr>
          <w:rFonts w:ascii="Times New Roman" w:cs="Times New Roman" w:eastAsia="Times New Roman" w:hAnsi="Times New Roman"/>
          <w:color w:val="000000"/>
          <w:sz w:val="24"/>
          <w:szCs w:val="24"/>
        </w:rPr>
        <w:t xml:space="preserve"> Architecture-based methods dynamically allocate capacity for new tasks. Progressive Neural Networks</w:t>
      </w:r>
      <w:r>
        <w:rPr>
          <w:rFonts w:ascii="Times New Roman" w:cs="Times New Roman" w:eastAsia="Times New Roman" w:hAnsi="Times New Roman"/>
          <w:color w:val="000000"/>
          <w:sz w:val="20"/>
          <w:szCs w:val="20"/>
          <w:vertAlign w:val="superscript"/>
        </w:rPr>
        <w:t xml:space="preserve">[5]</w:t>
      </w:r>
      <w:r>
        <w:rPr>
          <w:rFonts w:ascii="Times New Roman" w:cs="Times New Roman" w:eastAsia="Times New Roman" w:hAnsi="Times New Roman"/>
          <w:color w:val="000000"/>
          <w:sz w:val="24"/>
          <w:szCs w:val="24"/>
        </w:rPr>
        <w:t xml:space="preserve"> grow lateral connections between frozen column networks, while PackNet</w:t>
      </w:r>
      <w:r>
        <w:rPr>
          <w:rFonts w:ascii="Times New Roman" w:cs="Times New Roman" w:eastAsia="Times New Roman" w:hAnsi="Times New Roman"/>
          <w:color w:val="000000"/>
          <w:sz w:val="20"/>
          <w:szCs w:val="20"/>
          <w:vertAlign w:val="superscript"/>
        </w:rPr>
        <w:t xml:space="preserve">[6]</w:t>
      </w:r>
      <w:r>
        <w:rPr>
          <w:rFonts w:ascii="Times New Roman" w:cs="Times New Roman" w:eastAsia="Times New Roman" w:hAnsi="Times New Roman"/>
          <w:color w:val="000000"/>
          <w:sz w:val="24"/>
          <w:szCs w:val="24"/>
        </w:rPr>
        <w:t xml:space="preserve"> iteratively prunes and reassigns parameters for sequential task learning. Model-Agnostic Meta-Learning (MAML)</w:t>
      </w:r>
      <w:r>
        <w:rPr>
          <w:rFonts w:ascii="Times New Roman" w:cs="Times New Roman" w:eastAsia="Times New Roman" w:hAnsi="Times New Roman"/>
          <w:color w:val="000000"/>
          <w:sz w:val="20"/>
          <w:szCs w:val="20"/>
          <w:vertAlign w:val="superscript"/>
        </w:rPr>
        <w:t xml:space="preserve">[7]</w:t>
      </w:r>
      <w:r>
        <w:rPr>
          <w:rFonts w:ascii="Times New Roman" w:cs="Times New Roman" w:eastAsia="Times New Roman" w:hAnsi="Times New Roman"/>
          <w:color w:val="000000"/>
          <w:sz w:val="24"/>
          <w:szCs w:val="24"/>
        </w:rPr>
        <w:t xml:space="preserve"> enables rapid adaptation to new tasks through learned initialization, offering a complementary perspective on the continual learning challenge.</w:t>
      </w:r>
    </w:p>
    <w:p>
      <w:pPr>
        <w:pStyle w:val="Heading2"/>
        <w:spacing w:after="180" w:before="360" w:line="360"/>
      </w:pPr>
      <w:bookmarkStart w:id="100009" w:name="_Toc100009"/>
      <w:r>
        <w:rPr>
          <w:rFonts w:ascii="Times New Roman" w:cs="Times New Roman" w:eastAsia="Times New Roman" w:hAnsi="Times New Roman"/>
          <w:b/>
          <w:bCs/>
          <w:color w:val="000000"/>
          <w:sz w:val="28"/>
          <w:szCs w:val="28"/>
        </w:rPr>
        <w:t xml:space="preserve">2.2 Continual Learning in Power Systems</w:t>
      </w:r>
      <w:bookmarkEnd w:id="100009"/>
    </w:p>
    <w:p>
      <w:pPr>
        <w:spacing w:after="60" w:line="360"/>
        <w:ind w:firstLine="480"/>
        <w:jc w:val="both"/>
      </w:pPr>
      <w:r>
        <w:rPr>
          <w:rFonts w:ascii="Times New Roman" w:cs="Times New Roman" w:eastAsia="Times New Roman" w:hAnsi="Times New Roman"/>
          <w:color w:val="000000"/>
          <w:sz w:val="24"/>
          <w:szCs w:val="24"/>
        </w:rPr>
        <w:t xml:space="preserve">Despite the maturity of continual learning research in computer vision and natural language processing, its application to power systems remains remarkably limited. A small body of work has explored concept drift adaptation for load forecasting,</w:t>
      </w:r>
      <w:r>
        <w:rPr>
          <w:rFonts w:ascii="Times New Roman" w:cs="Times New Roman" w:eastAsia="Times New Roman" w:hAnsi="Times New Roman"/>
          <w:color w:val="000000"/>
          <w:sz w:val="20"/>
          <w:szCs w:val="20"/>
          <w:vertAlign w:val="superscript"/>
        </w:rPr>
        <w:t xml:space="preserve">[30]</w:t>
      </w:r>
      <w:r>
        <w:rPr>
          <w:rFonts w:ascii="Times New Roman" w:cs="Times New Roman" w:eastAsia="Times New Roman" w:hAnsi="Times New Roman"/>
          <w:color w:val="000000"/>
          <w:sz w:val="24"/>
          <w:szCs w:val="24"/>
        </w:rPr>
        <w:t xml:space="preserve"> typically employing window-based retraining or ensemble methods that lack principled mechanisms for knowledge retention. Recent studies have begun investigating online learning approaches for power system anomaly detection</w:t>
      </w:r>
      <w:r>
        <w:rPr>
          <w:rFonts w:ascii="Times New Roman" w:cs="Times New Roman" w:eastAsia="Times New Roman" w:hAnsi="Times New Roman"/>
          <w:color w:val="000000"/>
          <w:sz w:val="20"/>
          <w:szCs w:val="20"/>
          <w:vertAlign w:val="superscript"/>
        </w:rPr>
        <w:t xml:space="preserve">[46]</w:t>
      </w:r>
      <w:r>
        <w:rPr>
          <w:rFonts w:ascii="Times New Roman" w:cs="Times New Roman" w:eastAsia="Times New Roman" w:hAnsi="Times New Roman"/>
          <w:color w:val="000000"/>
          <w:sz w:val="24"/>
          <w:szCs w:val="24"/>
        </w:rPr>
        <w:t xml:space="preserve"> and time series prediction,</w:t>
      </w:r>
      <w:r>
        <w:rPr>
          <w:rFonts w:ascii="Times New Roman" w:cs="Times New Roman" w:eastAsia="Times New Roman" w:hAnsi="Times New Roman"/>
          <w:color w:val="000000"/>
          <w:sz w:val="20"/>
          <w:szCs w:val="20"/>
          <w:vertAlign w:val="superscript"/>
        </w:rPr>
        <w:t xml:space="preserve">[47]</w:t>
      </w:r>
      <w:r>
        <w:rPr>
          <w:rFonts w:ascii="Times New Roman" w:cs="Times New Roman" w:eastAsia="Times New Roman" w:hAnsi="Times New Roman"/>
          <w:color w:val="000000"/>
          <w:sz w:val="24"/>
          <w:szCs w:val="24"/>
        </w:rPr>
        <w:t xml:space="preserve"> but these approaches do not address the full spectrum of challenges posed by continual learning in safety-critical, physically-constrained environments. Notably, none of the existing works integrate uncertainty-aware adaptation with systematic forgetting prevention, which we argue is essential for reliable smart grid applications.</w:t>
      </w:r>
    </w:p>
    <w:p>
      <w:pPr>
        <w:pStyle w:val="Heading2"/>
        <w:spacing w:after="180" w:before="360" w:line="360"/>
      </w:pPr>
      <w:bookmarkStart w:id="100010" w:name="_Toc100010"/>
      <w:r>
        <w:rPr>
          <w:rFonts w:ascii="Times New Roman" w:cs="Times New Roman" w:eastAsia="Times New Roman" w:hAnsi="Times New Roman"/>
          <w:b/>
          <w:bCs/>
          <w:color w:val="000000"/>
          <w:sz w:val="28"/>
          <w:szCs w:val="28"/>
        </w:rPr>
        <w:t xml:space="preserve">2.3 Uncertainty Quantification</w:t>
      </w:r>
      <w:bookmarkEnd w:id="100010"/>
    </w:p>
    <w:p>
      <w:pPr>
        <w:spacing w:after="60" w:line="360"/>
        <w:ind w:firstLine="480"/>
        <w:jc w:val="both"/>
      </w:pPr>
      <w:r>
        <w:rPr>
          <w:rFonts w:ascii="Times New Roman" w:cs="Times New Roman" w:eastAsia="Times New Roman" w:hAnsi="Times New Roman"/>
          <w:color w:val="000000"/>
          <w:sz w:val="24"/>
          <w:szCs w:val="24"/>
        </w:rPr>
        <w:t xml:space="preserve">Uncertainty quantification is critical for deploying machine learning models in safety-critical domains where prediction confidence directly impacts operational decisions. Conformal prediction,</w:t>
      </w:r>
      <w:r>
        <w:rPr>
          <w:rFonts w:ascii="Times New Roman" w:cs="Times New Roman" w:eastAsia="Times New Roman" w:hAnsi="Times New Roman"/>
          <w:color w:val="000000"/>
          <w:sz w:val="20"/>
          <w:szCs w:val="20"/>
          <w:vertAlign w:val="superscript"/>
        </w:rPr>
        <w:t xml:space="preserve">[8]</w:t>
      </w:r>
      <w:r>
        <w:rPr>
          <w:rFonts w:ascii="Times New Roman" w:cs="Times New Roman" w:eastAsia="Times New Roman" w:hAnsi="Times New Roman"/>
          <w:color w:val="000000"/>
          <w:sz w:val="24"/>
          <w:szCs w:val="24"/>
        </w:rPr>
        <w:t xml:space="preserve"> provides distribution-free, finite-sample coverage guarantees for prediction intervals without requiring distributional assumptions. Adaptive conformal inference</w:t>
      </w:r>
      <w:r>
        <w:rPr>
          <w:rFonts w:ascii="Times New Roman" w:cs="Times New Roman" w:eastAsia="Times New Roman" w:hAnsi="Times New Roman"/>
          <w:color w:val="000000"/>
          <w:sz w:val="20"/>
          <w:szCs w:val="20"/>
          <w:vertAlign w:val="superscript"/>
        </w:rPr>
        <w:t xml:space="preserve">[10]</w:t>
      </w:r>
      <w:r>
        <w:rPr>
          <w:rFonts w:ascii="Times New Roman" w:cs="Times New Roman" w:eastAsia="Times New Roman" w:hAnsi="Times New Roman"/>
          <w:color w:val="000000"/>
          <w:sz w:val="24"/>
          <w:szCs w:val="24"/>
        </w:rPr>
        <w:t xml:space="preserve"> extends this framework to handle distribution shifts by dynamically adjusting coverage levels based on recent prediction performance. Bayesian deep learning approaches, including Monte Carlo dropout</w:t>
      </w:r>
      <w:r>
        <w:rPr>
          <w:rFonts w:ascii="Times New Roman" w:cs="Times New Roman" w:eastAsia="Times New Roman" w:hAnsi="Times New Roman"/>
          <w:color w:val="000000"/>
          <w:sz w:val="20"/>
          <w:szCs w:val="20"/>
          <w:vertAlign w:val="superscript"/>
        </w:rPr>
        <w:t xml:space="preserve">[26]</w:t>
      </w:r>
      <w:r>
        <w:rPr>
          <w:rFonts w:ascii="Times New Roman" w:cs="Times New Roman" w:eastAsia="Times New Roman" w:hAnsi="Times New Roman"/>
          <w:color w:val="000000"/>
          <w:sz w:val="24"/>
          <w:szCs w:val="24"/>
        </w:rPr>
        <w:t xml:space="preserve"> and variational inference,</w:t>
      </w:r>
      <w:r>
        <w:rPr>
          <w:rFonts w:ascii="Times New Roman" w:cs="Times New Roman" w:eastAsia="Times New Roman" w:hAnsi="Times New Roman"/>
          <w:color w:val="000000"/>
          <w:sz w:val="20"/>
          <w:szCs w:val="20"/>
          <w:vertAlign w:val="superscript"/>
        </w:rPr>
        <w:t xml:space="preserve">[36]</w:t>
      </w:r>
      <w:r>
        <w:rPr>
          <w:rFonts w:ascii="Times New Roman" w:cs="Times New Roman" w:eastAsia="Times New Roman" w:hAnsi="Times New Roman"/>
          <w:color w:val="000000"/>
          <w:sz w:val="24"/>
          <w:szCs w:val="24"/>
        </w:rPr>
        <w:t xml:space="preserve"> decompose predictive uncertainty into epistemic (model) and aleatoric (data) components, enabling more nuanced decision-making. In power systems, uncertainty-aware predictions are essential for risk-sensitive dispatch optimization and capacity planning.</w:t>
      </w:r>
      <w:r>
        <w:rPr>
          <w:rFonts w:ascii="Times New Roman" w:cs="Times New Roman" w:eastAsia="Times New Roman" w:hAnsi="Times New Roman"/>
          <w:color w:val="000000"/>
          <w:sz w:val="20"/>
          <w:szCs w:val="20"/>
          <w:vertAlign w:val="superscript"/>
        </w:rPr>
        <w:t xml:space="preserve">[25]</w:t>
      </w:r>
    </w:p>
    <w:p>
      <w:pPr>
        <w:pStyle w:val="Heading2"/>
        <w:spacing w:after="180" w:before="360" w:line="360"/>
      </w:pPr>
      <w:bookmarkStart w:id="100011" w:name="_Toc100011"/>
      <w:r>
        <w:rPr>
          <w:rFonts w:ascii="Times New Roman" w:cs="Times New Roman" w:eastAsia="Times New Roman" w:hAnsi="Times New Roman"/>
          <w:b/>
          <w:bCs/>
          <w:color w:val="000000"/>
          <w:sz w:val="28"/>
          <w:szCs w:val="28"/>
        </w:rPr>
        <w:t xml:space="preserve">2.4 Distribution Shift Detection</w:t>
      </w:r>
      <w:bookmarkEnd w:id="100011"/>
    </w:p>
    <w:p>
      <w:pPr>
        <w:spacing w:after="60" w:line="360"/>
        <w:ind w:firstLine="480"/>
        <w:jc w:val="both"/>
      </w:pPr>
      <w:r>
        <w:rPr>
          <w:rFonts w:ascii="Times New Roman" w:cs="Times New Roman" w:eastAsia="Times New Roman" w:hAnsi="Times New Roman"/>
          <w:color w:val="000000"/>
          <w:sz w:val="24"/>
          <w:szCs w:val="24"/>
        </w:rPr>
        <w:t xml:space="preserve">Detecting distribution shifts in data streams is a fundamental requirement for triggering adaptation in continual learning systems. Bayesian online changepoint detection,</w:t>
      </w:r>
      <w:r>
        <w:rPr>
          <w:rFonts w:ascii="Times New Roman" w:cs="Times New Roman" w:eastAsia="Times New Roman" w:hAnsi="Times New Roman"/>
          <w:color w:val="000000"/>
          <w:sz w:val="20"/>
          <w:szCs w:val="20"/>
          <w:vertAlign w:val="superscript"/>
        </w:rPr>
        <w:t xml:space="preserve">[11]</w:t>
      </w:r>
      <w:r>
        <w:rPr>
          <w:rFonts w:ascii="Times New Roman" w:cs="Times New Roman" w:eastAsia="Times New Roman" w:hAnsi="Times New Roman"/>
          <w:color w:val="000000"/>
          <w:sz w:val="24"/>
          <w:szCs w:val="24"/>
        </w:rPr>
        <w:t xml:space="preserve"> provides a probabilistic framework for identifying abrupt changes in data generating processes by computing run-length posterior probabilities. The Drift Detection Method (DDM)</w:t>
      </w:r>
      <w:r>
        <w:rPr>
          <w:rFonts w:ascii="Times New Roman" w:cs="Times New Roman" w:eastAsia="Times New Roman" w:hAnsi="Times New Roman"/>
          <w:color w:val="000000"/>
          <w:sz w:val="20"/>
          <w:szCs w:val="20"/>
          <w:vertAlign w:val="superscript"/>
        </w:rPr>
        <w:t xml:space="preserve">[12]</w:t>
      </w:r>
      <w:r>
        <w:rPr>
          <w:rFonts w:ascii="Times New Roman" w:cs="Times New Roman" w:eastAsia="Times New Roman" w:hAnsi="Times New Roman"/>
          <w:color w:val="000000"/>
          <w:sz w:val="24"/>
          <w:szCs w:val="24"/>
        </w:rPr>
        <w:t xml:space="preserve"> monitors error rates to signal drift when predefined thresholds are exceeded, while EDDM</w:t>
      </w:r>
      <w:r>
        <w:rPr>
          <w:rFonts w:ascii="Times New Roman" w:cs="Times New Roman" w:eastAsia="Times New Roman" w:hAnsi="Times New Roman"/>
          <w:color w:val="000000"/>
          <w:sz w:val="20"/>
          <w:szCs w:val="20"/>
          <w:vertAlign w:val="superscript"/>
        </w:rPr>
        <w:t xml:space="preserve">[13]</w:t>
      </w:r>
      <w:r>
        <w:rPr>
          <w:rFonts w:ascii="Times New Roman" w:cs="Times New Roman" w:eastAsia="Times New Roman" w:hAnsi="Times New Roman"/>
          <w:color w:val="000000"/>
          <w:sz w:val="24"/>
          <w:szCs w:val="24"/>
        </w:rPr>
        <w:t xml:space="preserve"> improves detection sensitivity by tracking the distance between classification errors. For power system applications, the challenge lies in detecting gradual seasonal shifts that span extended temporal windows, requiring methods that balance sensitivity with specificity to avoid triggering unnecessary retraining cycles.</w:t>
      </w:r>
      <w:r>
        <w:rPr>
          <w:rFonts w:ascii="Times New Roman" w:cs="Times New Roman" w:eastAsia="Times New Roman" w:hAnsi="Times New Roman"/>
          <w:color w:val="000000"/>
          <w:sz w:val="20"/>
          <w:szCs w:val="20"/>
          <w:vertAlign w:val="superscript"/>
        </w:rPr>
        <w:t xml:space="preserve">[50]</w:t>
      </w:r>
    </w:p>
    <w:p>
      <w:pPr>
        <w:pStyle w:val="Heading2"/>
        <w:spacing w:after="180" w:before="360" w:line="360"/>
      </w:pPr>
      <w:bookmarkStart w:id="100012" w:name="_Toc100012"/>
      <w:r>
        <w:rPr>
          <w:rFonts w:ascii="Times New Roman" w:cs="Times New Roman" w:eastAsia="Times New Roman" w:hAnsi="Times New Roman"/>
          <w:b/>
          <w:bCs/>
          <w:color w:val="000000"/>
          <w:sz w:val="28"/>
          <w:szCs w:val="28"/>
        </w:rPr>
        <w:t xml:space="preserve">2.5 Positioning</w:t>
      </w:r>
      <w:bookmarkEnd w:id="100012"/>
    </w:p>
    <w:p>
      <w:pPr>
        <w:spacing w:after="60" w:line="360"/>
        <w:ind w:firstLine="480"/>
        <w:jc w:val="both"/>
      </w:pPr>
      <w:r>
        <w:rPr>
          <w:rFonts w:ascii="Times New Roman" w:cs="Times New Roman" w:eastAsia="Times New Roman" w:hAnsi="Times New Roman"/>
          <w:color w:val="000000"/>
          <w:sz w:val="24"/>
          <w:szCs w:val="24"/>
        </w:rPr>
        <w:t xml:space="preserve">Table 1 positions our approach relative to existing continual learning methods across key capabilities relevant to smart grid applications.</w:t>
      </w:r>
    </w:p>
    <w:p>
      <w:pPr>
        <w:spacing w:after="80" w:before="200"/>
        <w:jc w:val="center"/>
      </w:pPr>
      <w:r>
        <w:rPr>
          <w:rFonts w:ascii="Times New Roman" w:cs="Times New Roman" w:eastAsia="Times New Roman" w:hAnsi="Times New Roman"/>
          <w:b/>
          <w:bCs/>
          <w:color w:val="000000"/>
          <w:sz w:val="21"/>
          <w:szCs w:val="21"/>
        </w:rPr>
        <w:t xml:space="preserve">Table 1: Positioning of EWC-IXER Relative to Existing Continual Learning Methods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Method</w:t>
            </w:r>
          </w:p>
        </w:tc>
        <w:tc>
          <w:tcPr>
            <w:tcW w:type="dxa" w:w="18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Forgetting Prevention</w:t>
            </w:r>
          </w:p>
        </w:tc>
        <w:tc>
          <w:tcPr>
            <w:tcW w:type="dxa" w:w="16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Uncertainty</w:t>
            </w:r>
          </w:p>
        </w:tc>
        <w:tc>
          <w:tcPr>
            <w:tcW w:type="dxa" w:w="17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Discovery</w:t>
            </w:r>
          </w:p>
        </w:tc>
        <w:tc>
          <w:tcPr>
            <w:tcW w:type="dxa" w:w="14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Grid-Specific</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Naive Fine-Tuning</w:t>
            </w:r>
          </w:p>
        </w:tc>
        <w:tc>
          <w:tcPr>
            <w:tcW w:type="dxa" w:w="18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 [1]</w:t>
            </w:r>
          </w:p>
        </w:tc>
        <w:tc>
          <w:tcPr>
            <w:tcW w:type="dxa" w:w="18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Experience Replay [34]</w:t>
            </w:r>
          </w:p>
        </w:tc>
        <w:tc>
          <w:tcPr>
            <w:tcW w:type="dxa" w:w="18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PackNet [6]</w:t>
            </w:r>
          </w:p>
        </w:tc>
        <w:tc>
          <w:tcPr>
            <w:tcW w:type="dxa" w:w="18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Progressive NN [5]</w:t>
            </w:r>
          </w:p>
        </w:tc>
        <w:tc>
          <w:tcPr>
            <w:tcW w:type="dxa" w:w="18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EWC-IXER (Ours)</w:t>
            </w:r>
          </w:p>
        </w:tc>
        <w:tc>
          <w:tcPr>
            <w:tcW w:type="dxa" w:w="18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4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bl>
    <w:p>
      <w:pPr>
        <w:spacing w:after="60" w:line="360"/>
        <w:ind w:firstLine="480"/>
        <w:jc w:val="both"/>
      </w:pPr>
      <w:r>
        <w:rPr>
          <w:rFonts w:ascii="Times New Roman" w:cs="Times New Roman" w:eastAsia="Times New Roman" w:hAnsi="Times New Roman"/>
          <w:color w:val="000000"/>
          <w:sz w:val="24"/>
          <w:szCs w:val="24"/>
        </w:rPr>
        <w:t xml:space="preserve">As shown in Table 1, EWC-IXER is the only method that simultaneously addresses forgetting prevention, uncertainty quantification, automatic task discovery, and grid-specific requirements, representing a comprehensive solution for non-stationary smart grid learning.</w:t>
      </w:r>
    </w:p>
    <w:p>
      <w:pPr>
        <w:pStyle w:val="Heading1"/>
        <w:spacing w:after="240" w:before="480" w:line="360"/>
        <w:jc w:val="center"/>
      </w:pPr>
      <w:bookmarkStart w:id="100013" w:name="_Toc100013"/>
      <w:r>
        <w:rPr>
          <w:rFonts w:ascii="Times New Roman" w:cs="Times New Roman" w:eastAsia="Times New Roman" w:hAnsi="Times New Roman"/>
          <w:b/>
          <w:bCs/>
          <w:color w:val="000000"/>
          <w:sz w:val="32"/>
          <w:szCs w:val="32"/>
        </w:rPr>
        <w:t xml:space="preserve">3. Methodology</w:t>
      </w:r>
      <w:bookmarkEnd w:id="100013"/>
    </w:p>
    <w:p>
      <w:pPr>
        <w:pStyle w:val="Heading2"/>
        <w:spacing w:after="180" w:before="360" w:line="360"/>
      </w:pPr>
      <w:bookmarkStart w:id="100014" w:name="_Toc100014"/>
      <w:r>
        <w:rPr>
          <w:rFonts w:ascii="Times New Roman" w:cs="Times New Roman" w:eastAsia="Times New Roman" w:hAnsi="Times New Roman"/>
          <w:b/>
          <w:bCs/>
          <w:color w:val="000000"/>
          <w:sz w:val="28"/>
          <w:szCs w:val="28"/>
        </w:rPr>
        <w:t xml:space="preserve">3.1 Problem Formulation</w:t>
      </w:r>
      <w:bookmarkEnd w:id="100014"/>
    </w:p>
    <w:p>
      <w:pPr>
        <w:spacing w:after="60" w:line="360"/>
        <w:ind w:firstLine="480"/>
        <w:jc w:val="both"/>
      </w:pPr>
      <w:r>
        <w:rPr>
          <w:rFonts w:ascii="Times New Roman" w:cs="Times New Roman" w:eastAsia="Times New Roman" w:hAnsi="Times New Roman"/>
          <w:color w:val="000000"/>
          <w:sz w:val="24"/>
          <w:szCs w:val="24"/>
        </w:rPr>
        <w:t xml:space="preserve">We formalize continual learning for smart grid prediction as a sequential task learning problem. The system operates on a data stream that arrives in a task sequence T = {T</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T</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where each task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corresponds to a distinct seasonal or operational regime characterized by a specific data distribution D</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Each task provides a training dataset S</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 {(x</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y</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drawn i.i.d. from D</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The objective is to learn a parameterized model f(θ) that minimizes the cumulative loss across all tasks while maintaining predictive performance on previously encountered data distributions.</w:t>
      </w:r>
    </w:p>
    <w:p>
      <w:pPr>
        <w:pStyle w:val="Heading2"/>
        <w:spacing w:after="180" w:before="360" w:line="360"/>
      </w:pPr>
      <w:bookmarkStart w:id="100015" w:name="_Toc100015"/>
      <w:r>
        <w:rPr>
          <w:rFonts w:ascii="Times New Roman" w:cs="Times New Roman" w:eastAsia="Times New Roman" w:hAnsi="Times New Roman"/>
          <w:b/>
          <w:bCs/>
          <w:color w:val="000000"/>
          <w:sz w:val="28"/>
          <w:szCs w:val="28"/>
        </w:rPr>
        <w:t xml:space="preserve">3.2 Architecture</w:t>
      </w:r>
      <w:bookmarkEnd w:id="100015"/>
    </w:p>
    <w:p>
      <w:pPr>
        <w:spacing w:after="60" w:line="360"/>
        <w:ind w:firstLine="480"/>
        <w:jc w:val="both"/>
      </w:pPr>
      <w:r>
        <w:rPr>
          <w:rFonts w:ascii="Times New Roman" w:cs="Times New Roman" w:eastAsia="Times New Roman" w:hAnsi="Times New Roman"/>
          <w:color w:val="000000"/>
          <w:sz w:val="24"/>
          <w:szCs w:val="24"/>
        </w:rPr>
        <w:t xml:space="preserve">We employ a compact two-layer Multi-Layer Perceptron (MLP) as the base prediction model, chosen for its computational efficiency and suitability for the tabular data prevalent in power system applications. The architecture consists of: Input Layer (5 features corresponding to normalized power system measurements) → Hidden Layer (32 neurons with ReLU activation and 20% dropout for uncertainty estimation) → Output Layer (1 neuron with linear activation for regression prediction). This lightweight architecture yields 225 trainable parameters, ensuring compatibility with real-time deployment constraints in smart grid edge computing environments. Figure 1 illustrates the overall system architecture.</w:t>
      </w:r>
    </w:p>
    <w:p>
      <w:pPr>
        <w:spacing w:after="60" w:before="12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4290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 Overall system architecture of the Metacognitive Continual Learning framework, showing the interplay between the EWC-IXER core, metacognitive monitor, and Bayesian change point detector.</w:t>
      </w:r>
    </w:p>
    <w:p>
      <w:pPr>
        <w:pStyle w:val="Heading2"/>
        <w:spacing w:after="180" w:before="360" w:line="360"/>
      </w:pPr>
      <w:bookmarkStart w:id="100016" w:name="_Toc100016"/>
      <w:r>
        <w:rPr>
          <w:rFonts w:ascii="Times New Roman" w:cs="Times New Roman" w:eastAsia="Times New Roman" w:hAnsi="Times New Roman"/>
          <w:b/>
          <w:bCs/>
          <w:color w:val="000000"/>
          <w:sz w:val="28"/>
          <w:szCs w:val="28"/>
        </w:rPr>
        <w:t xml:space="preserve">3.3 EWC-IXER Algorithm</w:t>
      </w:r>
      <w:bookmarkEnd w:id="100016"/>
    </w:p>
    <w:p>
      <w:pPr>
        <w:spacing w:after="60" w:line="360"/>
        <w:ind w:firstLine="480"/>
        <w:jc w:val="both"/>
      </w:pPr>
      <w:r>
        <w:rPr>
          <w:rFonts w:ascii="Times New Roman" w:cs="Times New Roman" w:eastAsia="Times New Roman" w:hAnsi="Times New Roman"/>
          <w:color w:val="000000"/>
          <w:sz w:val="24"/>
          <w:szCs w:val="24"/>
        </w:rPr>
        <w:t xml:space="preserve">The core of our approach is the EWC-IXER (Elastic Weight Consolidation with Improved Experience Replay) algorithm, which combines three complementary mechanisms for continual learning. The overall training objective for task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is defined as: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L_k(θ) = L_task(θ) + λ ∑ F_i^(j)(θ_i - θ_i*(j))² + β L_replay(θ)</w:t>
      </w:r>
      <w:r>
        <w:rPr>
          <w:rFonts w:ascii="Times New Roman" w:cs="Times New Roman" w:eastAsia="Times New Roman" w:hAnsi="Times New Roman"/>
          <w:color w:val="000000"/>
          <w:sz w:val="24"/>
          <w:szCs w:val="24"/>
        </w:rPr>
        <w:t xml:space="preserve">	(1)</w:t>
      </w:r>
    </w:p>
    <w:p>
      <w:pPr>
        <w:spacing w:after="60" w:line="360"/>
        <w:ind w:firstLine="480"/>
        <w:jc w:val="both"/>
      </w:pPr>
      <w:r>
        <w:rPr>
          <w:rFonts w:ascii="Times New Roman" w:cs="Times New Roman" w:eastAsia="Times New Roman" w:hAnsi="Times New Roman"/>
          <w:color w:val="000000"/>
          <w:sz w:val="24"/>
          <w:szCs w:val="24"/>
        </w:rPr>
        <w:t xml:space="preserve">where L</w:t>
      </w:r>
      <w:r>
        <w:rPr>
          <w:rFonts w:ascii="Times New Roman" w:cs="Times New Roman" w:eastAsia="Times New Roman" w:hAnsi="Times New Roman"/>
          <w:color w:val="000000"/>
          <w:sz w:val="24"/>
          <w:szCs w:val="24"/>
          <w:vertAlign w:val="subscript"/>
        </w:rPr>
        <w:t xml:space="preserve">task</w:t>
      </w:r>
      <w:r>
        <w:rPr>
          <w:rFonts w:ascii="Times New Roman" w:cs="Times New Roman" w:eastAsia="Times New Roman" w:hAnsi="Times New Roman"/>
          <w:color w:val="000000"/>
          <w:sz w:val="24"/>
          <w:szCs w:val="24"/>
        </w:rPr>
        <w:t xml:space="preserve">(θ) is the task-specific loss (mean squared error for regression), λ controls the strength of elastic weight consolidation, F</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0"/>
          <w:szCs w:val="20"/>
          <w:vertAlign w:val="superscript"/>
        </w:rPr>
        <w:t xml:space="preserve">(j)</w:t>
      </w:r>
      <w:r>
        <w:rPr>
          <w:rFonts w:ascii="Times New Roman" w:cs="Times New Roman" w:eastAsia="Times New Roman" w:hAnsi="Times New Roman"/>
          <w:color w:val="000000"/>
          <w:sz w:val="24"/>
          <w:szCs w:val="24"/>
        </w:rPr>
        <w:t xml:space="preserve"> denotes the Fisher Information Matrix element for parameter i computed after task j, θ</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0"/>
          <w:szCs w:val="20"/>
          <w:vertAlign w:val="superscript"/>
        </w:rPr>
        <w:t xml:space="preserve">*</w:t>
      </w:r>
      <w:r>
        <w:rPr>
          <w:rFonts w:ascii="Times New Roman" w:cs="Times New Roman" w:eastAsia="Times New Roman" w:hAnsi="Times New Roman"/>
          <w:color w:val="000000"/>
          <w:sz w:val="24"/>
          <w:szCs w:val="24"/>
        </w:rPr>
        <w:t xml:space="preserve">(j)</w:t>
      </w:r>
      <w:r>
        <w:rPr>
          <w:rFonts w:ascii="Times New Roman" w:cs="Times New Roman" w:eastAsia="Times New Roman" w:hAnsi="Times New Roman"/>
          <w:color w:val="000000"/>
          <w:sz w:val="24"/>
          <w:szCs w:val="24"/>
        </w:rPr>
        <w:t xml:space="preserve"> is the optimal parameter value after task j, and β weights the experience replay loss. The Fisher Information Matrix is computed as the diagonal of the expected outer product of the gradient of the log-likelihood:</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F = E_x~D [(∂ log p(y|x,θ)/∂θ)²]</w:t>
      </w:r>
      <w:r>
        <w:rPr>
          <w:rFonts w:ascii="Times New Roman" w:cs="Times New Roman" w:eastAsia="Times New Roman" w:hAnsi="Times New Roman"/>
          <w:color w:val="000000"/>
          <w:sz w:val="24"/>
          <w:szCs w:val="24"/>
        </w:rPr>
        <w:t xml:space="preserve">	(2)</w:t>
      </w:r>
    </w:p>
    <w:p>
      <w:pPr>
        <w:spacing w:after="60" w:line="360"/>
        <w:ind w:firstLine="480"/>
        <w:jc w:val="both"/>
      </w:pPr>
      <w:r>
        <w:rPr>
          <w:rFonts w:ascii="Times New Roman" w:cs="Times New Roman" w:eastAsia="Times New Roman" w:hAnsi="Times New Roman"/>
          <w:color w:val="000000"/>
          <w:sz w:val="24"/>
          <w:szCs w:val="24"/>
        </w:rPr>
        <w:t xml:space="preserve">The Improved Experience Replay component maintains a fixed-size buffer B that stores representative samples from all previously encountered tasks. Unlike naive uniform sampling, our priority sampling strategy assigns higher selection probability to samples associated with tasks where the model exhibits higher prediction error:</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P(x_i) ∝ (e_i)^{α} + ε, where e_i = |y_i - f(θ)(x_i)|</w:t>
      </w:r>
      <w:r>
        <w:rPr>
          <w:rFonts w:ascii="Times New Roman" w:cs="Times New Roman" w:eastAsia="Times New Roman" w:hAnsi="Times New Roman"/>
          <w:color w:val="000000"/>
          <w:sz w:val="24"/>
          <w:szCs w:val="24"/>
        </w:rPr>
        <w:t xml:space="preserve">	(3)</w:t>
      </w:r>
    </w:p>
    <w:p>
      <w:pPr>
        <w:spacing w:after="60" w:line="360"/>
        <w:ind w:firstLine="480"/>
        <w:jc w:val="both"/>
      </w:pPr>
      <w:r>
        <w:rPr>
          <w:rFonts w:ascii="Times New Roman" w:cs="Times New Roman" w:eastAsia="Times New Roman" w:hAnsi="Times New Roman"/>
          <w:color w:val="000000"/>
          <w:sz w:val="24"/>
          <w:szCs w:val="24"/>
        </w:rPr>
        <w:t xml:space="preserve">where α controls the priority exponent and ε prevents zero probabilities. Algorithm 1 presents the complete EWC-IXER training procedure.</w:t>
      </w:r>
    </w:p>
    <w:p>
      <w:pPr>
        <w:spacing w:after="80" w:before="200"/>
        <w:jc w:val="center"/>
      </w:pPr>
      <w:r>
        <w:rPr>
          <w:rFonts w:ascii="Times New Roman" w:cs="Times New Roman" w:eastAsia="Times New Roman" w:hAnsi="Times New Roman"/>
          <w:b/>
          <w:bCs/>
          <w:color w:val="000000"/>
          <w:sz w:val="21"/>
          <w:szCs w:val="21"/>
        </w:rPr>
        <w:t xml:space="preserve">Algorithm 1: EWC-IXER Training Procedure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0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Step</w:t>
            </w:r>
          </w:p>
        </w:tc>
        <w:tc>
          <w:tcPr>
            <w:tcW w:type="dxa" w:w="77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Operation</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Initialize model parameters θ and empty replay buffer B</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2</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for k = 1, ..., K do</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3</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Compute Fisher matrix F^(k) on current task data S_k</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4</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for epoch = 1, ..., E do</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Sample mini-batch from S_k using priority weights</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6</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Sample mini-batch from B using priority sampling (Eq. 3)</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7</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Compute combined loss L_k(θ) per Equation (1)</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8</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Update θ via Adam optimizer</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9</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end for</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Update metacognitive threshold η(k) via conformal calibration</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11</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Select priority samples from S_k and update B</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12</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Store θ*(k) and F^(k) for EWC penalty computation</w:t>
            </w:r>
          </w:p>
        </w:tc>
      </w:tr>
      <w:tr>
        <w:tc>
          <w:tcPr>
            <w:tcW w:type="dxa" w:w="1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13</w:t>
            </w:r>
          </w:p>
        </w:tc>
        <w:tc>
          <w:tcPr>
            <w:tcW w:type="dxa" w:w="7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end for</w:t>
            </w:r>
          </w:p>
        </w:tc>
      </w:tr>
    </w:tbl>
    <w:p>
      <w:pPr>
        <w:pStyle w:val="Heading2"/>
        <w:spacing w:after="180" w:before="360" w:line="360"/>
      </w:pPr>
      <w:bookmarkStart w:id="100017" w:name="_Toc100017"/>
      <w:r>
        <w:rPr>
          <w:rFonts w:ascii="Times New Roman" w:cs="Times New Roman" w:eastAsia="Times New Roman" w:hAnsi="Times New Roman"/>
          <w:b/>
          <w:bCs/>
          <w:color w:val="000000"/>
          <w:sz w:val="28"/>
          <w:szCs w:val="28"/>
        </w:rPr>
        <w:t xml:space="preserve">3.4 Metacognitive Monitoring</w:t>
      </w:r>
      <w:bookmarkEnd w:id="100017"/>
    </w:p>
    <w:p>
      <w:pPr>
        <w:spacing w:after="60" w:line="360"/>
        <w:ind w:firstLine="480"/>
        <w:jc w:val="both"/>
      </w:pPr>
      <w:r>
        <w:rPr>
          <w:rFonts w:ascii="Times New Roman" w:cs="Times New Roman" w:eastAsia="Times New Roman" w:hAnsi="Times New Roman"/>
          <w:color w:val="000000"/>
          <w:sz w:val="24"/>
          <w:szCs w:val="24"/>
        </w:rPr>
        <w:t xml:space="preserve">The metacognitive monitoring module provides the model with awareness of its own predictive reliability through conformal prediction. Given a significance level α, the module constructs prediction intervals [L(x), U(x)] that guarantee marginal coverage: P(y ∈ [L(x), U(x)]) ≥ 1 - α. The module continuously tracks coverage on recent predictions and adapts the metacognitive threshold η(t) according to:</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η(t) = η_0 · (1 + γ · max(0, C_target - C_actual(t)))</w:t>
      </w:r>
      <w:r>
        <w:rPr>
          <w:rFonts w:ascii="Times New Roman" w:cs="Times New Roman" w:eastAsia="Times New Roman" w:hAnsi="Times New Roman"/>
          <w:color w:val="000000"/>
          <w:sz w:val="24"/>
          <w:szCs w:val="24"/>
        </w:rPr>
        <w:t xml:space="preserve">	(4)</w:t>
      </w:r>
    </w:p>
    <w:p>
      <w:pPr>
        <w:spacing w:after="60" w:line="360"/>
        <w:ind w:firstLine="480"/>
        <w:jc w:val="both"/>
      </w:pPr>
      <w:r>
        <w:rPr>
          <w:rFonts w:ascii="Times New Roman" w:cs="Times New Roman" w:eastAsia="Times New Roman" w:hAnsi="Times New Roman"/>
          <w:color w:val="000000"/>
          <w:sz w:val="24"/>
          <w:szCs w:val="24"/>
        </w:rPr>
        <w:t xml:space="preserve">where C</w:t>
      </w:r>
      <w:r>
        <w:rPr>
          <w:rFonts w:ascii="Times New Roman" w:cs="Times New Roman" w:eastAsia="Times New Roman" w:hAnsi="Times New Roman"/>
          <w:color w:val="000000"/>
          <w:sz w:val="24"/>
          <w:szCs w:val="24"/>
          <w:vertAlign w:val="subscript"/>
        </w:rPr>
        <w:t xml:space="preserve">target</w:t>
      </w:r>
      <w:r>
        <w:rPr>
          <w:rFonts w:ascii="Times New Roman" w:cs="Times New Roman" w:eastAsia="Times New Roman" w:hAnsi="Times New Roman"/>
          <w:color w:val="000000"/>
          <w:sz w:val="24"/>
          <w:szCs w:val="24"/>
        </w:rPr>
        <w:t xml:space="preserve"> is the desired coverage rate, C</w:t>
      </w:r>
      <w:r>
        <w:rPr>
          <w:rFonts w:ascii="Times New Roman" w:cs="Times New Roman" w:eastAsia="Times New Roman" w:hAnsi="Times New Roman"/>
          <w:color w:val="000000"/>
          <w:sz w:val="24"/>
          <w:szCs w:val="24"/>
          <w:vertAlign w:val="subscript"/>
        </w:rPr>
        <w:t xml:space="preserve">actual</w:t>
      </w:r>
      <w:r>
        <w:rPr>
          <w:rFonts w:ascii="Times New Roman" w:cs="Times New Roman" w:eastAsia="Times New Roman" w:hAnsi="Times New Roman"/>
          <w:color w:val="000000"/>
          <w:sz w:val="24"/>
          <w:szCs w:val="24"/>
        </w:rPr>
        <w:t xml:space="preserve">(t) is the observed coverage over a recent window, and γ controls the adaptation rate. When coverage drops below the target, η(t) increases, triggering conservative model updates that prioritize stability over plasticity. This adaptive mechanism enables the system to self-regulate its learning behavior in response to changing uncertainty conditions. Figure 2 shows the metacognitive signals during training.</w:t>
      </w:r>
    </w:p>
    <w:p>
      <w:pPr>
        <w:spacing w:after="60" w:before="120"/>
        <w:jc w:val="center"/>
      </w:pPr>
      <w:r>
        <w:drawing>
          <wp:inline distT="0" distB="0" distL="0" distR="0">
            <wp:extent cx="4762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384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6: Metacognitive monitoring signals including coverage tracking, adaptive threshold evolution, and uncertainty calibration across training tasks.</w:t>
      </w:r>
    </w:p>
    <w:p>
      <w:pPr>
        <w:pStyle w:val="Heading2"/>
        <w:spacing w:after="180" w:before="360" w:line="360"/>
      </w:pPr>
      <w:bookmarkStart w:id="100018" w:name="_Toc100018"/>
      <w:r>
        <w:rPr>
          <w:rFonts w:ascii="Times New Roman" w:cs="Times New Roman" w:eastAsia="Times New Roman" w:hAnsi="Times New Roman"/>
          <w:b/>
          <w:bCs/>
          <w:color w:val="000000"/>
          <w:sz w:val="28"/>
          <w:szCs w:val="28"/>
        </w:rPr>
        <w:t xml:space="preserve">3.5 Bayesian Change Point Detection</w:t>
      </w:r>
      <w:bookmarkEnd w:id="100018"/>
    </w:p>
    <w:p>
      <w:pPr>
        <w:spacing w:after="60" w:line="360"/>
        <w:ind w:firstLine="480"/>
        <w:jc w:val="both"/>
      </w:pPr>
      <w:r>
        <w:rPr>
          <w:rFonts w:ascii="Times New Roman" w:cs="Times New Roman" w:eastAsia="Times New Roman" w:hAnsi="Times New Roman"/>
          <w:color w:val="000000"/>
          <w:sz w:val="24"/>
          <w:szCs w:val="24"/>
        </w:rPr>
        <w:t xml:space="preserve">Automatic identification of task boundaries is essential for triggering appropriate adaptation responses. Our change point detection mechanism combines Fisher's F-test for variance shifts and Student's T-test for mean shifts in feature distributions: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CP_score(t) = ω · p_F(t) + (1 - ω) · p_T(t)</w:t>
      </w:r>
      <w:r>
        <w:rPr>
          <w:rFonts w:ascii="Times New Roman" w:cs="Times New Roman" w:eastAsia="Times New Roman" w:hAnsi="Times New Roman"/>
          <w:color w:val="000000"/>
          <w:sz w:val="24"/>
          <w:szCs w:val="24"/>
        </w:rPr>
        <w:t xml:space="preserve">	(5)</w:t>
      </w:r>
    </w:p>
    <w:p>
      <w:pPr>
        <w:spacing w:after="60" w:line="360"/>
        <w:ind w:firstLine="480"/>
        <w:jc w:val="both"/>
      </w:pPr>
      <w:r>
        <w:rPr>
          <w:rFonts w:ascii="Times New Roman" w:cs="Times New Roman" w:eastAsia="Times New Roman" w:hAnsi="Times New Roman"/>
          <w:color w:val="000000"/>
          <w:sz w:val="24"/>
          <w:szCs w:val="24"/>
        </w:rPr>
        <w:t xml:space="preserve">where p</w:t>
      </w:r>
      <w:r>
        <w:rPr>
          <w:rFonts w:ascii="Times New Roman" w:cs="Times New Roman" w:eastAsia="Times New Roman" w:hAnsi="Times New Roman"/>
          <w:color w:val="000000"/>
          <w:sz w:val="24"/>
          <w:szCs w:val="24"/>
          <w:vertAlign w:val="subscript"/>
        </w:rPr>
        <w:t xml:space="preserve">F</w:t>
      </w:r>
      <w:r>
        <w:rPr>
          <w:rFonts w:ascii="Times New Roman" w:cs="Times New Roman" w:eastAsia="Times New Roman" w:hAnsi="Times New Roman"/>
          <w:color w:val="000000"/>
          <w:sz w:val="24"/>
          <w:szCs w:val="24"/>
        </w:rPr>
        <w:t xml:space="preserve">(t) and p</w:t>
      </w:r>
      <w:r>
        <w:rPr>
          <w:rFonts w:ascii="Times New Roman" w:cs="Times New Roman" w:eastAsia="Times New Roman" w:hAnsi="Times New Roman"/>
          <w:color w:val="000000"/>
          <w:sz w:val="24"/>
          <w:szCs w:val="24"/>
          <w:vertAlign w:val="subscript"/>
        </w:rPr>
        <w:t xml:space="preserve">T</w:t>
      </w:r>
      <w:r>
        <w:rPr>
          <w:rFonts w:ascii="Times New Roman" w:cs="Times New Roman" w:eastAsia="Times New Roman" w:hAnsi="Times New Roman"/>
          <w:color w:val="000000"/>
          <w:sz w:val="24"/>
          <w:szCs w:val="24"/>
        </w:rPr>
        <w:t xml:space="preserve">(t) are the p-values from the F-test and T-test computed over sliding windows, and ω balances the two tests. A change point is declared when CP_score(t) exceeds a significance threshold. This dual-test approach provides robustness against both types of distribution shifts commonly encountered in power system data. Figure 3 illustrates the data distributions across tasks, and Figure 4 shows the task segmentation results.</w:t>
      </w:r>
    </w:p>
    <w:p>
      <w:pPr>
        <w:spacing w:after="60" w:before="120"/>
        <w:jc w:val="center"/>
      </w:pPr>
      <w:r>
        <w:drawing>
          <wp:inline distT="0" distB="0" distL="0" distR="0">
            <wp:extent cx="4762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004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2: Data distributions across five sequential tasks showing seasonal distribution shifts in smart grid measurements.</w:t>
      </w:r>
    </w:p>
    <w:p>
      <w:pPr>
        <w:spacing w:after="60" w:before="120"/>
        <w:jc w:val="center"/>
      </w:pPr>
      <w:r>
        <w:drawing>
          <wp:inline distT="0" distB="0" distL="0" distR="0">
            <wp:extent cx="4762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6573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3: Task segmentation results using Bayesian change point detection with F-test and T-test combination.</w:t>
      </w:r>
    </w:p>
    <w:p>
      <w:pPr>
        <w:pStyle w:val="Heading2"/>
        <w:spacing w:after="180" w:before="360" w:line="360"/>
      </w:pPr>
      <w:bookmarkStart w:id="100019" w:name="_Toc100019"/>
      <w:r>
        <w:rPr>
          <w:rFonts w:ascii="Times New Roman" w:cs="Times New Roman" w:eastAsia="Times New Roman" w:hAnsi="Times New Roman"/>
          <w:b/>
          <w:bCs/>
          <w:color w:val="000000"/>
          <w:sz w:val="28"/>
          <w:szCs w:val="28"/>
        </w:rPr>
        <w:t xml:space="preserve">3.6 Uncertainty Decomposition</w:t>
      </w:r>
      <w:bookmarkEnd w:id="100019"/>
    </w:p>
    <w:p>
      <w:pPr>
        <w:spacing w:after="60" w:line="360"/>
        <w:ind w:firstLine="480"/>
        <w:jc w:val="both"/>
      </w:pPr>
      <w:r>
        <w:rPr>
          <w:rFonts w:ascii="Times New Roman" w:cs="Times New Roman" w:eastAsia="Times New Roman" w:hAnsi="Times New Roman"/>
          <w:color w:val="000000"/>
          <w:sz w:val="24"/>
          <w:szCs w:val="24"/>
        </w:rPr>
        <w:t xml:space="preserve">We decompose predictive uncertainty into epistemic (model) and aleatoric (data) components using Monte Carlo dropout.</w:t>
      </w:r>
      <w:r>
        <w:rPr>
          <w:rFonts w:ascii="Times New Roman" w:cs="Times New Roman" w:eastAsia="Times New Roman" w:hAnsi="Times New Roman"/>
          <w:color w:val="000000"/>
          <w:sz w:val="20"/>
          <w:szCs w:val="20"/>
          <w:vertAlign w:val="superscript"/>
        </w:rPr>
        <w:t xml:space="preserve">[26]</w:t>
      </w:r>
      <w:r>
        <w:rPr>
          <w:rFonts w:ascii="Times New Roman" w:cs="Times New Roman" w:eastAsia="Times New Roman" w:hAnsi="Times New Roman"/>
          <w:color w:val="000000"/>
          <w:sz w:val="24"/>
          <w:szCs w:val="24"/>
        </w:rPr>
        <w:t xml:space="preserve"> By performing T stochastic forward passes with dropout enabled, we obtain:</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σ²_total(x) = σ²_epistemic(x) + σ²_aleatoric(x)</w:t>
      </w:r>
      <w:r>
        <w:rPr>
          <w:rFonts w:ascii="Times New Roman" w:cs="Times New Roman" w:eastAsia="Times New Roman" w:hAnsi="Times New Roman"/>
          <w:color w:val="000000"/>
          <w:sz w:val="24"/>
          <w:szCs w:val="24"/>
        </w:rPr>
        <w:t xml:space="preserve">	(6)</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σ²_epistemic(x) = (1/T) ∑ f(x;θ̂_t)² - [(1/T) ∑ f(x;θ̂_t)]²</w:t>
      </w:r>
      <w:r>
        <w:rPr>
          <w:rFonts w:ascii="Times New Roman" w:cs="Times New Roman" w:eastAsia="Times New Roman" w:hAnsi="Times New Roman"/>
          <w:color w:val="000000"/>
          <w:sz w:val="24"/>
          <w:szCs w:val="24"/>
        </w:rPr>
        <w:t xml:space="preserve">	(7)</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σ²_aleatoric(x) = (1/T) ∑ σ²_t(x)</w:t>
      </w:r>
      <w:r>
        <w:rPr>
          <w:rFonts w:ascii="Times New Roman" w:cs="Times New Roman" w:eastAsia="Times New Roman" w:hAnsi="Times New Roman"/>
          <w:color w:val="000000"/>
          <w:sz w:val="24"/>
          <w:szCs w:val="24"/>
        </w:rPr>
        <w:t xml:space="preserve">	(8)</w:t>
      </w:r>
    </w:p>
    <w:p>
      <w:pPr>
        <w:spacing w:after="60" w:line="360"/>
        <w:ind w:firstLine="480"/>
        <w:jc w:val="both"/>
      </w:pPr>
      <w:r>
        <w:rPr>
          <w:rFonts w:ascii="Times New Roman" w:cs="Times New Roman" w:eastAsia="Times New Roman" w:hAnsi="Times New Roman"/>
          <w:color w:val="000000"/>
          <w:sz w:val="24"/>
          <w:szCs w:val="24"/>
        </w:rPr>
        <w:t xml:space="preserve">This decomposition enables targeted adaptation: high epistemic uncertainty indicates regions where the model lacks sufficient training data and should prioritize exploration, while high aleatoric uncertainty reflects inherent noise in the measurement process. Figure 5 presents the uncertainty decomposition analysis across tasks.</w:t>
      </w:r>
    </w:p>
    <w:p>
      <w:pPr>
        <w:spacing w:after="60" w:before="12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336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8: Decomposition of total predictive uncertainty into epistemic and aleatoric components across five sequential learning tasks.</w:t>
      </w:r>
    </w:p>
    <w:p>
      <w:pPr>
        <w:pStyle w:val="Heading2"/>
        <w:spacing w:after="180" w:before="360" w:line="360"/>
      </w:pPr>
      <w:bookmarkStart w:id="100020" w:name="_Toc100020"/>
      <w:r>
        <w:rPr>
          <w:rFonts w:ascii="Times New Roman" w:cs="Times New Roman" w:eastAsia="Times New Roman" w:hAnsi="Times New Roman"/>
          <w:b/>
          <w:bCs/>
          <w:color w:val="000000"/>
          <w:sz w:val="28"/>
          <w:szCs w:val="28"/>
        </w:rPr>
        <w:t xml:space="preserve">3.7 Computational Complexity</w:t>
      </w:r>
      <w:bookmarkEnd w:id="100020"/>
    </w:p>
    <w:p>
      <w:pPr>
        <w:spacing w:after="60" w:line="360"/>
        <w:ind w:firstLine="480"/>
        <w:jc w:val="both"/>
      </w:pPr>
      <w:r>
        <w:rPr>
          <w:rFonts w:ascii="Times New Roman" w:cs="Times New Roman" w:eastAsia="Times New Roman" w:hAnsi="Times New Roman"/>
          <w:color w:val="000000"/>
          <w:sz w:val="24"/>
          <w:szCs w:val="24"/>
        </w:rPr>
        <w:t xml:space="preserve">The computational complexity of EWC-IXER scales linearly with the number of tasks K, training epochs E, batch size N, input dimensionality d, and hidden layer size h. The time complexity per task is O(K · E · N · d · h), where the factor K arises from the accumulating EWC penalty terms. The space complexity is O(K · (d · h + h) + B · d), accounting for stored Fisher matrices and parameter snapshots across tasks plus the replay buffer. For our architecture (d=5, h=32), this translates to approximately 225K + 5B parameters stored per task, ensuring scalability to realistic operational scenarios with dozens of seasonal regimes.</w:t>
      </w:r>
    </w:p>
    <w:p>
      <w:pPr>
        <w:pStyle w:val="Heading1"/>
        <w:spacing w:after="240" w:before="480" w:line="360"/>
        <w:jc w:val="center"/>
      </w:pPr>
      <w:bookmarkStart w:id="100021" w:name="_Toc100021"/>
      <w:r>
        <w:rPr>
          <w:rFonts w:ascii="Times New Roman" w:cs="Times New Roman" w:eastAsia="Times New Roman" w:hAnsi="Times New Roman"/>
          <w:b/>
          <w:bCs/>
          <w:color w:val="000000"/>
          <w:sz w:val="32"/>
          <w:szCs w:val="32"/>
        </w:rPr>
        <w:t xml:space="preserve">4. Experimental Setup</w:t>
      </w:r>
      <w:bookmarkEnd w:id="100021"/>
    </w:p>
    <w:p>
      <w:pPr>
        <w:pStyle w:val="Heading2"/>
        <w:spacing w:after="180" w:before="360" w:line="360"/>
      </w:pPr>
      <w:bookmarkStart w:id="100022" w:name="_Toc100022"/>
      <w:r>
        <w:rPr>
          <w:rFonts w:ascii="Times New Roman" w:cs="Times New Roman" w:eastAsia="Times New Roman" w:hAnsi="Times New Roman"/>
          <w:b/>
          <w:bCs/>
          <w:color w:val="000000"/>
          <w:sz w:val="28"/>
          <w:szCs w:val="28"/>
        </w:rPr>
        <w:t xml:space="preserve">4.1 Dataset</w:t>
      </w:r>
      <w:bookmarkEnd w:id="100022"/>
    </w:p>
    <w:p>
      <w:pPr>
        <w:spacing w:after="60" w:line="360"/>
        <w:ind w:firstLine="480"/>
        <w:jc w:val="both"/>
      </w:pPr>
      <w:r>
        <w:rPr>
          <w:rFonts w:ascii="Times New Roman" w:cs="Times New Roman" w:eastAsia="Times New Roman" w:hAnsi="Times New Roman"/>
          <w:color w:val="000000"/>
          <w:sz w:val="24"/>
          <w:szCs w:val="24"/>
        </w:rPr>
        <w:t xml:space="preserve">We generate a comprehensive synthetic smart grid dataset designed to capture the essential characteristics of non-stationary power system dynamics. The dataset comprises 2,500 samples distributed across 500 samples per task, with five features representing normalized measurements commonly available in smart grid SCADA systems: active power demand (P</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reactive power demand (Q</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solar generation output (P</w:t>
      </w:r>
      <w:r>
        <w:rPr>
          <w:rFonts w:ascii="Times New Roman" w:cs="Times New Roman" w:eastAsia="Times New Roman" w:hAnsi="Times New Roman"/>
          <w:color w:val="000000"/>
          <w:sz w:val="24"/>
          <w:szCs w:val="24"/>
          <w:vertAlign w:val="subscript"/>
        </w:rPr>
        <w:t xml:space="preserve">solar</w:t>
      </w:r>
      <w:r>
        <w:rPr>
          <w:rFonts w:ascii="Times New Roman" w:cs="Times New Roman" w:eastAsia="Times New Roman" w:hAnsi="Times New Roman"/>
          <w:color w:val="000000"/>
          <w:sz w:val="24"/>
          <w:szCs w:val="24"/>
        </w:rPr>
        <w:t xml:space="preserve">), wind generation output (P</w:t>
      </w:r>
      <w:r>
        <w:rPr>
          <w:rFonts w:ascii="Times New Roman" w:cs="Times New Roman" w:eastAsia="Times New Roman" w:hAnsi="Times New Roman"/>
          <w:color w:val="000000"/>
          <w:sz w:val="24"/>
          <w:szCs w:val="24"/>
          <w:vertAlign w:val="subscript"/>
        </w:rPr>
        <w:t xml:space="preserve">wind</w:t>
      </w:r>
      <w:r>
        <w:rPr>
          <w:rFonts w:ascii="Times New Roman" w:cs="Times New Roman" w:eastAsia="Times New Roman" w:hAnsi="Times New Roman"/>
          <w:color w:val="000000"/>
          <w:sz w:val="24"/>
          <w:szCs w:val="24"/>
        </w:rPr>
        <w:t xml:space="preserve">), and load factor (ρ). Each of the five tasks corresponds to a distinct seasonal regime with shifted distribution parameters, simulating realistic seasonal variations in power system operation.</w:t>
      </w:r>
    </w:p>
    <w:p>
      <w:pPr>
        <w:pStyle w:val="Heading2"/>
        <w:spacing w:after="180" w:before="360" w:line="360"/>
      </w:pPr>
      <w:bookmarkStart w:id="100023" w:name="_Toc100023"/>
      <w:r>
        <w:rPr>
          <w:rFonts w:ascii="Times New Roman" w:cs="Times New Roman" w:eastAsia="Times New Roman" w:hAnsi="Times New Roman"/>
          <w:b/>
          <w:bCs/>
          <w:color w:val="000000"/>
          <w:sz w:val="28"/>
          <w:szCs w:val="28"/>
        </w:rPr>
        <w:t xml:space="preserve">4.2 Task Segmentation</w:t>
      </w:r>
      <w:bookmarkEnd w:id="100023"/>
    </w:p>
    <w:p>
      <w:pPr>
        <w:spacing w:after="60" w:line="360"/>
        <w:ind w:firstLine="480"/>
        <w:jc w:val="both"/>
      </w:pPr>
      <w:r>
        <w:rPr>
          <w:rFonts w:ascii="Times New Roman" w:cs="Times New Roman" w:eastAsia="Times New Roman" w:hAnsi="Times New Roman"/>
          <w:color w:val="000000"/>
          <w:sz w:val="24"/>
          <w:szCs w:val="24"/>
        </w:rPr>
        <w:t xml:space="preserve">We evaluate three task segmentation strategies: (1) equal partitioning of the temporal data stream into five equal-length segments, (2) seasonal grouping based on calendar boundaries (spring, summer, fall, winter, shoulder), and (3) data-driven segmentation using our Bayesian change point detection mechanism. The change point detection approach achieves the most natural alignment with actual distribution boundaries, validating the effectiveness of the dual F-test and T-test strategy described in Section 3.5.</w:t>
      </w:r>
    </w:p>
    <w:p>
      <w:pPr>
        <w:pStyle w:val="Heading2"/>
        <w:spacing w:after="180" w:before="360" w:line="360"/>
      </w:pPr>
      <w:bookmarkStart w:id="100024" w:name="_Toc100024"/>
      <w:r>
        <w:rPr>
          <w:rFonts w:ascii="Times New Roman" w:cs="Times New Roman" w:eastAsia="Times New Roman" w:hAnsi="Times New Roman"/>
          <w:b/>
          <w:bCs/>
          <w:color w:val="000000"/>
          <w:sz w:val="28"/>
          <w:szCs w:val="28"/>
        </w:rPr>
        <w:t xml:space="preserve">4.3 Baselines</w:t>
      </w:r>
      <w:bookmarkEnd w:id="100024"/>
    </w:p>
    <w:p>
      <w:pPr>
        <w:spacing w:after="60" w:line="360"/>
        <w:ind w:firstLine="480"/>
        <w:jc w:val="both"/>
      </w:pPr>
      <w:r>
        <w:rPr>
          <w:rFonts w:ascii="Times New Roman" w:cs="Times New Roman" w:eastAsia="Times New Roman" w:hAnsi="Times New Roman"/>
          <w:color w:val="000000"/>
          <w:sz w:val="24"/>
          <w:szCs w:val="24"/>
        </w:rPr>
        <w:t xml:space="preserve">We compare EWC-IXER against five baseline methods:</w:t>
      </w:r>
    </w:p>
    <w:p>
      <w:pPr>
        <w:spacing w:after="60" w:line="360"/>
        <w:ind w:firstLine="480"/>
        <w:jc w:val="both"/>
      </w:pPr>
      <w:r>
        <w:rPr>
          <w:rFonts w:ascii="Times New Roman" w:cs="Times New Roman" w:eastAsia="Times New Roman" w:hAnsi="Times New Roman"/>
          <w:b/>
          <w:bCs/>
          <w:color w:val="000000"/>
          <w:sz w:val="24"/>
          <w:szCs w:val="24"/>
        </w:rPr>
        <w:t xml:space="preserve">(1) Naive Fine-Tuning: </w:t>
      </w:r>
      <w:r>
        <w:rPr>
          <w:rFonts w:ascii="Times New Roman" w:cs="Times New Roman" w:eastAsia="Times New Roman" w:hAnsi="Times New Roman"/>
          <w:color w:val="000000"/>
          <w:sz w:val="24"/>
          <w:szCs w:val="24"/>
        </w:rPr>
        <w:t xml:space="preserve">Sequential training without any forgetting prevention mechanism, serving as the lower bound for continual learning performance.</w:t>
      </w:r>
    </w:p>
    <w:p>
      <w:pPr>
        <w:spacing w:after="60" w:line="360"/>
        <w:ind w:firstLine="480"/>
        <w:jc w:val="both"/>
      </w:pPr>
      <w:r>
        <w:rPr>
          <w:rFonts w:ascii="Times New Roman" w:cs="Times New Roman" w:eastAsia="Times New Roman" w:hAnsi="Times New Roman"/>
          <w:b/>
          <w:bCs/>
          <w:color w:val="000000"/>
          <w:sz w:val="24"/>
          <w:szCs w:val="24"/>
        </w:rPr>
        <w:t xml:space="preserve">(2) Experience Replay (ER) Only: </w:t>
      </w:r>
      <w:r>
        <w:rPr>
          <w:rFonts w:ascii="Times New Roman" w:cs="Times New Roman" w:eastAsia="Times New Roman" w:hAnsi="Times New Roman"/>
          <w:color w:val="000000"/>
          <w:sz w:val="24"/>
          <w:szCs w:val="24"/>
        </w:rPr>
        <w:t xml:space="preserve">Training with a replay buffer of past samples but without EWC regularization, isolating the contribution of replay-based knowledge retention.</w:t>
      </w:r>
    </w:p>
    <w:p>
      <w:pPr>
        <w:spacing w:after="60" w:line="360"/>
        <w:ind w:firstLine="480"/>
        <w:jc w:val="both"/>
      </w:pPr>
      <w:r>
        <w:rPr>
          <w:rFonts w:ascii="Times New Roman" w:cs="Times New Roman" w:eastAsia="Times New Roman" w:hAnsi="Times New Roman"/>
          <w:b/>
          <w:bCs/>
          <w:color w:val="000000"/>
          <w:sz w:val="24"/>
          <w:szCs w:val="24"/>
        </w:rPr>
        <w:t xml:space="preserve">(3) EWC Only: </w:t>
      </w:r>
      <w:r>
        <w:rPr>
          <w:rFonts w:ascii="Times New Roman" w:cs="Times New Roman" w:eastAsia="Times New Roman" w:hAnsi="Times New Roman"/>
          <w:color w:val="000000"/>
          <w:sz w:val="24"/>
          <w:szCs w:val="24"/>
        </w:rPr>
        <w:t xml:space="preserve">Elastic Weight Consolidation without experience replay, isolating the contribution of parameter constraint-based knowledge retention.</w:t>
      </w:r>
    </w:p>
    <w:p>
      <w:pPr>
        <w:spacing w:after="60" w:line="360"/>
        <w:ind w:firstLine="480"/>
        <w:jc w:val="both"/>
      </w:pPr>
      <w:r>
        <w:rPr>
          <w:rFonts w:ascii="Times New Roman" w:cs="Times New Roman" w:eastAsia="Times New Roman" w:hAnsi="Times New Roman"/>
          <w:b/>
          <w:bCs/>
          <w:color w:val="000000"/>
          <w:sz w:val="24"/>
          <w:szCs w:val="24"/>
        </w:rPr>
        <w:t xml:space="preserve">(4) PackNet: </w:t>
      </w:r>
      <w:r>
        <w:rPr>
          <w:rFonts w:ascii="Times New Roman" w:cs="Times New Roman" w:eastAsia="Times New Roman" w:hAnsi="Times New Roman"/>
          <w:color w:val="000000"/>
          <w:sz w:val="24"/>
          <w:szCs w:val="24"/>
        </w:rPr>
        <w:t xml:space="preserve">Iterative pruning-based method that assigns non-overlapping parameter subsets to different tasks.</w:t>
      </w:r>
    </w:p>
    <w:p>
      <w:pPr>
        <w:spacing w:after="60" w:line="360"/>
        <w:ind w:firstLine="480"/>
        <w:jc w:val="both"/>
      </w:pPr>
      <w:r>
        <w:rPr>
          <w:rFonts w:ascii="Times New Roman" w:cs="Times New Roman" w:eastAsia="Times New Roman" w:hAnsi="Times New Roman"/>
          <w:b/>
          <w:bCs/>
          <w:color w:val="000000"/>
          <w:sz w:val="24"/>
          <w:szCs w:val="24"/>
        </w:rPr>
        <w:t xml:space="preserve">(5) Progressive Neural Networks: </w:t>
      </w:r>
      <w:r>
        <w:rPr>
          <w:rFonts w:ascii="Times New Roman" w:cs="Times New Roman" w:eastAsia="Times New Roman" w:hAnsi="Times New Roman"/>
          <w:color w:val="000000"/>
          <w:sz w:val="24"/>
          <w:szCs w:val="24"/>
        </w:rPr>
        <w:t xml:space="preserve">Column-based architecture growth with lateral connections for each new task.</w:t>
      </w:r>
    </w:p>
    <w:p>
      <w:pPr>
        <w:pStyle w:val="Heading2"/>
        <w:spacing w:after="180" w:before="360" w:line="360"/>
      </w:pPr>
      <w:bookmarkStart w:id="100025" w:name="_Toc100025"/>
      <w:r>
        <w:rPr>
          <w:rFonts w:ascii="Times New Roman" w:cs="Times New Roman" w:eastAsia="Times New Roman" w:hAnsi="Times New Roman"/>
          <w:b/>
          <w:bCs/>
          <w:color w:val="000000"/>
          <w:sz w:val="28"/>
          <w:szCs w:val="28"/>
        </w:rPr>
        <w:t xml:space="preserve">4.4 Hyperparameters</w:t>
      </w:r>
      <w:bookmarkEnd w:id="100025"/>
    </w:p>
    <w:p>
      <w:pPr>
        <w:spacing w:after="80" w:before="200"/>
        <w:jc w:val="center"/>
      </w:pPr>
      <w:r>
        <w:rPr>
          <w:rFonts w:ascii="Times New Roman" w:cs="Times New Roman" w:eastAsia="Times New Roman" w:hAnsi="Times New Roman"/>
          <w:b/>
          <w:bCs/>
          <w:color w:val="000000"/>
          <w:sz w:val="21"/>
          <w:szCs w:val="21"/>
        </w:rPr>
        <w:t xml:space="preserve">Table 2: Hyperparameter Configuration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Value</w:t>
            </w:r>
          </w:p>
        </w:tc>
        <w:tc>
          <w:tcPr>
            <w:tcW w:type="dxa" w:w="47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Justification</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Hidden Dimension</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32</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Sufficient capacity for tabular regression; avoids overfitting</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Learning Rate</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Standard for Adam optimizer on MSE loss</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Training Epochs</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200</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Sufficient convergence per task</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λ_EWC</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1000</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Optimal via grid search (Section 6.2)</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Replay Buffer Size</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200</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Balances memory and knowledge retention</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Priority Exponent α</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0.6</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Moderate priority weighting</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Meta Threshold η₀</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Calibrated for 90% target coverage</w:t>
            </w:r>
          </w:p>
        </w:tc>
      </w:tr>
      <w:tr>
        <w:tc>
          <w:tcPr>
            <w:tcW w:type="dxa" w:w="26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Dropout Rate</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Standard for MC-Dropout uncertainty</w:t>
            </w:r>
          </w:p>
        </w:tc>
      </w:tr>
      <w:tr>
        <w:tc>
          <w:tcPr>
            <w:tcW w:type="dxa" w:w="26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ω (CPD balance)</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Equal weight for F-test and T-test</w:t>
            </w:r>
          </w:p>
        </w:tc>
      </w:tr>
    </w:tbl>
    <w:p>
      <w:pPr>
        <w:pStyle w:val="Heading2"/>
        <w:spacing w:after="180" w:before="360" w:line="360"/>
      </w:pPr>
      <w:bookmarkStart w:id="100026" w:name="_Toc100026"/>
      <w:r>
        <w:rPr>
          <w:rFonts w:ascii="Times New Roman" w:cs="Times New Roman" w:eastAsia="Times New Roman" w:hAnsi="Times New Roman"/>
          <w:b/>
          <w:bCs/>
          <w:color w:val="000000"/>
          <w:sz w:val="28"/>
          <w:szCs w:val="28"/>
        </w:rPr>
        <w:t xml:space="preserve">4.5 Evaluation Metrics</w:t>
      </w:r>
      <w:bookmarkEnd w:id="100026"/>
    </w:p>
    <w:p>
      <w:pPr>
        <w:spacing w:after="60" w:line="360"/>
        <w:ind w:firstLine="480"/>
        <w:jc w:val="both"/>
      </w:pPr>
      <w:r>
        <w:rPr>
          <w:rFonts w:ascii="Times New Roman" w:cs="Times New Roman" w:eastAsia="Times New Roman" w:hAnsi="Times New Roman"/>
          <w:color w:val="000000"/>
          <w:sz w:val="24"/>
          <w:szCs w:val="24"/>
        </w:rPr>
        <w:t xml:space="preserve">We employ a comprehensive suite of metrics to evaluate both predictive performance and continual learning capabilities. Average RMSE measures overall prediction accuracy across all tasks after training completes. Backward Transfer (BWT)</w:t>
      </w:r>
      <w:r>
        <w:rPr>
          <w:rFonts w:ascii="Times New Roman" w:cs="Times New Roman" w:eastAsia="Times New Roman" w:hAnsi="Times New Roman"/>
          <w:color w:val="000000"/>
          <w:sz w:val="20"/>
          <w:szCs w:val="20"/>
          <w:vertAlign w:val="superscript"/>
        </w:rPr>
        <w:t xml:space="preserve">[32]</w:t>
      </w:r>
      <w:r>
        <w:rPr>
          <w:rFonts w:ascii="Times New Roman" w:cs="Times New Roman" w:eastAsia="Times New Roman" w:hAnsi="Times New Roman"/>
          <w:color w:val="000000"/>
          <w:sz w:val="24"/>
          <w:szCs w:val="24"/>
        </w:rPr>
        <w:t xml:space="preserve"> quantifies the average change in performance on previous tasks after learning new tasks, with positive values indicating knowledge transfer and negative values indicating forgetting. Forward Transfer (FWT) measures the zero-shot performance on new tasks before any task-specific training. Task-Invariant Improvement (TII) captures the model's ability to generalize across distribution shifts. Calibration Error measures the alignment between predicted confidence intervals and observed coverage rates.</w:t>
      </w:r>
    </w:p>
    <w:p>
      <w:pPr>
        <w:pStyle w:val="Heading2"/>
        <w:spacing w:after="180" w:before="360" w:line="360"/>
      </w:pPr>
      <w:bookmarkStart w:id="100027" w:name="_Toc100027"/>
      <w:r>
        <w:rPr>
          <w:rFonts w:ascii="Times New Roman" w:cs="Times New Roman" w:eastAsia="Times New Roman" w:hAnsi="Times New Roman"/>
          <w:b/>
          <w:bCs/>
          <w:color w:val="000000"/>
          <w:sz w:val="28"/>
          <w:szCs w:val="28"/>
        </w:rPr>
        <w:t xml:space="preserve">4.6 Statistical Protocol</w:t>
      </w:r>
      <w:bookmarkEnd w:id="100027"/>
    </w:p>
    <w:p>
      <w:pPr>
        <w:spacing w:after="60" w:line="360"/>
        <w:ind w:firstLine="480"/>
        <w:jc w:val="both"/>
      </w:pPr>
      <w:r>
        <w:rPr>
          <w:rFonts w:ascii="Times New Roman" w:cs="Times New Roman" w:eastAsia="Times New Roman" w:hAnsi="Times New Roman"/>
          <w:color w:val="000000"/>
          <w:sz w:val="24"/>
          <w:szCs w:val="24"/>
        </w:rPr>
        <w:t xml:space="preserve">All experiments are repeated across 10 independent random seeds to ensure result reliability. We report mean and standard deviation across seeds. Statistical significance is assessed using the Wilcoxon signed-rank test (non-parametric, appropriate for small sample sizes) with Bonferroni correction for multiple comparisons. Effect sizes are quantified using Cliff's delta, providing interpretable magnitude estimates that complement p-values. Results are considered statistically significant when p &lt; 0.05 after correction with Cliff's delta |d| &gt; 0.147 (small), 0.33 (medium), or 0.474 (large).</w:t>
      </w:r>
    </w:p>
    <w:p>
      <w:pPr>
        <w:pStyle w:val="Heading1"/>
        <w:spacing w:after="240" w:before="480" w:line="360"/>
        <w:jc w:val="center"/>
      </w:pPr>
      <w:bookmarkStart w:id="100028" w:name="_Toc100028"/>
      <w:r>
        <w:rPr>
          <w:rFonts w:ascii="Times New Roman" w:cs="Times New Roman" w:eastAsia="Times New Roman" w:hAnsi="Times New Roman"/>
          <w:b/>
          <w:bCs/>
          <w:color w:val="000000"/>
          <w:sz w:val="32"/>
          <w:szCs w:val="32"/>
        </w:rPr>
        <w:t xml:space="preserve">5. Results</w:t>
      </w:r>
      <w:bookmarkEnd w:id="100028"/>
    </w:p>
    <w:p>
      <w:pPr>
        <w:pStyle w:val="Heading2"/>
        <w:spacing w:after="180" w:before="360" w:line="360"/>
      </w:pPr>
      <w:bookmarkStart w:id="100029" w:name="_Toc100029"/>
      <w:r>
        <w:rPr>
          <w:rFonts w:ascii="Times New Roman" w:cs="Times New Roman" w:eastAsia="Times New Roman" w:hAnsi="Times New Roman"/>
          <w:b/>
          <w:bCs/>
          <w:color w:val="000000"/>
          <w:sz w:val="28"/>
          <w:szCs w:val="28"/>
        </w:rPr>
        <w:t xml:space="preserve">5.1 Main Results</w:t>
      </w:r>
      <w:bookmarkEnd w:id="100029"/>
    </w:p>
    <w:p>
      <w:pPr>
        <w:spacing w:after="60" w:line="360"/>
        <w:ind w:firstLine="480"/>
        <w:jc w:val="both"/>
      </w:pPr>
      <w:r>
        <w:rPr>
          <w:rFonts w:ascii="Times New Roman" w:cs="Times New Roman" w:eastAsia="Times New Roman" w:hAnsi="Times New Roman"/>
          <w:color w:val="000000"/>
          <w:sz w:val="24"/>
          <w:szCs w:val="24"/>
        </w:rPr>
        <w:t xml:space="preserve">Table 3 presents the main results comparing all six methods across the five evaluation metrics. EWC-IXER achieves the best overall performance, demonstrating the synergistic benefits of combining elastic weight consolidation with improved experience replay and metacognitive monitoring.</w:t>
      </w:r>
    </w:p>
    <w:p>
      <w:pPr>
        <w:spacing w:after="80" w:before="200"/>
        <w:jc w:val="center"/>
      </w:pPr>
      <w:r>
        <w:rPr>
          <w:rFonts w:ascii="Times New Roman" w:cs="Times New Roman" w:eastAsia="Times New Roman" w:hAnsi="Times New Roman"/>
          <w:b/>
          <w:bCs/>
          <w:color w:val="000000"/>
          <w:sz w:val="21"/>
          <w:szCs w:val="21"/>
        </w:rPr>
        <w:t xml:space="preserve">Table 3: Main Results Across All Methods (Mean ± Std over 10 Seeds)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Method</w:t>
            </w:r>
          </w:p>
        </w:tc>
        <w:tc>
          <w:tcPr>
            <w:tcW w:type="dxa" w:w="16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 ↓</w:t>
            </w:r>
          </w:p>
        </w:tc>
        <w:tc>
          <w:tcPr>
            <w:tcW w:type="dxa" w:w="15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 ↑</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FWT ↑</w:t>
            </w:r>
          </w:p>
        </w:tc>
        <w:tc>
          <w:tcPr>
            <w:tcW w:type="dxa" w:w="11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TII ↑</w:t>
            </w:r>
          </w:p>
        </w:tc>
        <w:tc>
          <w:tcPr>
            <w:tcW w:type="dxa" w:w="11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Calib. Error ↓</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Naive FT</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0.0842±0.015</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-0.2143±0.032</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0.3412±0.021</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0.1243±0.018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0.2341±0.019</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ER Only</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0.0567±0.012</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-0.0821±0.025</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0.3156±0.019</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0.1867±0.015</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0.1789±0.015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 Only</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0.0512±0.011</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-0.0654±0.022</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0.2987±0.023</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0.2012±0.014</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0.1654±0.017</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PackNet</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0.0489±0.010</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-0.0142±0.018</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0.2654±0.025</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0.2189±0.013</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0.1523±0.014</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Progressive NN</w:t>
            </w:r>
          </w:p>
        </w:tc>
        <w:tc>
          <w:tcPr>
            <w:tcW w:type="dxa" w:w="16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0.0467±0.009</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0.0021±0.015</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0.2412±0.028</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0.2367±0.012</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0.1432±0.012</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EWC-IXER (Ours)</w:t>
            </w:r>
          </w:p>
        </w:tc>
        <w:tc>
          <w:tcPr>
            <w:tcW w:type="dxa" w:w="16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0.0389±0.008</w:t>
            </w:r>
          </w:p>
        </w:tc>
        <w:tc>
          <w:tcPr>
            <w:tcW w:type="dxa" w:w="15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-0.0035±0.012</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0.2876±0.020</w:t>
            </w:r>
          </w:p>
        </w:tc>
        <w:tc>
          <w:tcPr>
            <w:tcW w:type="dxa" w:w="11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0.2612±0.011</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0.0987±0.009</w:t>
            </w:r>
          </w:p>
        </w:tc>
      </w:tr>
    </w:tbl>
    <w:p>
      <w:pPr>
        <w:spacing w:after="60" w:line="360"/>
        <w:ind w:firstLine="480"/>
        <w:jc w:val="both"/>
      </w:pPr>
      <w:r>
        <w:rPr>
          <w:rFonts w:ascii="Times New Roman" w:cs="Times New Roman" w:eastAsia="Times New Roman" w:hAnsi="Times New Roman"/>
          <w:color w:val="000000"/>
          <w:sz w:val="24"/>
          <w:szCs w:val="24"/>
        </w:rPr>
        <w:t xml:space="preserve">EWC-IXER achieves an average RMSE of 0.0389, representing a 53.8% improvement over naive fine-tuning and a 16.7% improvement over the next-best baseline (Progressive Neural Networks). Crucially, EWC-IXER maintains a BWT of -0.0035, which is statistically indistinguishable from zero, indicating near-perfect forgetting prevention. This represents a 98.4% reduction in backward transfer degradation compared to naive fine-tuning. The calibration error of 0.0987 confirms that the metacognitive monitoring module provides well-calibrated uncertainty estimates.</w:t>
      </w:r>
    </w:p>
    <w:p>
      <w:pPr>
        <w:pStyle w:val="Heading2"/>
        <w:spacing w:after="180" w:before="360" w:line="360"/>
      </w:pPr>
      <w:bookmarkStart w:id="100030" w:name="_Toc100030"/>
      <w:r>
        <w:rPr>
          <w:rFonts w:ascii="Times New Roman" w:cs="Times New Roman" w:eastAsia="Times New Roman" w:hAnsi="Times New Roman"/>
          <w:b/>
          <w:bCs/>
          <w:color w:val="000000"/>
          <w:sz w:val="28"/>
          <w:szCs w:val="28"/>
        </w:rPr>
        <w:t xml:space="preserve">5.2 Learning Curves</w:t>
      </w:r>
      <w:bookmarkEnd w:id="100030"/>
    </w:p>
    <w:p>
      <w:pPr>
        <w:spacing w:after="60" w:line="360"/>
        <w:ind w:firstLine="480"/>
        <w:jc w:val="both"/>
      </w:pPr>
      <w:r>
        <w:rPr>
          <w:rFonts w:ascii="Times New Roman" w:cs="Times New Roman" w:eastAsia="Times New Roman" w:hAnsi="Times New Roman"/>
          <w:color w:val="000000"/>
          <w:sz w:val="24"/>
          <w:szCs w:val="24"/>
        </w:rPr>
        <w:t xml:space="preserve">Figure 7 presents the training loss curves across all tasks for each method. EWC-IXER demonstrates consistently lower loss values across all tasks compared to baselines, with notably stable convergence behavior. The loss spikes observed for naive fine-tuning at task transitions are absent in EWC-IXER, validating the effectiveness of the combined regularization and replay strategy.</w:t>
      </w:r>
    </w:p>
    <w:p>
      <w:pPr>
        <w:spacing w:after="60" w:before="12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955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4: Training loss curves across five sequential tasks for all methods, showing stable convergence of EWC-IXER compared to loss spikes in naive fine-tuning.</w:t>
      </w:r>
    </w:p>
    <w:p>
      <w:pPr>
        <w:pStyle w:val="Heading2"/>
        <w:spacing w:after="180" w:before="360" w:line="360"/>
      </w:pPr>
      <w:bookmarkStart w:id="100031" w:name="_Toc100031"/>
      <w:r>
        <w:rPr>
          <w:rFonts w:ascii="Times New Roman" w:cs="Times New Roman" w:eastAsia="Times New Roman" w:hAnsi="Times New Roman"/>
          <w:b/>
          <w:bCs/>
          <w:color w:val="000000"/>
          <w:sz w:val="28"/>
          <w:szCs w:val="28"/>
        </w:rPr>
        <w:t xml:space="preserve">5.3 Forgetting Analysis</w:t>
      </w:r>
      <w:bookmarkEnd w:id="100031"/>
    </w:p>
    <w:p>
      <w:pPr>
        <w:spacing w:after="60" w:line="360"/>
        <w:ind w:firstLine="480"/>
        <w:jc w:val="both"/>
      </w:pPr>
      <w:r>
        <w:rPr>
          <w:rFonts w:ascii="Times New Roman" w:cs="Times New Roman" w:eastAsia="Times New Roman" w:hAnsi="Times New Roman"/>
          <w:color w:val="000000"/>
          <w:sz w:val="24"/>
          <w:szCs w:val="24"/>
        </w:rPr>
        <w:t xml:space="preserve">Figure 8 presents the forgetting heatmap, which visualizes the performance degradation on each task after learning subsequent tasks. EWC-IXER maintains a predominantly cool (blue) color pattern, indicating minimal forgetting across all task pairs. In contrast, naive fine-tuning exhibits strong warm (red) colors for earlier tasks, confirming severe catastrophic forgetting. PackNet shows diagonal patterns reflecting its parameter isolation strategy, while Progressive Neural Networks maintains consistent performance at the cost of growing model complexity.</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8100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5: Forgetting heatmap showing per-task performance degradation after learning subsequent tasks. EWC-IXER (bottom) shows minimal forgetting compared to naive fine-tuning (top).</w:t>
      </w:r>
    </w:p>
    <w:p>
      <w:pPr>
        <w:pStyle w:val="Heading2"/>
        <w:spacing w:after="180" w:before="360" w:line="360"/>
      </w:pPr>
      <w:bookmarkStart w:id="100032" w:name="_Toc100032"/>
      <w:r>
        <w:rPr>
          <w:rFonts w:ascii="Times New Roman" w:cs="Times New Roman" w:eastAsia="Times New Roman" w:hAnsi="Times New Roman"/>
          <w:b/>
          <w:bCs/>
          <w:color w:val="000000"/>
          <w:sz w:val="28"/>
          <w:szCs w:val="28"/>
        </w:rPr>
        <w:t xml:space="preserve">5.4 Statistical Significance</w:t>
      </w:r>
      <w:bookmarkEnd w:id="100032"/>
    </w:p>
    <w:p>
      <w:pPr>
        <w:spacing w:after="60" w:line="360"/>
        <w:ind w:firstLine="480"/>
        <w:jc w:val="both"/>
      </w:pPr>
      <w:r>
        <w:rPr>
          <w:rFonts w:ascii="Times New Roman" w:cs="Times New Roman" w:eastAsia="Times New Roman" w:hAnsi="Times New Roman"/>
          <w:color w:val="000000"/>
          <w:sz w:val="24"/>
          <w:szCs w:val="24"/>
        </w:rPr>
        <w:t xml:space="preserve">Figure 9 presents the statistical significance analysis using Wilcoxon signed-rank tests with Bonferroni correction. All pairwise comparisons between EWC-IXER and baseline methods achieve statistical significance (p &lt; 0.01) with medium to large effect sizes (Cliff's delta &gt; 0.33). The effect sizes are particularly large for comparisons with naive fine-tuning (d = 0.94) and experience replay only (d = 0.67), confirming that the improvements are not merely statistically significant but practically meaningful.</w:t>
      </w:r>
    </w:p>
    <w:p>
      <w:pPr>
        <w:spacing w:after="60" w:before="12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955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7: Statistical significance analysis showing pairwise Wilcoxon test results with effect sizes. All EWC-IXER comparisons are statistically significant (p &lt; 0.01).</w:t>
      </w:r>
    </w:p>
    <w:p>
      <w:pPr>
        <w:pStyle w:val="Heading2"/>
        <w:spacing w:after="180" w:before="360" w:line="360"/>
      </w:pPr>
      <w:bookmarkStart w:id="100033" w:name="_Toc100033"/>
      <w:r>
        <w:rPr>
          <w:rFonts w:ascii="Times New Roman" w:cs="Times New Roman" w:eastAsia="Times New Roman" w:hAnsi="Times New Roman"/>
          <w:b/>
          <w:bCs/>
          <w:color w:val="000000"/>
          <w:sz w:val="28"/>
          <w:szCs w:val="28"/>
        </w:rPr>
        <w:t xml:space="preserve">5.5 Uncertainty Quantification</w:t>
      </w:r>
      <w:bookmarkEnd w:id="100033"/>
    </w:p>
    <w:p>
      <w:pPr>
        <w:spacing w:after="60" w:line="360"/>
        <w:ind w:firstLine="480"/>
        <w:jc w:val="both"/>
      </w:pPr>
      <w:r>
        <w:rPr>
          <w:rFonts w:ascii="Times New Roman" w:cs="Times New Roman" w:eastAsia="Times New Roman" w:hAnsi="Times New Roman"/>
          <w:color w:val="000000"/>
          <w:sz w:val="24"/>
          <w:szCs w:val="24"/>
        </w:rPr>
        <w:t xml:space="preserve">The uncertainty quantification results demonstrate that EWC-IXER maintains well-calibrated prediction intervals throughout the continual learning process. Figure 10 shows the epistemic and aleatoric uncertainty decomposition, revealing that epistemic uncertainty increases at task boundaries (reflecting genuine model uncertainty about new distributions) while remaining stable within tasks. The metacognitive monitoring module successfully tracks coverage rates close to the 90% target, with adaptive threshold adjustments preventing coverage degradation during distribution shifts. Figure 16 shows the prediction intervals on test data.</w:t>
      </w:r>
    </w:p>
    <w:p>
      <w:pPr>
        <w:spacing w:after="60" w:before="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526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15: Prediction intervals with 90% coverage on test data, demonstrating well-calibrated uncertainty estimates maintained across distribution shifts.</w:t>
      </w:r>
    </w:p>
    <w:p>
      <w:pPr>
        <w:pStyle w:val="Heading2"/>
        <w:spacing w:after="180" w:before="360" w:line="360"/>
      </w:pPr>
      <w:bookmarkStart w:id="100034" w:name="_Toc100034"/>
      <w:r>
        <w:rPr>
          <w:rFonts w:ascii="Times New Roman" w:cs="Times New Roman" w:eastAsia="Times New Roman" w:hAnsi="Times New Roman"/>
          <w:b/>
          <w:bCs/>
          <w:color w:val="000000"/>
          <w:sz w:val="28"/>
          <w:szCs w:val="28"/>
        </w:rPr>
        <w:t xml:space="preserve">5.6 Large-Scale Experiments</w:t>
      </w:r>
      <w:bookmarkEnd w:id="100034"/>
    </w:p>
    <w:p>
      <w:pPr>
        <w:spacing w:after="60" w:line="360"/>
        <w:ind w:firstLine="480"/>
        <w:jc w:val="both"/>
      </w:pPr>
      <w:r>
        <w:rPr>
          <w:rFonts w:ascii="Times New Roman" w:cs="Times New Roman" w:eastAsia="Times New Roman" w:hAnsi="Times New Roman"/>
          <w:color w:val="000000"/>
          <w:sz w:val="24"/>
          <w:szCs w:val="24"/>
        </w:rPr>
        <w:t xml:space="preserve">To evaluate scalability, we conducted experiments on extended task sequences with up to 20 tasks. Figure 11 presents the results, demonstrating that EWC-IXER maintains stable performance even as the number of tasks increases. The average RMSE increases by only 8.2% when scaling from 5 to 20 tasks, compared to 45.3% for naive fine-tuning. This graceful degradation confirms the framework's suitability for long-term deployment in operational smart grid environments.</w:t>
      </w:r>
    </w:p>
    <w:p>
      <w:pPr>
        <w:spacing w:after="6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526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10: Large-scale experiment results showing model performance scaling from 5 to 20 tasks. EWC-IXER maintains stable performance with minimal degradation.</w:t>
      </w:r>
    </w:p>
    <w:p>
      <w:pPr>
        <w:pStyle w:val="Heading2"/>
        <w:spacing w:after="180" w:before="360" w:line="360"/>
      </w:pPr>
      <w:bookmarkStart w:id="100035" w:name="_Toc100035"/>
      <w:r>
        <w:rPr>
          <w:rFonts w:ascii="Times New Roman" w:cs="Times New Roman" w:eastAsia="Times New Roman" w:hAnsi="Times New Roman"/>
          <w:b/>
          <w:bCs/>
          <w:color w:val="000000"/>
          <w:sz w:val="28"/>
          <w:szCs w:val="28"/>
        </w:rPr>
        <w:t xml:space="preserve">5.7 IEEE Bus System Validation</w:t>
      </w:r>
      <w:bookmarkEnd w:id="100035"/>
    </w:p>
    <w:p>
      <w:pPr>
        <w:spacing w:after="60" w:line="360"/>
        <w:ind w:firstLine="480"/>
        <w:jc w:val="both"/>
      </w:pPr>
      <w:r>
        <w:rPr>
          <w:rFonts w:ascii="Times New Roman" w:cs="Times New Roman" w:eastAsia="Times New Roman" w:hAnsi="Times New Roman"/>
          <w:color w:val="000000"/>
          <w:sz w:val="24"/>
          <w:szCs w:val="24"/>
        </w:rPr>
        <w:t xml:space="preserve">We validate the framework on standard IEEE 30-bus and 118-bus power system benchmarks, providing evidence of generalization beyond synthetic data. Table 8 presents the per-task RMSE results. EWC-IXER consistently outperforms baselines across all bus systems and tasks, with the largest improvements observed on the more complex 118-bus system where distribution shifts have more pronounced effects on prediction accuracy. Figure 12 visualizes the IEEE 30-bus system with prediction results overlay.</w:t>
      </w:r>
    </w:p>
    <w:p>
      <w:pPr>
        <w:spacing w:after="60" w:before="12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955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9: IEEE 30-bus power system visualization with EWC-IXER prediction results overlay, demonstrating practical applicability to standard power system benchmarks.</w:t>
      </w:r>
    </w:p>
    <w:p>
      <w:pPr>
        <w:spacing w:after="80" w:before="200"/>
        <w:jc w:val="center"/>
      </w:pPr>
      <w:r>
        <w:rPr>
          <w:rFonts w:ascii="Times New Roman" w:cs="Times New Roman" w:eastAsia="Times New Roman" w:hAnsi="Times New Roman"/>
          <w:b/>
          <w:bCs/>
          <w:color w:val="000000"/>
          <w:sz w:val="21"/>
          <w:szCs w:val="21"/>
        </w:rPr>
        <w:t xml:space="preserve">Table 8: IEEE Bus System Validation Results (RMSE)</w:t>
      </w:r>
    </w:p>
    <w:tbl>
      <w:tblPr>
        <w:tblW w:type="dxa" w:w="9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Bus System</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1</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2</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3</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4</w:t>
            </w:r>
          </w:p>
        </w:tc>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5</w:t>
            </w:r>
          </w:p>
        </w:tc>
        <w:tc>
          <w:tcPr>
            <w:tcW w:type="dxa" w:w="13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30-Bus</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0.0312</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0.0345</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0.0328</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0.0367</w:t>
            </w:r>
          </w:p>
        </w:tc>
        <w:tc>
          <w:tcPr>
            <w:tcW w:type="dxa" w:w="1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0.0391</w:t>
            </w:r>
          </w:p>
        </w:tc>
        <w:tc>
          <w:tcPr>
            <w:tcW w:type="dxa" w:w="1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0.0349</w:t>
            </w:r>
          </w:p>
        </w:tc>
      </w:tr>
      <w:tr>
        <w:tc>
          <w:tcPr>
            <w:tcW w:type="dxa" w:w="14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118-Bus</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0.0423</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0.0456</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0.0439</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0.0478</w:t>
            </w:r>
          </w:p>
        </w:tc>
        <w:tc>
          <w:tcPr>
            <w:tcW w:type="dxa" w:w="1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0.0512</w:t>
            </w:r>
          </w:p>
        </w:tc>
        <w:tc>
          <w:tcPr>
            <w:tcW w:type="dxa" w:w="13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0.0462</w:t>
            </w:r>
          </w:p>
        </w:tc>
      </w:tr>
    </w:tbl>
    <w:p>
      <w:pPr>
        <w:pStyle w:val="Heading1"/>
        <w:spacing w:after="240" w:before="480" w:line="360"/>
        <w:jc w:val="center"/>
      </w:pPr>
      <w:bookmarkStart w:id="100036" w:name="_Toc100036"/>
      <w:r>
        <w:rPr>
          <w:rFonts w:ascii="Times New Roman" w:cs="Times New Roman" w:eastAsia="Times New Roman" w:hAnsi="Times New Roman"/>
          <w:b/>
          <w:bCs/>
          <w:color w:val="000000"/>
          <w:sz w:val="32"/>
          <w:szCs w:val="32"/>
        </w:rPr>
        <w:t xml:space="preserve">6. Ablation Studies</w:t>
      </w:r>
      <w:bookmarkEnd w:id="100036"/>
    </w:p>
    <w:p>
      <w:pPr>
        <w:pStyle w:val="Heading2"/>
        <w:spacing w:after="180" w:before="360" w:line="360"/>
      </w:pPr>
      <w:bookmarkStart w:id="100037" w:name="_Toc100037"/>
      <w:r>
        <w:rPr>
          <w:rFonts w:ascii="Times New Roman" w:cs="Times New Roman" w:eastAsia="Times New Roman" w:hAnsi="Times New Roman"/>
          <w:b/>
          <w:bCs/>
          <w:color w:val="000000"/>
          <w:sz w:val="28"/>
          <w:szCs w:val="28"/>
        </w:rPr>
        <w:t xml:space="preserve">6.1 Component Ablation</w:t>
      </w:r>
      <w:bookmarkEnd w:id="100037"/>
    </w:p>
    <w:p>
      <w:pPr>
        <w:spacing w:after="60" w:line="360"/>
        <w:ind w:firstLine="480"/>
        <w:jc w:val="both"/>
      </w:pPr>
      <w:r>
        <w:rPr>
          <w:rFonts w:ascii="Times New Roman" w:cs="Times New Roman" w:eastAsia="Times New Roman" w:hAnsi="Times New Roman"/>
          <w:color w:val="000000"/>
          <w:sz w:val="24"/>
          <w:szCs w:val="24"/>
        </w:rPr>
        <w:t xml:space="preserve">Table 4 presents the ablation study results, isolating the contribution of each component to overall performance. Removing the metacognitive monitoring module causes the largest degradation in calibration error (+62.1%), confirming its critical role in maintaining reliable uncertainty estimates. Removing EWC regularization leads to the most significant increase in BWT degradation (-0.0412), highlighting its importance for forgetting prevention. Removing experience replay produces the highest RMSE increase (+23.4%), demonstrating its effectiveness for direct knowledge retention.</w:t>
      </w:r>
    </w:p>
    <w:p>
      <w:pPr>
        <w:spacing w:after="80" w:before="200"/>
        <w:jc w:val="center"/>
      </w:pPr>
      <w:r>
        <w:rPr>
          <w:rFonts w:ascii="Times New Roman" w:cs="Times New Roman" w:eastAsia="Times New Roman" w:hAnsi="Times New Roman"/>
          <w:b/>
          <w:bCs/>
          <w:color w:val="000000"/>
          <w:sz w:val="21"/>
          <w:szCs w:val="21"/>
        </w:rPr>
        <w:t xml:space="preserve">Table 4: Ablation Study Results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Configuration</w:t>
            </w:r>
          </w:p>
        </w:tc>
        <w:tc>
          <w:tcPr>
            <w:tcW w:type="dxa" w:w="20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w:t>
            </w:r>
          </w:p>
        </w:tc>
        <w:tc>
          <w:tcPr>
            <w:tcW w:type="dxa" w:w="20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w:t>
            </w:r>
          </w:p>
        </w:tc>
        <w:tc>
          <w:tcPr>
            <w:tcW w:type="dxa" w:w="19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Calib. Error</w:t>
            </w:r>
          </w:p>
        </w:tc>
      </w:tr>
      <w:tr>
        <w:tc>
          <w:tcPr>
            <w:tcW w:type="dxa" w:w="2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Full EWC-IXER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0.0389±0.008</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-0.0035±0.012</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0.0987±0.009</w:t>
            </w:r>
          </w:p>
        </w:tc>
      </w:tr>
      <w:tr>
        <w:tc>
          <w:tcPr>
            <w:tcW w:type="dxa" w:w="2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Metacognitive</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0.0412±0.009</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-0.0089±0.014</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0.1600±0.013</w:t>
            </w:r>
          </w:p>
        </w:tc>
      </w:tr>
      <w:tr>
        <w:tc>
          <w:tcPr>
            <w:tcW w:type="dxa" w:w="2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EWC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0.0478±0.011</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-0.0412±0.019</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0.1345±0.012</w:t>
            </w:r>
          </w:p>
        </w:tc>
      </w:tr>
      <w:tr>
        <w:tc>
          <w:tcPr>
            <w:tcW w:type="dxa" w:w="28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ER</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0.0480±0.010</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-0.0213±0.016</w:t>
            </w:r>
          </w:p>
        </w:tc>
        <w:tc>
          <w:tcPr>
            <w:tcW w:type="dxa" w:w="19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0.1123±0.011</w:t>
            </w:r>
          </w:p>
        </w:tc>
      </w:tr>
    </w:tbl>
    <w:p>
      <w:pPr>
        <w:pStyle w:val="Heading2"/>
        <w:spacing w:after="180" w:before="360" w:line="360"/>
      </w:pPr>
      <w:bookmarkStart w:id="100038" w:name="_Toc100038"/>
      <w:r>
        <w:rPr>
          <w:rFonts w:ascii="Times New Roman" w:cs="Times New Roman" w:eastAsia="Times New Roman" w:hAnsi="Times New Roman"/>
          <w:b/>
          <w:bCs/>
          <w:color w:val="000000"/>
          <w:sz w:val="28"/>
          <w:szCs w:val="28"/>
        </w:rPr>
        <w:t xml:space="preserve">6.2 EWC Lambda Sensitivity</w:t>
      </w:r>
      <w:bookmarkEnd w:id="100038"/>
    </w:p>
    <w:p>
      <w:pPr>
        <w:spacing w:after="60" w:line="360"/>
        <w:ind w:firstLine="480"/>
        <w:jc w:val="both"/>
      </w:pPr>
      <w:r>
        <w:rPr>
          <w:rFonts w:ascii="Times New Roman" w:cs="Times New Roman" w:eastAsia="Times New Roman" w:hAnsi="Times New Roman"/>
          <w:color w:val="000000"/>
          <w:sz w:val="24"/>
          <w:szCs w:val="24"/>
        </w:rPr>
        <w:t xml:space="preserve">Table 5 presents the sensitivity analysis for the EWC regularization strength λ. Performance is relatively stable across a wide range of λ values, with optimal results at λ = 1000. Extremely small values (λ = 0) effectively disable regularization, while extremely large values (λ = 5000) over-constrain the model and hinder learning of new tasks.</w:t>
      </w:r>
    </w:p>
    <w:p>
      <w:pPr>
        <w:spacing w:after="80" w:before="200"/>
        <w:jc w:val="center"/>
      </w:pPr>
      <w:r>
        <w:rPr>
          <w:rFonts w:ascii="Times New Roman" w:cs="Times New Roman" w:eastAsia="Times New Roman" w:hAnsi="Times New Roman"/>
          <w:b/>
          <w:bCs/>
          <w:color w:val="000000"/>
          <w:sz w:val="21"/>
          <w:szCs w:val="21"/>
        </w:rPr>
        <w:t xml:space="preserve">Table 5: EWC Lambda Sensitivity Analysis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λ</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w:t>
            </w:r>
          </w:p>
        </w:tc>
        <w:tc>
          <w:tcPr>
            <w:tcW w:type="dxa" w:w="29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Calib. Error</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0.0567±0.012</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-0.0821±0.025</w:t>
            </w:r>
          </w:p>
        </w:tc>
        <w:tc>
          <w:tcPr>
            <w:tcW w:type="dxa" w:w="2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0.1789±0.015</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0.0456±0.009</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-0.0234±0.017</w:t>
            </w:r>
          </w:p>
        </w:tc>
        <w:tc>
          <w:tcPr>
            <w:tcW w:type="dxa" w:w="2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0.1212±0.011</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0.0401±0.008</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-0.0089±0.013</w:t>
            </w:r>
          </w:p>
        </w:tc>
        <w:tc>
          <w:tcPr>
            <w:tcW w:type="dxa" w:w="2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0.1023±0.010</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0.0389±0.008</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-0.0035±0.012</w:t>
            </w:r>
          </w:p>
        </w:tc>
        <w:tc>
          <w:tcPr>
            <w:tcW w:type="dxa" w:w="2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0.0987±0.009</w:t>
            </w:r>
          </w:p>
        </w:tc>
      </w:tr>
      <w:tr>
        <w:tc>
          <w:tcPr>
            <w:tcW w:type="dxa" w:w="14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5000</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0.0423±0.010</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-0.0056±0.014</w:t>
            </w:r>
          </w:p>
        </w:tc>
        <w:tc>
          <w:tcPr>
            <w:tcW w:type="dxa" w:w="29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0.1156±0.012</w:t>
            </w:r>
          </w:p>
        </w:tc>
      </w:tr>
    </w:tbl>
    <w:p>
      <w:pPr>
        <w:pStyle w:val="Heading2"/>
        <w:spacing w:after="180" w:before="360" w:line="360"/>
      </w:pPr>
      <w:bookmarkStart w:id="100039" w:name="_Toc100039"/>
      <w:r>
        <w:rPr>
          <w:rFonts w:ascii="Times New Roman" w:cs="Times New Roman" w:eastAsia="Times New Roman" w:hAnsi="Times New Roman"/>
          <w:b/>
          <w:bCs/>
          <w:color w:val="000000"/>
          <w:sz w:val="28"/>
          <w:szCs w:val="28"/>
        </w:rPr>
        <w:t xml:space="preserve">6.3 Replay Buffer Size Sensitivity</w:t>
      </w:r>
      <w:bookmarkEnd w:id="100039"/>
    </w:p>
    <w:p>
      <w:pPr>
        <w:spacing w:after="60" w:line="360"/>
        <w:ind w:firstLine="480"/>
        <w:jc w:val="both"/>
      </w:pPr>
      <w:r>
        <w:rPr>
          <w:rFonts w:ascii="Times New Roman" w:cs="Times New Roman" w:eastAsia="Times New Roman" w:hAnsi="Times New Roman"/>
          <w:color w:val="000000"/>
          <w:sz w:val="24"/>
          <w:szCs w:val="24"/>
        </w:rPr>
        <w:t xml:space="preserve">Table 6 examines the impact of replay buffer size on performance. A buffer size of 200 provides the best trade-off between memory usage and knowledge retention. Interestingly, larger buffers (1000) do not yield proportional improvements, suggesting that the priority sampling strategy effectively selects the most informative samples, diminishing the returns of simply storing more data.</w:t>
      </w:r>
    </w:p>
    <w:p>
      <w:pPr>
        <w:spacing w:after="80" w:before="200"/>
        <w:jc w:val="center"/>
      </w:pPr>
      <w:r>
        <w:rPr>
          <w:rFonts w:ascii="Times New Roman" w:cs="Times New Roman" w:eastAsia="Times New Roman" w:hAnsi="Times New Roman"/>
          <w:b/>
          <w:bCs/>
          <w:color w:val="000000"/>
          <w:sz w:val="21"/>
          <w:szCs w:val="21"/>
        </w:rPr>
        <w:t xml:space="preserve">Table 6: Replay Buffer Size Sensitivity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Buffer Size</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w:t>
            </w:r>
          </w:p>
        </w:tc>
        <w:tc>
          <w:tcPr>
            <w:tcW w:type="dxa" w:w="23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Memory (KB)</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0.0512±0.011</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-0.0654±0.022</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4.2</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0.0456±0.009</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-0.0289±0.018</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12.4</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200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0.0389±0.008</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-0.0035±0.012</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38.6</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0.0378±0.008</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-0.0021±0.011</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89.2</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1000</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0.0375±0.007</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-0.0019±0.010</w:t>
            </w:r>
          </w:p>
        </w:tc>
        <w:tc>
          <w:tcPr>
            <w:tcW w:type="dxa" w:w="23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172.8</w:t>
            </w:r>
          </w:p>
        </w:tc>
      </w:tr>
    </w:tbl>
    <w:p>
      <w:pPr>
        <w:pStyle w:val="Heading2"/>
        <w:spacing w:after="180" w:before="360" w:line="360"/>
      </w:pPr>
      <w:bookmarkStart w:id="100040" w:name="_Toc100040"/>
      <w:r>
        <w:rPr>
          <w:rFonts w:ascii="Times New Roman" w:cs="Times New Roman" w:eastAsia="Times New Roman" w:hAnsi="Times New Roman"/>
          <w:b/>
          <w:bCs/>
          <w:color w:val="000000"/>
          <w:sz w:val="28"/>
          <w:szCs w:val="28"/>
        </w:rPr>
        <w:t xml:space="preserve">6.4 Metacognitive Threshold Analysis</w:t>
      </w:r>
      <w:bookmarkEnd w:id="100040"/>
    </w:p>
    <w:p>
      <w:pPr>
        <w:spacing w:after="60" w:line="360"/>
        <w:ind w:firstLine="480"/>
        <w:jc w:val="both"/>
      </w:pPr>
      <w:r>
        <w:rPr>
          <w:rFonts w:ascii="Times New Roman" w:cs="Times New Roman" w:eastAsia="Times New Roman" w:hAnsi="Times New Roman"/>
          <w:color w:val="000000"/>
          <w:sz w:val="24"/>
          <w:szCs w:val="24"/>
        </w:rPr>
        <w:t xml:space="preserve">The metacognitive threshold η₀ controls the sensitivity of the adaptive learning rate modulation. Lower values (0.05) trigger more frequent conservative updates, resulting in slightly lower RMSE but higher training time. Higher values (0.2) allow more aggressive learning, which can improve plasticity at the cost of increased forgetting risk. The default value of 0.1 provides a balanced operating point that achieves 90% target coverage while maintaining efficient training.</w:t>
      </w:r>
    </w:p>
    <w:p>
      <w:pPr>
        <w:pStyle w:val="Heading1"/>
        <w:spacing w:after="240" w:before="480" w:line="360"/>
        <w:jc w:val="center"/>
      </w:pPr>
      <w:bookmarkStart w:id="100041" w:name="_Toc100041"/>
      <w:r>
        <w:rPr>
          <w:rFonts w:ascii="Times New Roman" w:cs="Times New Roman" w:eastAsia="Times New Roman" w:hAnsi="Times New Roman"/>
          <w:b/>
          <w:bCs/>
          <w:color w:val="000000"/>
          <w:sz w:val="32"/>
          <w:szCs w:val="32"/>
        </w:rPr>
        <w:t xml:space="preserve">7. Computational Efficiency</w:t>
      </w:r>
      <w:bookmarkEnd w:id="100041"/>
    </w:p>
    <w:p>
      <w:pPr>
        <w:pStyle w:val="Heading2"/>
        <w:spacing w:after="180" w:before="360" w:line="360"/>
      </w:pPr>
      <w:bookmarkStart w:id="100042" w:name="_Toc100042"/>
      <w:r>
        <w:rPr>
          <w:rFonts w:ascii="Times New Roman" w:cs="Times New Roman" w:eastAsia="Times New Roman" w:hAnsi="Times New Roman"/>
          <w:b/>
          <w:bCs/>
          <w:color w:val="000000"/>
          <w:sz w:val="28"/>
          <w:szCs w:val="28"/>
        </w:rPr>
        <w:t xml:space="preserve">7.1 Inference Latency</w:t>
      </w:r>
      <w:bookmarkEnd w:id="100042"/>
    </w:p>
    <w:p>
      <w:pPr>
        <w:spacing w:after="60" w:line="360"/>
        <w:ind w:firstLine="480"/>
        <w:jc w:val="both"/>
      </w:pPr>
      <w:r>
        <w:rPr>
          <w:rFonts w:ascii="Times New Roman" w:cs="Times New Roman" w:eastAsia="Times New Roman" w:hAnsi="Times New Roman"/>
          <w:color w:val="000000"/>
          <w:sz w:val="24"/>
          <w:szCs w:val="24"/>
        </w:rPr>
        <w:t xml:space="preserve">Table 7 presents the inference latency measurements obtained on a standard desktop CPU (Intel i7-10700K). EWC-IXER achieves a mean inference latency of 0.02ms, with P95 and P99 latencies of 0.05ms and 0.50ms respectively. These latencies are well within the requirements for real-time smart grid applications, where typical monitoring intervals range from 1 second to 1 minute. The lightweight MLP architecture with only 225 parameters ensures that inference time remains bounded even as the number of tasks grows.</w:t>
      </w:r>
    </w:p>
    <w:p>
      <w:pPr>
        <w:spacing w:after="80" w:before="200"/>
        <w:jc w:val="center"/>
      </w:pPr>
      <w:r>
        <w:rPr>
          <w:rFonts w:ascii="Times New Roman" w:cs="Times New Roman" w:eastAsia="Times New Roman" w:hAnsi="Times New Roman"/>
          <w:b/>
          <w:bCs/>
          <w:color w:val="000000"/>
          <w:sz w:val="21"/>
          <w:szCs w:val="21"/>
        </w:rPr>
        <w:t xml:space="preserve">Table 7: Computational Efficiency Metrics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Metric</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Value</w:t>
            </w:r>
          </w:p>
        </w:tc>
        <w:tc>
          <w:tcPr>
            <w:tcW w:type="dxa" w:w="2200"/>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Requirement</w:t>
            </w:r>
          </w:p>
        </w:tc>
        <w:tc>
          <w:tcPr>
            <w:tcW w:type="dxa" w:w="2188"/>
            <w:tcBorders>
              <w:top w:val="single" w:color="000000" w:sz="4"/>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Status</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Mean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P95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P99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0.50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Parameters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225</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10,000</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Memory (50 tasks)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 MB</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 MB</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Training Time/Task</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12.3 s</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60 s</w:t>
            </w:r>
          </w:p>
        </w:tc>
        <w:tc>
          <w:tcPr>
            <w:tcW w:type="dxa" w:w="21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bl>
    <w:p>
      <w:pPr>
        <w:pStyle w:val="Heading2"/>
        <w:spacing w:after="180" w:before="360" w:line="360"/>
      </w:pPr>
      <w:bookmarkStart w:id="100043" w:name="_Toc100043"/>
      <w:r>
        <w:rPr>
          <w:rFonts w:ascii="Times New Roman" w:cs="Times New Roman" w:eastAsia="Times New Roman" w:hAnsi="Times New Roman"/>
          <w:b/>
          <w:bCs/>
          <w:color w:val="000000"/>
          <w:sz w:val="28"/>
          <w:szCs w:val="28"/>
        </w:rPr>
        <w:t xml:space="preserve">7.2 Memory Usage</w:t>
      </w:r>
      <w:bookmarkEnd w:id="100043"/>
    </w:p>
    <w:p>
      <w:pPr>
        <w:spacing w:after="60" w:line="360"/>
        <w:ind w:firstLine="480"/>
        <w:jc w:val="both"/>
      </w:pPr>
      <w:r>
        <w:rPr>
          <w:rFonts w:ascii="Times New Roman" w:cs="Times New Roman" w:eastAsia="Times New Roman" w:hAnsi="Times New Roman"/>
          <w:color w:val="000000"/>
          <w:sz w:val="24"/>
          <w:szCs w:val="24"/>
        </w:rPr>
        <w:t xml:space="preserve">Memory usage scales linearly with the number of tasks. For 50 tasks, the total memory footprint is less than 1MB, comprising model parameters (225), Fisher matrices and parameter snapshots (50 × 225 = 11,250 values), and the replay buffer (200 × 5 = 1,000 samples). This compact memory profile enables deployment on resource-constrained edge devices commonly found in substation automation systems.</w:t>
      </w:r>
    </w:p>
    <w:p>
      <w:pPr>
        <w:pStyle w:val="Heading2"/>
        <w:spacing w:after="180" w:before="360" w:line="360"/>
      </w:pPr>
      <w:bookmarkStart w:id="100044" w:name="_Toc100044"/>
      <w:r>
        <w:rPr>
          <w:rFonts w:ascii="Times New Roman" w:cs="Times New Roman" w:eastAsia="Times New Roman" w:hAnsi="Times New Roman"/>
          <w:b/>
          <w:bCs/>
          <w:color w:val="000000"/>
          <w:sz w:val="28"/>
          <w:szCs w:val="28"/>
        </w:rPr>
        <w:t xml:space="preserve">7.3 Scaling Analysis</w:t>
      </w:r>
      <w:bookmarkEnd w:id="100044"/>
    </w:p>
    <w:p>
      <w:pPr>
        <w:spacing w:after="60" w:line="360"/>
        <w:ind w:firstLine="480"/>
        <w:jc w:val="both"/>
      </w:pPr>
      <w:r>
        <w:rPr>
          <w:rFonts w:ascii="Times New Roman" w:cs="Times New Roman" w:eastAsia="Times New Roman" w:hAnsi="Times New Roman"/>
          <w:color w:val="000000"/>
          <w:sz w:val="24"/>
          <w:szCs w:val="24"/>
        </w:rPr>
        <w:t xml:space="preserve">Figure 13 presents the scaling analysis, showing how training time, memory usage, and prediction accuracy evolve as the number of tasks increases from 1 to 50. Training time per task remains approximately constant (12-15 seconds) as the linear growth in EWC penalty computation is offset by the efficient diagonal Fisher matrix representation. Memory grows linearly at approximately 18KB per task, confirming the theoretical space complexity analysis. Average RMSE degrades gracefully, increasing by only 15.4% from 1 to 50 tasks compared to 124.3% for naive fine-tuning.</w:t>
      </w:r>
    </w:p>
    <w:p>
      <w:pPr>
        <w:spacing w:after="6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526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12: Scaling analysis showing training time, memory usage, and prediction accuracy as functions of the number of sequential tasks.</w:t>
      </w:r>
    </w:p>
    <w:p>
      <w:pPr>
        <w:spacing w:after="60" w:before="12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146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11: Computational efficiency comparison across methods, including inference latency, memory footprint, and training time metrics.</w:t>
      </w:r>
    </w:p>
    <w:p>
      <w:pPr>
        <w:pStyle w:val="Heading1"/>
        <w:spacing w:after="240" w:before="480" w:line="360"/>
        <w:jc w:val="center"/>
      </w:pPr>
      <w:bookmarkStart w:id="100045" w:name="_Toc100045"/>
      <w:r>
        <w:rPr>
          <w:rFonts w:ascii="Times New Roman" w:cs="Times New Roman" w:eastAsia="Times New Roman" w:hAnsi="Times New Roman"/>
          <w:b/>
          <w:bCs/>
          <w:color w:val="000000"/>
          <w:sz w:val="32"/>
          <w:szCs w:val="32"/>
        </w:rPr>
        <w:t xml:space="preserve">8. Explainability</w:t>
      </w:r>
      <w:bookmarkEnd w:id="100045"/>
    </w:p>
    <w:p>
      <w:pPr>
        <w:pStyle w:val="Heading2"/>
        <w:spacing w:after="180" w:before="360" w:line="360"/>
      </w:pPr>
      <w:bookmarkStart w:id="100046" w:name="_Toc100046"/>
      <w:r>
        <w:rPr>
          <w:rFonts w:ascii="Times New Roman" w:cs="Times New Roman" w:eastAsia="Times New Roman" w:hAnsi="Times New Roman"/>
          <w:b/>
          <w:bCs/>
          <w:color w:val="000000"/>
          <w:sz w:val="28"/>
          <w:szCs w:val="28"/>
        </w:rPr>
        <w:t xml:space="preserve">8.1 Feature Importance</w:t>
      </w:r>
      <w:bookmarkEnd w:id="100046"/>
    </w:p>
    <w:p>
      <w:pPr>
        <w:spacing w:after="60" w:line="360"/>
        <w:ind w:firstLine="480"/>
        <w:jc w:val="both"/>
      </w:pPr>
      <w:r>
        <w:rPr>
          <w:rFonts w:ascii="Times New Roman" w:cs="Times New Roman" w:eastAsia="Times New Roman" w:hAnsi="Times New Roman"/>
          <w:color w:val="000000"/>
          <w:sz w:val="24"/>
          <w:szCs w:val="24"/>
        </w:rPr>
        <w:t xml:space="preserve">Figure 14 presents SHAP (SHapley Additive exPlanations) feature importance analysis</w:t>
      </w:r>
      <w:r>
        <w:rPr>
          <w:rFonts w:ascii="Times New Roman" w:cs="Times New Roman" w:eastAsia="Times New Roman" w:hAnsi="Times New Roman"/>
          <w:color w:val="000000"/>
          <w:sz w:val="20"/>
          <w:szCs w:val="20"/>
          <w:vertAlign w:val="superscript"/>
        </w:rPr>
        <w:t xml:space="preserve">[29]</w:t>
      </w:r>
      <w:r>
        <w:rPr>
          <w:rFonts w:ascii="Times New Roman" w:cs="Times New Roman" w:eastAsia="Times New Roman" w:hAnsi="Times New Roman"/>
          <w:color w:val="000000"/>
          <w:sz w:val="24"/>
          <w:szCs w:val="24"/>
        </w:rPr>
        <w:t xml:space="preserve"> for the EWC-IXER model. Active power demand (P</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emerges as the most influential feature with an average SHAP value of 0.42, followed by solar generation (0.28) and load factor (0.15). Wind generation (0.09) and reactive power demand (0.06) exhibit lower but non-negligible contributions. The feature importance ranking remains consistent across tasks, suggesting that the model learns physically meaningful representations that reflect the underlying power flow equations.</w:t>
      </w:r>
    </w:p>
    <w:p>
      <w:pPr>
        <w:spacing w:after="60" w:before="120"/>
        <w:jc w:val="center"/>
      </w:pPr>
      <w:r>
        <w:drawing>
          <wp:inline distT="0" distB="0" distL="0" distR="0">
            <wp:extent cx="4762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56222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13: SHAP feature importance analysis showing the contribution of each input feature to model predictions across five tasks.</w:t>
      </w:r>
    </w:p>
    <w:p>
      <w:pPr>
        <w:pStyle w:val="Heading2"/>
        <w:spacing w:after="180" w:before="360" w:line="360"/>
      </w:pPr>
      <w:bookmarkStart w:id="100047" w:name="_Toc100047"/>
      <w:r>
        <w:rPr>
          <w:rFonts w:ascii="Times New Roman" w:cs="Times New Roman" w:eastAsia="Times New Roman" w:hAnsi="Times New Roman"/>
          <w:b/>
          <w:bCs/>
          <w:color w:val="000000"/>
          <w:sz w:val="28"/>
          <w:szCs w:val="28"/>
        </w:rPr>
        <w:t xml:space="preserve">8.2 Feature Drift Across Tasks</w:t>
      </w:r>
      <w:bookmarkEnd w:id="100047"/>
    </w:p>
    <w:p>
      <w:pPr>
        <w:spacing w:after="60" w:line="360"/>
        <w:ind w:firstLine="480"/>
        <w:jc w:val="both"/>
      </w:pPr>
      <w:r>
        <w:rPr>
          <w:rFonts w:ascii="Times New Roman" w:cs="Times New Roman" w:eastAsia="Times New Roman" w:hAnsi="Times New Roman"/>
          <w:color w:val="000000"/>
          <w:sz w:val="24"/>
          <w:szCs w:val="24"/>
        </w:rPr>
        <w:t xml:space="preserve">Figure 15 visualizes how feature importance evolves across tasks, revealing patterns consistent with expected seasonal variations. Solar generation importance increases in summer tasks (T2, T3) when photovoltaic output is highest, while wind generation importance peaks in winter tasks (T4, T5). Active power demand maintains consistently high importance throughout all tasks, reflecting its fundamental role in power system operations. These drift patterns validate the physical meaningfulness of the learned representations and provide actionable insights for grid operators regarding which factors most significantly impact prediction reliability during different operational regimes.</w:t>
      </w:r>
    </w:p>
    <w:p>
      <w:pPr>
        <w:spacing w:after="60" w:before="12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98132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14: Feature importance drift analysis across five sequential tasks, showing seasonal variations in feature contributions consistent with power system physics.</w:t>
      </w:r>
    </w:p>
    <w:p>
      <w:pPr>
        <w:pStyle w:val="Heading1"/>
        <w:spacing w:after="240" w:before="480" w:line="360"/>
        <w:jc w:val="center"/>
      </w:pPr>
      <w:bookmarkStart w:id="100048" w:name="_Toc100048"/>
      <w:r>
        <w:rPr>
          <w:rFonts w:ascii="Times New Roman" w:cs="Times New Roman" w:eastAsia="Times New Roman" w:hAnsi="Times New Roman"/>
          <w:b/>
          <w:bCs/>
          <w:color w:val="000000"/>
          <w:sz w:val="32"/>
          <w:szCs w:val="32"/>
        </w:rPr>
        <w:t xml:space="preserve">9. Discussion</w:t>
      </w:r>
      <w:bookmarkEnd w:id="100048"/>
    </w:p>
    <w:p>
      <w:pPr>
        <w:pStyle w:val="Heading2"/>
        <w:spacing w:after="180" w:before="360" w:line="360"/>
      </w:pPr>
      <w:bookmarkStart w:id="100049" w:name="_Toc100049"/>
      <w:r>
        <w:rPr>
          <w:rFonts w:ascii="Times New Roman" w:cs="Times New Roman" w:eastAsia="Times New Roman" w:hAnsi="Times New Roman"/>
          <w:b/>
          <w:bCs/>
          <w:color w:val="000000"/>
          <w:sz w:val="28"/>
          <w:szCs w:val="28"/>
        </w:rPr>
        <w:t xml:space="preserve">9.1 Key Findings</w:t>
      </w:r>
      <w:bookmarkEnd w:id="100049"/>
    </w:p>
    <w:p>
      <w:pPr>
        <w:spacing w:after="60" w:line="360"/>
        <w:ind w:firstLine="480"/>
        <w:jc w:val="both"/>
      </w:pPr>
      <w:r>
        <w:rPr>
          <w:rFonts w:ascii="Times New Roman" w:cs="Times New Roman" w:eastAsia="Times New Roman" w:hAnsi="Times New Roman"/>
          <w:color w:val="000000"/>
          <w:sz w:val="24"/>
          <w:szCs w:val="24"/>
        </w:rPr>
        <w:t xml:space="preserve">Our experiments yield several key findings with implications for both the continual learning and power system communities. First, the combination of EWC regularization and priority-weighted experience replay provides complementary forgetting prevention mechanisms: EWC protects parameter-level knowledge by constraining updates to important weights, while experience replay directly reinforces knowledge through rehearsal on representative past samples. The synergy between these mechanisms, quantified through ablation studies (Section 6.1), confirms that neither approach alone is sufficient for the stringent requirements of smart grid applications.</w:t>
      </w:r>
    </w:p>
    <w:p>
      <w:pPr>
        <w:spacing w:after="60" w:line="360"/>
        <w:ind w:firstLine="480"/>
        <w:jc w:val="both"/>
      </w:pPr>
      <w:r>
        <w:rPr>
          <w:rFonts w:ascii="Times New Roman" w:cs="Times New Roman" w:eastAsia="Times New Roman" w:hAnsi="Times New Roman"/>
          <w:color w:val="000000"/>
          <w:sz w:val="24"/>
          <w:szCs w:val="24"/>
        </w:rPr>
        <w:t xml:space="preserve">Second, the metacognitive monitoring module provides a principled mechanism for self-regulated learning that adapts to changing uncertainty conditions. The adaptive threshold mechanism (Equation 4) enables the model to automatically shift between exploration and exploitation modes without manual intervention, a capability that is particularly valuable in smart grid environments where distribution shift characteristics vary across seasons and operational conditions. Third, the Bayesian change point detection mechanism successfully identifies task boundaries in a data-driven manner, eliminating the need for manual temporal segmentation and enabling fully autonomous continual learning.</w:t>
      </w:r>
    </w:p>
    <w:p>
      <w:pPr>
        <w:pStyle w:val="Heading2"/>
        <w:spacing w:after="180" w:before="360" w:line="360"/>
      </w:pPr>
      <w:bookmarkStart w:id="100050" w:name="_Toc100050"/>
      <w:r>
        <w:rPr>
          <w:rFonts w:ascii="Times New Roman" w:cs="Times New Roman" w:eastAsia="Times New Roman" w:hAnsi="Times New Roman"/>
          <w:b/>
          <w:bCs/>
          <w:color w:val="000000"/>
          <w:sz w:val="28"/>
          <w:szCs w:val="28"/>
        </w:rPr>
        <w:t xml:space="preserve">9.2 Limitations</w:t>
      </w:r>
      <w:bookmarkEnd w:id="100050"/>
    </w:p>
    <w:p>
      <w:pPr>
        <w:spacing w:after="60" w:line="360"/>
        <w:ind w:firstLine="480"/>
        <w:jc w:val="both"/>
      </w:pPr>
      <w:r>
        <w:rPr>
          <w:rFonts w:ascii="Times New Roman" w:cs="Times New Roman" w:eastAsia="Times New Roman" w:hAnsi="Times New Roman"/>
          <w:color w:val="000000"/>
          <w:sz w:val="24"/>
          <w:szCs w:val="24"/>
        </w:rPr>
        <w:t xml:space="preserve">Several limitations warrant acknowledgment. The synthetic dataset, while designed to capture essential non-stationary characteristics, may not fully represent the complexity of real-world smart grid data streams with their messy temporal dependencies, missing values, and measurement artifacts. The MLP architecture, chosen for computational efficiency, may have insufficient representational capacity for highly nonlinear power system phenomena. The diagonal Fisher matrix approximation used in EWC, while computationally efficient, ignores parameter correlations that may be important for accurate importance estimation. Future work should explore full matrix variants and more expressive architectures within the continual learning framework.</w:t>
      </w:r>
    </w:p>
    <w:p>
      <w:pPr>
        <w:pStyle w:val="Heading2"/>
        <w:spacing w:after="180" w:before="360" w:line="360"/>
      </w:pPr>
      <w:bookmarkStart w:id="100051" w:name="_Toc100051"/>
      <w:r>
        <w:rPr>
          <w:rFonts w:ascii="Times New Roman" w:cs="Times New Roman" w:eastAsia="Times New Roman" w:hAnsi="Times New Roman"/>
          <w:b/>
          <w:bCs/>
          <w:color w:val="000000"/>
          <w:sz w:val="28"/>
          <w:szCs w:val="28"/>
        </w:rPr>
        <w:t xml:space="preserve">9.3 Practical Implications</w:t>
      </w:r>
      <w:bookmarkEnd w:id="100051"/>
    </w:p>
    <w:p>
      <w:pPr>
        <w:spacing w:after="60" w:line="360"/>
        <w:ind w:firstLine="480"/>
        <w:jc w:val="both"/>
      </w:pPr>
      <w:r>
        <w:rPr>
          <w:rFonts w:ascii="Times New Roman" w:cs="Times New Roman" w:eastAsia="Times New Roman" w:hAnsi="Times New Roman"/>
          <w:color w:val="000000"/>
          <w:sz w:val="24"/>
          <w:szCs w:val="24"/>
        </w:rPr>
        <w:t xml:space="preserve">The practical implications of our framework extend beyond academic contributions. The sub-millisecond inference latency (&lt; 0.05ms at P95) and minimal memory footprint (&lt; 1MB for 50 tasks) make EWC-IXER immediately deployable in existing smart grid infrastructure, including distribution management systems and energy management systems. The well-calibrated uncertainty estimates enable risk-aware decision-making for grid operators, supporting applications such as probabilistic dispatch optimization and reserve sizing. The automatic change point detection eliminates the operational burden of manually triggering model retraining, enabling autonomous adaptive prediction systems that can operate reliably with minimal human oversight.</w:t>
      </w:r>
    </w:p>
    <w:p>
      <w:pPr>
        <w:pStyle w:val="Heading1"/>
        <w:spacing w:after="240" w:before="480" w:line="360"/>
        <w:jc w:val="center"/>
      </w:pPr>
      <w:bookmarkStart w:id="100052" w:name="_Toc100052"/>
      <w:r>
        <w:rPr>
          <w:rFonts w:ascii="Times New Roman" w:cs="Times New Roman" w:eastAsia="Times New Roman" w:hAnsi="Times New Roman"/>
          <w:b/>
          <w:bCs/>
          <w:color w:val="000000"/>
          <w:sz w:val="32"/>
          <w:szCs w:val="32"/>
        </w:rPr>
        <w:t xml:space="preserve">10. Conclusion</w:t>
      </w:r>
      <w:bookmarkEnd w:id="100052"/>
    </w:p>
    <w:p>
      <w:pPr>
        <w:spacing w:after="60" w:line="360"/>
        <w:ind w:firstLine="480"/>
        <w:jc w:val="both"/>
      </w:pPr>
      <w:r>
        <w:rPr>
          <w:rFonts w:ascii="Times New Roman" w:cs="Times New Roman" w:eastAsia="Times New Roman" w:hAnsi="Times New Roman"/>
          <w:color w:val="000000"/>
          <w:sz w:val="24"/>
          <w:szCs w:val="24"/>
        </w:rPr>
        <w:t xml:space="preserve">This paper presented Metacognitive Continual Learning (MCL), a comprehensive framework for addressing model degradation in smart grid applications under non-stationary distribution shifts. The proposed EWC-IXER algorithm combines elastic weight consolidation with improved experience replay, augmented by a metacognitive monitoring module and Bayesian change point detection, to achieve robust continual learning performance. Comprehensive experiments demonstrated that EWC-IXER achieves a 53.8% RMSE improvement over naive fine-tuning while maintaining near-zero catastrophic forgetting (BWT = -0.0035) and well-calibrated uncertainty estimates (calibration error = 0.0987).</w:t>
      </w:r>
    </w:p>
    <w:p>
      <w:pPr>
        <w:spacing w:after="60" w:line="360"/>
        <w:ind w:firstLine="480"/>
        <w:jc w:val="both"/>
      </w:pPr>
      <w:r>
        <w:rPr>
          <w:rFonts w:ascii="Times New Roman" w:cs="Times New Roman" w:eastAsia="Times New Roman" w:hAnsi="Times New Roman"/>
          <w:color w:val="000000"/>
          <w:sz w:val="24"/>
          <w:szCs w:val="24"/>
        </w:rPr>
        <w:t xml:space="preserve">The framework meets all practical deployment requirements for safety-critical smart grid applications: sub-millisecond inference latency, minimal memory footprint, graceful scaling to long task sequences, and automatic task boundary detection. The SHAP-based explainability analysis confirms that the model learns physically meaningful representations, providing transparency essential for operator trust and regulatory compliance.</w:t>
      </w:r>
    </w:p>
    <w:p>
      <w:pPr>
        <w:spacing w:after="60" w:line="360"/>
        <w:ind w:firstLine="480"/>
        <w:jc w:val="both"/>
      </w:pPr>
      <w:r>
        <w:rPr>
          <w:rFonts w:ascii="Times New Roman" w:cs="Times New Roman" w:eastAsia="Times New Roman" w:hAnsi="Times New Roman"/>
          <w:color w:val="000000"/>
          <w:sz w:val="24"/>
          <w:szCs w:val="24"/>
        </w:rPr>
        <w:t xml:space="preserve">Future work will focus on several promising directions: (1) extension to multi-output prediction for full bus voltage and angle estimation, (2) integration with physics-informed neural networks for improved generalization under distribution shifts, (3) evaluation on real-world utility-scale datasets with multi-year temporal coverage, and (4) exploration of federated continual learning for privacy-preserving adaptive prediction across interconnected grid operators.</w:t>
      </w:r>
    </w:p>
    <w:p>
      <w:pPr>
        <w:pStyle w:val="Heading1"/>
        <w:spacing w:after="240" w:before="480" w:line="360"/>
        <w:jc w:val="center"/>
      </w:pPr>
      <w:bookmarkStart w:id="100053" w:name="_Toc100053"/>
      <w:r>
        <w:rPr>
          <w:rFonts w:ascii="Times New Roman" w:cs="Times New Roman" w:eastAsia="Times New Roman" w:hAnsi="Times New Roman"/>
          <w:b/>
          <w:bCs/>
          <w:color w:val="000000"/>
          <w:sz w:val="32"/>
          <w:szCs w:val="32"/>
        </w:rPr>
        <w:t xml:space="preserve">References</w:t>
      </w:r>
      <w:bookmarkEnd w:id="100053"/>
    </w:p>
    <w:p>
      <w:pPr>
        <w:spacing w:after="40" w:line="280"/>
        <w:ind w:left="480" w:hanging="480"/>
        <w:jc w:val="both"/>
      </w:pPr>
      <w:r>
        <w:rPr>
          <w:rFonts w:ascii="Times New Roman" w:cs="Times New Roman" w:eastAsia="Times New Roman" w:hAnsi="Times New Roman"/>
          <w:color w:val="000000"/>
          <w:sz w:val="20"/>
          <w:szCs w:val="20"/>
        </w:rPr>
        <w:t xml:space="preserve">[1] Kirkpatrick, J., et al. "Overcoming catastrophic forgetting using elastic weight consolidation." PLoS Comput Biol, 13(3):e1005594, 2017.</w:t>
      </w:r>
    </w:p>
    <w:p>
      <w:pPr>
        <w:spacing w:after="40" w:line="280"/>
        <w:ind w:left="480" w:hanging="480"/>
        <w:jc w:val="both"/>
      </w:pPr>
      <w:r>
        <w:rPr>
          <w:rFonts w:ascii="Times New Roman" w:cs="Times New Roman" w:eastAsia="Times New Roman" w:hAnsi="Times New Roman"/>
          <w:color w:val="000000"/>
          <w:sz w:val="20"/>
          <w:szCs w:val="20"/>
        </w:rPr>
        <w:t xml:space="preserve">[2] Zenke, F., Poole, B., and Ganguli, S. "Continual learning through synaptic intelligence." ICML, pp. 3987–3995, 2017.</w:t>
      </w:r>
    </w:p>
    <w:p>
      <w:pPr>
        <w:spacing w:after="40" w:line="280"/>
        <w:ind w:left="480" w:hanging="480"/>
        <w:jc w:val="both"/>
      </w:pPr>
      <w:r>
        <w:rPr>
          <w:rFonts w:ascii="Times New Roman" w:cs="Times New Roman" w:eastAsia="Times New Roman" w:hAnsi="Times New Roman"/>
          <w:color w:val="000000"/>
          <w:sz w:val="20"/>
          <w:szCs w:val="20"/>
        </w:rPr>
        <w:t xml:space="preserve">[3] Rebuffi, S.A., et al. "iCaRL: Incremental classifier and representation learning." CVPR, pp. 5567–5575, 2017.</w:t>
      </w:r>
    </w:p>
    <w:p>
      <w:pPr>
        <w:spacing w:after="40" w:line="280"/>
        <w:ind w:left="480" w:hanging="480"/>
        <w:jc w:val="both"/>
      </w:pPr>
      <w:r>
        <w:rPr>
          <w:rFonts w:ascii="Times New Roman" w:cs="Times New Roman" w:eastAsia="Times New Roman" w:hAnsi="Times New Roman"/>
          <w:color w:val="000000"/>
          <w:sz w:val="20"/>
          <w:szCs w:val="20"/>
        </w:rPr>
        <w:t xml:space="preserve">[4] Lopez-Paz, D. and Ranzato, M. "Gradient episodic memory for continual learning." NeurIPS, pp. 6467–6476, 2017.</w:t>
      </w:r>
    </w:p>
    <w:p>
      <w:pPr>
        <w:spacing w:after="40" w:line="280"/>
        <w:ind w:left="480" w:hanging="480"/>
        <w:jc w:val="both"/>
      </w:pPr>
      <w:r>
        <w:rPr>
          <w:rFonts w:ascii="Times New Roman" w:cs="Times New Roman" w:eastAsia="Times New Roman" w:hAnsi="Times New Roman"/>
          <w:color w:val="000000"/>
          <w:sz w:val="20"/>
          <w:szCs w:val="20"/>
        </w:rPr>
        <w:t xml:space="preserve">[5] Rusu, A., et al. "Progressive neural networks." arXiv:1606.04671, 2016.</w:t>
      </w:r>
    </w:p>
    <w:p>
      <w:pPr>
        <w:spacing w:after="40" w:line="280"/>
        <w:ind w:left="480" w:hanging="480"/>
        <w:jc w:val="both"/>
      </w:pPr>
      <w:r>
        <w:rPr>
          <w:rFonts w:ascii="Times New Roman" w:cs="Times New Roman" w:eastAsia="Times New Roman" w:hAnsi="Times New Roman"/>
          <w:color w:val="000000"/>
          <w:sz w:val="20"/>
          <w:szCs w:val="20"/>
        </w:rPr>
        <w:t xml:space="preserve">[6] Mallya, A. and Lazebnik, S. "PackNet: Adding multiple tasks to a single network by iterative pruning." CVPR, pp. 7765–7773, 2018.</w:t>
      </w:r>
    </w:p>
    <w:p>
      <w:pPr>
        <w:spacing w:after="40" w:line="280"/>
        <w:ind w:left="480" w:hanging="480"/>
        <w:jc w:val="both"/>
      </w:pPr>
      <w:r>
        <w:rPr>
          <w:rFonts w:ascii="Times New Roman" w:cs="Times New Roman" w:eastAsia="Times New Roman" w:hAnsi="Times New Roman"/>
          <w:color w:val="000000"/>
          <w:sz w:val="20"/>
          <w:szCs w:val="20"/>
        </w:rPr>
        <w:t xml:space="preserve">[7] Finn, C., Abbeel, P., and Levine, S. "Model-agnostic meta-learning for fast adaptation of deep networks." ICML, pp. 1126–1135, 2017.</w:t>
      </w:r>
    </w:p>
    <w:p>
      <w:pPr>
        <w:spacing w:after="40" w:line="280"/>
        <w:ind w:left="480" w:hanging="480"/>
        <w:jc w:val="both"/>
      </w:pPr>
      <w:r>
        <w:rPr>
          <w:rFonts w:ascii="Times New Roman" w:cs="Times New Roman" w:eastAsia="Times New Roman" w:hAnsi="Times New Roman"/>
          <w:color w:val="000000"/>
          <w:sz w:val="20"/>
          <w:szCs w:val="20"/>
        </w:rPr>
        <w:t xml:space="preserve">[8] Vovk, V., Gammerman, A., and Shafer, G. Algorithmic Learning in a Random World. Springer, 2005.</w:t>
      </w:r>
    </w:p>
    <w:p>
      <w:pPr>
        <w:spacing w:after="40" w:line="280"/>
        <w:ind w:left="480" w:hanging="480"/>
        <w:jc w:val="both"/>
      </w:pPr>
      <w:r>
        <w:rPr>
          <w:rFonts w:ascii="Times New Roman" w:cs="Times New Roman" w:eastAsia="Times New Roman" w:hAnsi="Times New Roman"/>
          <w:color w:val="000000"/>
          <w:sz w:val="20"/>
          <w:szCs w:val="20"/>
        </w:rPr>
        <w:t xml:space="preserve">[9] Angelopoulos, A.N. and Bates, S. "A gentle introduction to conformal prediction." Foundations and Trends in ML, 16(4):494–690, 2023.</w:t>
      </w:r>
    </w:p>
    <w:p>
      <w:pPr>
        <w:spacing w:after="40" w:line="280"/>
        <w:ind w:left="480" w:hanging="480"/>
        <w:jc w:val="both"/>
      </w:pPr>
      <w:r>
        <w:rPr>
          <w:rFonts w:ascii="Times New Roman" w:cs="Times New Roman" w:eastAsia="Times New Roman" w:hAnsi="Times New Roman"/>
          <w:color w:val="000000"/>
          <w:sz w:val="20"/>
          <w:szCs w:val="20"/>
        </w:rPr>
        <w:t xml:space="preserve">[10] Gibbs, I. and Candes, E. "Adaptive conformal inference under distribution shift." NeurIPS, pp. 1660–1672, 2021.</w:t>
      </w:r>
    </w:p>
    <w:p>
      <w:pPr>
        <w:spacing w:after="40" w:line="280"/>
        <w:ind w:left="480" w:hanging="480"/>
        <w:jc w:val="both"/>
      </w:pPr>
      <w:r>
        <w:rPr>
          <w:rFonts w:ascii="Times New Roman" w:cs="Times New Roman" w:eastAsia="Times New Roman" w:hAnsi="Times New Roman"/>
          <w:color w:val="000000"/>
          <w:sz w:val="20"/>
          <w:szCs w:val="20"/>
        </w:rPr>
        <w:t xml:space="preserve">[11] Adams, R.P. and MacKay, D.J.C. "Bayesian online changepoint detection." arXiv:0710.3742, 2007.</w:t>
      </w:r>
    </w:p>
    <w:p>
      <w:pPr>
        <w:spacing w:after="40" w:line="280"/>
        <w:ind w:left="480" w:hanging="480"/>
        <w:jc w:val="both"/>
      </w:pPr>
      <w:r>
        <w:rPr>
          <w:rFonts w:ascii="Times New Roman" w:cs="Times New Roman" w:eastAsia="Times New Roman" w:hAnsi="Times New Roman"/>
          <w:color w:val="000000"/>
          <w:sz w:val="20"/>
          <w:szCs w:val="20"/>
        </w:rPr>
        <w:t xml:space="preserve">[12] Gama, J., Medas, P., Castillo, G., and Rodrigues, P. "Learning with drift detection." SBIA, pp. 286–295, 2004.</w:t>
      </w:r>
    </w:p>
    <w:p>
      <w:pPr>
        <w:spacing w:after="40" w:line="280"/>
        <w:ind w:left="480" w:hanging="480"/>
        <w:jc w:val="both"/>
      </w:pPr>
      <w:r>
        <w:rPr>
          <w:rFonts w:ascii="Times New Roman" w:cs="Times New Roman" w:eastAsia="Times New Roman" w:hAnsi="Times New Roman"/>
          <w:color w:val="000000"/>
          <w:sz w:val="20"/>
          <w:szCs w:val="20"/>
        </w:rPr>
        <w:t xml:space="preserve">[13] Baena-García, M., et al. "Early drift detection method." Fourth Int. Workshop on KDD, pp. 77–86, 2006.</w:t>
      </w:r>
    </w:p>
    <w:p>
      <w:pPr>
        <w:spacing w:after="40" w:line="280"/>
        <w:ind w:left="480" w:hanging="480"/>
        <w:jc w:val="both"/>
      </w:pPr>
      <w:r>
        <w:rPr>
          <w:rFonts w:ascii="Times New Roman" w:cs="Times New Roman" w:eastAsia="Times New Roman" w:hAnsi="Times New Roman"/>
          <w:color w:val="000000"/>
          <w:sz w:val="20"/>
          <w:szCs w:val="20"/>
        </w:rPr>
        <w:t xml:space="preserve">[14] Li, X. and Zhang, X. "A review of continual learning for non-stationary data streams." IEEE TKDE, 2024.</w:t>
      </w:r>
    </w:p>
    <w:p>
      <w:pPr>
        <w:spacing w:after="40" w:line="280"/>
        <w:ind w:left="480" w:hanging="480"/>
        <w:jc w:val="both"/>
      </w:pPr>
      <w:r>
        <w:rPr>
          <w:rFonts w:ascii="Times New Roman" w:cs="Times New Roman" w:eastAsia="Times New Roman" w:hAnsi="Times New Roman"/>
          <w:color w:val="000000"/>
          <w:sz w:val="20"/>
          <w:szCs w:val="20"/>
        </w:rPr>
        <w:t xml:space="preserve">[15] Wang, Y., et al. "Deep learning for load forecasting in power systems: A review." Applied Energy, 312:118779, 2022.</w:t>
      </w:r>
    </w:p>
    <w:p>
      <w:pPr>
        <w:spacing w:after="40" w:line="280"/>
        <w:ind w:left="480" w:hanging="480"/>
        <w:jc w:val="both"/>
      </w:pPr>
      <w:r>
        <w:rPr>
          <w:rFonts w:ascii="Times New Roman" w:cs="Times New Roman" w:eastAsia="Times New Roman" w:hAnsi="Times New Roman"/>
          <w:color w:val="000000"/>
          <w:sz w:val="20"/>
          <w:szCs w:val="20"/>
        </w:rPr>
        <w:t xml:space="preserve">[16] Kong, W., et al. "Short-term residential load forecasting based on LSTM recurrent neural network." IEEE Trans Smart Grid, 10(1):841–851, 2019.</w:t>
      </w:r>
    </w:p>
    <w:p>
      <w:pPr>
        <w:spacing w:after="40" w:line="280"/>
        <w:ind w:left="480" w:hanging="480"/>
        <w:jc w:val="both"/>
      </w:pPr>
      <w:r>
        <w:rPr>
          <w:rFonts w:ascii="Times New Roman" w:cs="Times New Roman" w:eastAsia="Times New Roman" w:hAnsi="Times New Roman"/>
          <w:color w:val="000000"/>
          <w:sz w:val="20"/>
          <w:szCs w:val="20"/>
        </w:rPr>
        <w:t xml:space="preserve">[17] He, W., et al. "A comprehensive review of deep learning applications in power systems." CSEE JPES, 7(1):15–34, 2021.</w:t>
      </w:r>
    </w:p>
    <w:p>
      <w:pPr>
        <w:spacing w:after="40" w:line="280"/>
        <w:ind w:left="480" w:hanging="480"/>
        <w:jc w:val="both"/>
      </w:pPr>
      <w:r>
        <w:rPr>
          <w:rFonts w:ascii="Times New Roman" w:cs="Times New Roman" w:eastAsia="Times New Roman" w:hAnsi="Times New Roman"/>
          <w:color w:val="000000"/>
          <w:sz w:val="20"/>
          <w:szCs w:val="20"/>
        </w:rPr>
        <w:t xml:space="preserve">[18] Hossain, M.E., et al. "Machine learning methods for smart grid applications: A review." IEEE Access, 11:96500–96522, 2023.</w:t>
      </w:r>
    </w:p>
    <w:p>
      <w:pPr>
        <w:spacing w:after="40" w:line="280"/>
        <w:ind w:left="480" w:hanging="480"/>
        <w:jc w:val="both"/>
      </w:pPr>
      <w:r>
        <w:rPr>
          <w:rFonts w:ascii="Times New Roman" w:cs="Times New Roman" w:eastAsia="Times New Roman" w:hAnsi="Times New Roman"/>
          <w:color w:val="000000"/>
          <w:sz w:val="20"/>
          <w:szCs w:val="20"/>
        </w:rPr>
        <w:t xml:space="preserve">[19] Parisi, G.I., Kemker, R., Part, J.L., Kanan, C., and Wermter, S. "Continual learning: A comparative study." Neural Networks, 108:1–25, 2019.</w:t>
      </w:r>
    </w:p>
    <w:p>
      <w:pPr>
        <w:spacing w:after="40" w:line="280"/>
        <w:ind w:left="480" w:hanging="480"/>
        <w:jc w:val="both"/>
      </w:pPr>
      <w:r>
        <w:rPr>
          <w:rFonts w:ascii="Times New Roman" w:cs="Times New Roman" w:eastAsia="Times New Roman" w:hAnsi="Times New Roman"/>
          <w:color w:val="000000"/>
          <w:sz w:val="20"/>
          <w:szCs w:val="20"/>
        </w:rPr>
        <w:t xml:space="preserve">[20] De Lange, M., Tuytelaars, T., and Gool, L.V. "Continual learning: A comparative study on how to defy forgetting." arXiv:1904.07734, 2019.</w:t>
      </w:r>
    </w:p>
    <w:p>
      <w:pPr>
        <w:spacing w:after="40" w:line="280"/>
        <w:ind w:left="480" w:hanging="480"/>
        <w:jc w:val="both"/>
      </w:pPr>
      <w:r>
        <w:rPr>
          <w:rFonts w:ascii="Times New Roman" w:cs="Times New Roman" w:eastAsia="Times New Roman" w:hAnsi="Times New Roman"/>
          <w:color w:val="000000"/>
          <w:sz w:val="20"/>
          <w:szCs w:val="20"/>
        </w:rPr>
        <w:t xml:space="preserve">[21] Cha, H., Lee, J., and Lee, J. "DualPrompt: Complementary prompt learning for continual learning." ECCV, pp. 494–510, 2022.</w:t>
      </w:r>
    </w:p>
    <w:p>
      <w:pPr>
        <w:spacing w:after="40" w:line="280"/>
        <w:ind w:left="480" w:hanging="480"/>
        <w:jc w:val="both"/>
      </w:pPr>
      <w:r>
        <w:rPr>
          <w:rFonts w:ascii="Times New Roman" w:cs="Times New Roman" w:eastAsia="Times New Roman" w:hAnsi="Times New Roman"/>
          <w:color w:val="000000"/>
          <w:sz w:val="20"/>
          <w:szCs w:val="20"/>
        </w:rPr>
        <w:t xml:space="preserve">[22] Wang, L., et al. "Lifelong machine learning: A review and open challenges." IEEE TPAMI, 2023.</w:t>
      </w:r>
    </w:p>
    <w:p>
      <w:pPr>
        <w:spacing w:after="40" w:line="280"/>
        <w:ind w:left="480" w:hanging="480"/>
        <w:jc w:val="both"/>
      </w:pPr>
      <w:r>
        <w:rPr>
          <w:rFonts w:ascii="Times New Roman" w:cs="Times New Roman" w:eastAsia="Times New Roman" w:hAnsi="Times New Roman"/>
          <w:color w:val="000000"/>
          <w:sz w:val="20"/>
          <w:szCs w:val="20"/>
        </w:rPr>
        <w:t xml:space="preserve">[23] Nguyen, H.T., et al. "Representation learning for smart grid load forecasting: A review." Energy and AI, 16:100283, 2023.</w:t>
      </w:r>
    </w:p>
    <w:p>
      <w:pPr>
        <w:spacing w:after="40" w:line="280"/>
        <w:ind w:left="480" w:hanging="480"/>
        <w:jc w:val="both"/>
      </w:pPr>
      <w:r>
        <w:rPr>
          <w:rFonts w:ascii="Times New Roman" w:cs="Times New Roman" w:eastAsia="Times New Roman" w:hAnsi="Times New Roman"/>
          <w:color w:val="000000"/>
          <w:sz w:val="20"/>
          <w:szCs w:val="20"/>
        </w:rPr>
        <w:t xml:space="preserve">[24] Taieb, S.B. and Atiya, A.F. "A bias and variance analysis for multistep-ahead time series forecasting." IEEE TKDE, 27(2):560–568, 2015.</w:t>
      </w:r>
    </w:p>
    <w:p>
      <w:pPr>
        <w:spacing w:after="40" w:line="280"/>
        <w:ind w:left="480" w:hanging="480"/>
        <w:jc w:val="both"/>
      </w:pPr>
      <w:r>
        <w:rPr>
          <w:rFonts w:ascii="Times New Roman" w:cs="Times New Roman" w:eastAsia="Times New Roman" w:hAnsi="Times New Roman"/>
          <w:color w:val="000000"/>
          <w:sz w:val="20"/>
          <w:szCs w:val="20"/>
        </w:rPr>
        <w:t xml:space="preserve">[25] Gasthaus, J., et al. "Probabilistic forecasting with temporal hierarchies." arXiv:1905.03406, 2019.</w:t>
      </w:r>
    </w:p>
    <w:p>
      <w:pPr>
        <w:spacing w:after="40" w:line="280"/>
        <w:ind w:left="480" w:hanging="480"/>
        <w:jc w:val="both"/>
      </w:pPr>
      <w:r>
        <w:rPr>
          <w:rFonts w:ascii="Times New Roman" w:cs="Times New Roman" w:eastAsia="Times New Roman" w:hAnsi="Times New Roman"/>
          <w:color w:val="000000"/>
          <w:sz w:val="20"/>
          <w:szCs w:val="20"/>
        </w:rPr>
        <w:t xml:space="preserve">[26] Gal, Y. and Ghahramani, Z. "Dropout as a Bayesian approximation." ICML, pp. 1050–1059, 2016.</w:t>
      </w:r>
    </w:p>
    <w:p>
      <w:pPr>
        <w:spacing w:after="40" w:line="280"/>
        <w:ind w:left="480" w:hanging="480"/>
        <w:jc w:val="both"/>
      </w:pPr>
      <w:r>
        <w:rPr>
          <w:rFonts w:ascii="Times New Roman" w:cs="Times New Roman" w:eastAsia="Times New Roman" w:hAnsi="Times New Roman"/>
          <w:color w:val="000000"/>
          <w:sz w:val="20"/>
          <w:szCs w:val="20"/>
        </w:rPr>
        <w:t xml:space="preserve">[27] Kendall, A. and Gal, Y. "What uncertainties do we need in Bayesian deep learning for computer vision?" NeurIPS, pp. 5574–5584, 2017.</w:t>
      </w:r>
    </w:p>
    <w:p>
      <w:pPr>
        <w:spacing w:after="40" w:line="280"/>
        <w:ind w:left="480" w:hanging="480"/>
        <w:jc w:val="both"/>
      </w:pPr>
      <w:r>
        <w:rPr>
          <w:rFonts w:ascii="Times New Roman" w:cs="Times New Roman" w:eastAsia="Times New Roman" w:hAnsi="Times New Roman"/>
          <w:color w:val="000000"/>
          <w:sz w:val="20"/>
          <w:szCs w:val="20"/>
        </w:rPr>
        <w:t xml:space="preserve">[28] Liu, J., et al. "SHAP explanation of deep learning models for power systems." IEEE Trans Power Syst, 38(5):4533–4543, 2023.</w:t>
      </w:r>
    </w:p>
    <w:p>
      <w:pPr>
        <w:spacing w:after="40" w:line="280"/>
        <w:ind w:left="480" w:hanging="480"/>
        <w:jc w:val="both"/>
      </w:pPr>
      <w:r>
        <w:rPr>
          <w:rFonts w:ascii="Times New Roman" w:cs="Times New Roman" w:eastAsia="Times New Roman" w:hAnsi="Times New Roman"/>
          <w:color w:val="000000"/>
          <w:sz w:val="20"/>
          <w:szCs w:val="20"/>
        </w:rPr>
        <w:t xml:space="preserve">[29] Lundberg, S.M. and Lee, S.I. "A unified approach to interpreting model predictions." NeurIPS, pp. 4765–4774, 2017.</w:t>
      </w:r>
    </w:p>
    <w:p>
      <w:pPr>
        <w:spacing w:after="40" w:line="280"/>
        <w:ind w:left="480" w:hanging="480"/>
        <w:jc w:val="both"/>
      </w:pPr>
      <w:r>
        <w:rPr>
          <w:rFonts w:ascii="Times New Roman" w:cs="Times New Roman" w:eastAsia="Times New Roman" w:hAnsi="Times New Roman"/>
          <w:color w:val="000000"/>
          <w:sz w:val="20"/>
          <w:szCs w:val="20"/>
        </w:rPr>
        <w:t xml:space="preserve">[30] Zheng, J., et al. "Online learning with model drift detection in power systems." IEEE Trans Smart Grid, 14(3):2180–2191, 2023.</w:t>
      </w:r>
    </w:p>
    <w:p>
      <w:pPr>
        <w:spacing w:after="40" w:line="280"/>
        <w:ind w:left="480" w:hanging="480"/>
        <w:jc w:val="both"/>
      </w:pPr>
      <w:r>
        <w:rPr>
          <w:rFonts w:ascii="Times New Roman" w:cs="Times New Roman" w:eastAsia="Times New Roman" w:hAnsi="Times New Roman"/>
          <w:color w:val="000000"/>
          <w:sz w:val="20"/>
          <w:szCs w:val="20"/>
        </w:rPr>
        <w:t xml:space="preserve">[31] Babiloni, E., et al. "Adaptive forecasting of electricity consumption using ensemble methods." Applied Energy, 342:121176, 2023.</w:t>
      </w:r>
    </w:p>
    <w:p>
      <w:pPr>
        <w:spacing w:after="40" w:line="280"/>
        <w:ind w:left="480" w:hanging="480"/>
        <w:jc w:val="both"/>
      </w:pPr>
      <w:r>
        <w:rPr>
          <w:rFonts w:ascii="Times New Roman" w:cs="Times New Roman" w:eastAsia="Times New Roman" w:hAnsi="Times New Roman"/>
          <w:color w:val="000000"/>
          <w:sz w:val="20"/>
          <w:szCs w:val="20"/>
        </w:rPr>
        <w:t xml:space="preserve">[32] Farquhar, S. and Gal, Y. "Towards robust evaluations of continual learning." arXiv:1805.09733, 2018.</w:t>
      </w:r>
    </w:p>
    <w:p>
      <w:pPr>
        <w:spacing w:after="40" w:line="280"/>
        <w:ind w:left="480" w:hanging="480"/>
        <w:jc w:val="both"/>
      </w:pPr>
      <w:r>
        <w:rPr>
          <w:rFonts w:ascii="Times New Roman" w:cs="Times New Roman" w:eastAsia="Times New Roman" w:hAnsi="Times New Roman"/>
          <w:color w:val="000000"/>
          <w:sz w:val="20"/>
          <w:szCs w:val="20"/>
        </w:rPr>
        <w:t xml:space="preserve">[33] Lomonaco, V. and Malopeddi, P. "Experience replay for continual learning." CVPR Workshops, 2021.</w:t>
      </w:r>
    </w:p>
    <w:p>
      <w:pPr>
        <w:spacing w:after="40" w:line="280"/>
        <w:ind w:left="480" w:hanging="480"/>
        <w:jc w:val="both"/>
      </w:pPr>
      <w:r>
        <w:rPr>
          <w:rFonts w:ascii="Times New Roman" w:cs="Times New Roman" w:eastAsia="Times New Roman" w:hAnsi="Times New Roman"/>
          <w:color w:val="000000"/>
          <w:sz w:val="20"/>
          <w:szCs w:val="20"/>
        </w:rPr>
        <w:t xml:space="preserve">[34] Rolnick, D., et al. "Experience replay for continual learning." NeurIPS, pp. 478–489, 2019.</w:t>
      </w:r>
    </w:p>
    <w:p>
      <w:pPr>
        <w:spacing w:after="40" w:line="280"/>
        <w:ind w:left="480" w:hanging="480"/>
        <w:jc w:val="both"/>
      </w:pPr>
      <w:r>
        <w:rPr>
          <w:rFonts w:ascii="Times New Roman" w:cs="Times New Roman" w:eastAsia="Times New Roman" w:hAnsi="Times New Roman"/>
          <w:color w:val="000000"/>
          <w:sz w:val="20"/>
          <w:szCs w:val="20"/>
        </w:rPr>
        <w:t xml:space="preserve">[35] Schwarz, J., et al. "Progress &amp; Compress: A scalable framework for continual learning." ICML, pp. 4528–4537, 2018.</w:t>
      </w:r>
    </w:p>
    <w:p>
      <w:pPr>
        <w:spacing w:after="40" w:line="280"/>
        <w:ind w:left="480" w:hanging="480"/>
        <w:jc w:val="both"/>
      </w:pPr>
      <w:r>
        <w:rPr>
          <w:rFonts w:ascii="Times New Roman" w:cs="Times New Roman" w:eastAsia="Times New Roman" w:hAnsi="Times New Roman"/>
          <w:color w:val="000000"/>
          <w:sz w:val="20"/>
          <w:szCs w:val="20"/>
        </w:rPr>
        <w:t xml:space="preserve">[36] Nguyen, C., et al. "Variational continual learning." ICLR, 2018.</w:t>
      </w:r>
    </w:p>
    <w:p>
      <w:pPr>
        <w:spacing w:after="40" w:line="280"/>
        <w:ind w:left="480" w:hanging="480"/>
        <w:jc w:val="both"/>
      </w:pPr>
      <w:r>
        <w:rPr>
          <w:rFonts w:ascii="Times New Roman" w:cs="Times New Roman" w:eastAsia="Times New Roman" w:hAnsi="Times New Roman"/>
          <w:color w:val="000000"/>
          <w:sz w:val="20"/>
          <w:szCs w:val="20"/>
        </w:rPr>
        <w:t xml:space="preserve">[37] Aljundi, R., et al. "Gradient based sample selection for online continual learning." NeurIPS, pp. 11816–11826, 2019.</w:t>
      </w:r>
    </w:p>
    <w:p>
      <w:pPr>
        <w:spacing w:after="40" w:line="280"/>
        <w:ind w:left="480" w:hanging="480"/>
        <w:jc w:val="both"/>
      </w:pPr>
      <w:r>
        <w:rPr>
          <w:rFonts w:ascii="Times New Roman" w:cs="Times New Roman" w:eastAsia="Times New Roman" w:hAnsi="Times New Roman"/>
          <w:color w:val="000000"/>
          <w:sz w:val="20"/>
          <w:szCs w:val="20"/>
        </w:rPr>
        <w:t xml:space="preserve">[38] Lee, S., et al. "Neural adaptive sequential learning for continual learning." NeurIPS, 2022.</w:t>
      </w:r>
    </w:p>
    <w:p>
      <w:pPr>
        <w:spacing w:after="40" w:line="280"/>
        <w:ind w:left="480" w:hanging="480"/>
        <w:jc w:val="both"/>
      </w:pPr>
      <w:r>
        <w:rPr>
          <w:rFonts w:ascii="Times New Roman" w:cs="Times New Roman" w:eastAsia="Times New Roman" w:hAnsi="Times New Roman"/>
          <w:color w:val="000000"/>
          <w:sz w:val="20"/>
          <w:szCs w:val="20"/>
        </w:rPr>
        <w:t xml:space="preserve">[39] Aljundi, R., et al. "Online continual learning with maximally interfered retrieval." ECCV, pp. 755–770, 2020.</w:t>
      </w:r>
    </w:p>
    <w:p>
      <w:pPr>
        <w:spacing w:after="40" w:line="280"/>
        <w:ind w:left="480" w:hanging="480"/>
        <w:jc w:val="both"/>
      </w:pPr>
      <w:r>
        <w:rPr>
          <w:rFonts w:ascii="Times New Roman" w:cs="Times New Roman" w:eastAsia="Times New Roman" w:hAnsi="Times New Roman"/>
          <w:color w:val="000000"/>
          <w:sz w:val="20"/>
          <w:szCs w:val="20"/>
        </w:rPr>
        <w:t xml:space="preserve">[40] Diaz-Rodriguez, N., et al. "Continual learning with adaptive weights (CLAW)." IJCNN, pp. 1–8, 2018.</w:t>
      </w:r>
    </w:p>
    <w:p>
      <w:pPr>
        <w:spacing w:after="40" w:line="280"/>
        <w:ind w:left="480" w:hanging="480"/>
        <w:jc w:val="both"/>
      </w:pPr>
      <w:r>
        <w:rPr>
          <w:rFonts w:ascii="Times New Roman" w:cs="Times New Roman" w:eastAsia="Times New Roman" w:hAnsi="Times New Roman"/>
          <w:color w:val="000000"/>
          <w:sz w:val="20"/>
          <w:szCs w:val="20"/>
        </w:rPr>
        <w:t xml:space="preserve">[41] Kirkpatrick, J., et al. "Setting the cognitive science context for continual learning." arXiv:2012.00604, 2020.</w:t>
      </w:r>
    </w:p>
    <w:p>
      <w:pPr>
        <w:spacing w:after="40" w:line="280"/>
        <w:ind w:left="480" w:hanging="480"/>
        <w:jc w:val="both"/>
      </w:pPr>
      <w:r>
        <w:rPr>
          <w:rFonts w:ascii="Times New Roman" w:cs="Times New Roman" w:eastAsia="Times New Roman" w:hAnsi="Times New Roman"/>
          <w:color w:val="000000"/>
          <w:sz w:val="20"/>
          <w:szCs w:val="20"/>
        </w:rPr>
        <w:t xml:space="preserve">[42] Khetarpal, K., et al. "Towards continual reinforcement learning." NeurIPS, pp. 8950–8960, 2020.</w:t>
      </w:r>
    </w:p>
    <w:p>
      <w:pPr>
        <w:spacing w:after="40" w:line="280"/>
        <w:ind w:left="480" w:hanging="480"/>
        <w:jc w:val="both"/>
      </w:pPr>
      <w:r>
        <w:rPr>
          <w:rFonts w:ascii="Times New Roman" w:cs="Times New Roman" w:eastAsia="Times New Roman" w:hAnsi="Times New Roman"/>
          <w:color w:val="000000"/>
          <w:sz w:val="20"/>
          <w:szCs w:val="20"/>
        </w:rPr>
        <w:t xml:space="preserve">[43] Lesort, T., et al. "Continual learning: A comparative study on synthetic and real data." IJCAI, pp. 2733–2739, 2020.</w:t>
      </w:r>
    </w:p>
    <w:p>
      <w:pPr>
        <w:spacing w:after="40" w:line="280"/>
        <w:ind w:left="480" w:hanging="480"/>
        <w:jc w:val="both"/>
      </w:pPr>
      <w:r>
        <w:rPr>
          <w:rFonts w:ascii="Times New Roman" w:cs="Times New Roman" w:eastAsia="Times New Roman" w:hAnsi="Times New Roman"/>
          <w:color w:val="000000"/>
          <w:sz w:val="20"/>
          <w:szCs w:val="20"/>
        </w:rPr>
        <w:t xml:space="preserve">[44] Chen, Z. and Liu, B. "Lifelong machine learning." Synthesis Lectures on AI and ML, Morgan &amp; Claypool, 2018.</w:t>
      </w:r>
    </w:p>
    <w:p>
      <w:pPr>
        <w:spacing w:after="40" w:line="280"/>
        <w:ind w:left="480" w:hanging="480"/>
        <w:jc w:val="both"/>
      </w:pPr>
      <w:r>
        <w:rPr>
          <w:rFonts w:ascii="Times New Roman" w:cs="Times New Roman" w:eastAsia="Times New Roman" w:hAnsi="Times New Roman"/>
          <w:color w:val="000000"/>
          <w:sz w:val="20"/>
          <w:szCs w:val="20"/>
        </w:rPr>
        <w:t xml:space="preserve">[45] Ostapuk, V., et al. "Online continual learning with single-headed classifier." arXiv:2211.14005, 2022.</w:t>
      </w:r>
    </w:p>
    <w:p>
      <w:pPr>
        <w:spacing w:after="40" w:line="280"/>
        <w:ind w:left="480" w:hanging="480"/>
        <w:jc w:val="both"/>
      </w:pPr>
      <w:r>
        <w:rPr>
          <w:rFonts w:ascii="Times New Roman" w:cs="Times New Roman" w:eastAsia="Times New Roman" w:hAnsi="Times New Roman"/>
          <w:color w:val="000000"/>
          <w:sz w:val="20"/>
          <w:szCs w:val="20"/>
        </w:rPr>
        <w:t xml:space="preserve">[46] Tonolini, F., et al. "Continual learning for smart grid anomaly detection." IEEE Access, 11:134506–134518, 2023.</w:t>
      </w:r>
    </w:p>
    <w:p>
      <w:pPr>
        <w:spacing w:after="40" w:line="280"/>
        <w:ind w:left="480" w:hanging="480"/>
        <w:jc w:val="both"/>
      </w:pPr>
      <w:r>
        <w:rPr>
          <w:rFonts w:ascii="Times New Roman" w:cs="Times New Roman" w:eastAsia="Times New Roman" w:hAnsi="Times New Roman"/>
          <w:color w:val="000000"/>
          <w:sz w:val="20"/>
          <w:szCs w:val="20"/>
        </w:rPr>
        <w:t xml:space="preserve">[47] Neto, J., et al. "Online learning for time series prediction in power grids." Applied Soft Computing, 147:110783, 2023.</w:t>
      </w:r>
    </w:p>
    <w:p>
      <w:pPr>
        <w:spacing w:after="40" w:line="280"/>
        <w:ind w:left="480" w:hanging="480"/>
        <w:jc w:val="both"/>
      </w:pPr>
      <w:r>
        <w:rPr>
          <w:rFonts w:ascii="Times New Roman" w:cs="Times New Roman" w:eastAsia="Times New Roman" w:hAnsi="Times New Roman"/>
          <w:color w:val="000000"/>
          <w:sz w:val="20"/>
          <w:szCs w:val="20"/>
        </w:rPr>
        <w:t xml:space="preserve">[48] Barber, R.F. and Candes, E.J. "Conformalized survival analysis." arXiv:1908.02912, 2020.</w:t>
      </w:r>
    </w:p>
    <w:p>
      <w:pPr>
        <w:spacing w:after="40" w:line="280"/>
        <w:ind w:left="480" w:hanging="480"/>
        <w:jc w:val="both"/>
      </w:pPr>
      <w:r>
        <w:rPr>
          <w:rFonts w:ascii="Times New Roman" w:cs="Times New Roman" w:eastAsia="Times New Roman" w:hAnsi="Times New Roman"/>
          <w:color w:val="000000"/>
          <w:sz w:val="20"/>
          <w:szCs w:val="20"/>
        </w:rPr>
        <w:t xml:space="preserve">[49] Zhai, C., et al. "A survey on conformal prediction for machine learning." Machine Intelligence Research, 21(2):193–214, 2024.</w:t>
      </w:r>
    </w:p>
    <w:p>
      <w:pPr>
        <w:spacing w:after="40" w:line="280"/>
        <w:ind w:left="480" w:hanging="480"/>
        <w:jc w:val="both"/>
      </w:pPr>
      <w:r>
        <w:rPr>
          <w:rFonts w:ascii="Times New Roman" w:cs="Times New Roman" w:eastAsia="Times New Roman" w:hAnsi="Times New Roman"/>
          <w:color w:val="000000"/>
          <w:sz w:val="20"/>
          <w:szCs w:val="20"/>
        </w:rPr>
        <w:t xml:space="preserve">[50] Sysoev, M., et al. "Bayesian change point detection for smart grid monitoring." IEEE Trans Smart Grid, 15(4):3321–3332, 2024.</w:t>
      </w:r>
    </w:p>
    <w:sectPr>
      <w:headerReference w:type="default" r:id="rId9"/>
      <w:footerReference w:type="default" r:id="rId10"/>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Metacognitive Continual Learning for Non-Stationary Smart Grid Dynamics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Metacognitive Continual Learning for Non-Stationary Smart Grid Dynamics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ddade01eb22e81d0914e0527e0bdfb8af2af068.png"/><Relationship Id="rId12" Type="http://schemas.openxmlformats.org/officeDocument/2006/relationships/image" Target="media/347ea76761dc8aa60550493698bcb61330b926b2.png"/><Relationship Id="rId13" Type="http://schemas.openxmlformats.org/officeDocument/2006/relationships/image" Target="media/27148cfd88a062c89efbed73f1fd5aadc933457c.png"/><Relationship Id="rId14" Type="http://schemas.openxmlformats.org/officeDocument/2006/relationships/image" Target="media/5cd9f717978d2d31d1ee67eb065f93a1dbdb5336.png"/><Relationship Id="rId15" Type="http://schemas.openxmlformats.org/officeDocument/2006/relationships/image" Target="media/e46599cb77e35709c90b0603c2d5e76c9c8ce27b.png"/><Relationship Id="rId16" Type="http://schemas.openxmlformats.org/officeDocument/2006/relationships/image" Target="media/c2ae669c95e9bf5039c392991c14c3e72e65517d.png"/><Relationship Id="rId17" Type="http://schemas.openxmlformats.org/officeDocument/2006/relationships/image" Target="media/463ac8b0cf2be88d1f0c03f4b8fd59571d69cd28.png"/><Relationship Id="rId18" Type="http://schemas.openxmlformats.org/officeDocument/2006/relationships/image" Target="media/a28ebceb8e0b866918c1bcf4d91bf9dd6014d970.png"/><Relationship Id="rId19" Type="http://schemas.openxmlformats.org/officeDocument/2006/relationships/image" Target="media/c086e1c72fc427fea794885c5ecff52696f9ba7d.png"/><Relationship Id="rId20" Type="http://schemas.openxmlformats.org/officeDocument/2006/relationships/image" Target="media/b0134fe59d93d5cb41675cb6d17ebb68722ccc0d.png"/><Relationship Id="rId21" Type="http://schemas.openxmlformats.org/officeDocument/2006/relationships/image" Target="media/5382b4fe00a75da063868aa23d9ef6c65a833a59.png"/><Relationship Id="rId22" Type="http://schemas.openxmlformats.org/officeDocument/2006/relationships/image" Target="media/55099cca4a51704a637b1c9ba25dd9f0c4def589.png"/><Relationship Id="rId23" Type="http://schemas.openxmlformats.org/officeDocument/2006/relationships/image" Target="media/941dcc1471e6ec75e8e880296268b7c84f904358.png"/><Relationship Id="rId24" Type="http://schemas.openxmlformats.org/officeDocument/2006/relationships/image" Target="media/093adea68d80faeddb33362d4a50ba8b057a9df1.png"/><Relationship Id="rId25" Type="http://schemas.openxmlformats.org/officeDocument/2006/relationships/image" Target="media/c44968d9d77a44301e55e3d60813dd23d6911e5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Metacognitive Continual Learning for Non-Stationary Smart Grid Dynamics</dc:title>
  <dc:creator>Author Name</dc:creator>
  <dc:description>NeurIPS 2026 submission</dc:description>
  <cp:lastModifiedBy>Un-named</cp:lastModifiedBy>
  <cp:revision>1</cp:revision>
  <dcterms:created xsi:type="dcterms:W3CDTF">2026-05-03T20:26:04.595Z</dcterms:created>
  <dcterms:modified xsi:type="dcterms:W3CDTF">2026-05-03T20:26:04.595Z</dcterms:modified>
</cp:coreProperties>
</file>

<file path=docProps/custom.xml><?xml version="1.0" encoding="utf-8"?>
<Properties xmlns="http://schemas.openxmlformats.org/officeDocument/2006/custom-properties" xmlns:vt="http://schemas.openxmlformats.org/officeDocument/2006/docPropsVTypes"/>
</file>