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Chapter13: Conclusions and Future Work</w:t>
      </w:r>
    </w:p>
    <w:p>
      <w:r>
        <w:t>Summary with HIL elevated to contribution.</w:t>
      </w:r>
    </w:p>
    <w:p>
      <w:pPr>
        <w:pStyle w:val="Heading2"/>
      </w:pPr>
      <w:r>
        <w:t>13.1 Key Findings</w:t>
      </w:r>
    </w:p>
    <w:p>
      <w:pPr>
        <w:pStyle w:val="ListBullet"/>
      </w:pPr>
      <w:r>
        <w:t>37% response</w:t>
      </w:r>
    </w:p>
    <w:p>
      <w:pPr>
        <w:pStyle w:val="ListBullet"/>
      </w:pPr>
      <w:r>
        <w:t>94% convergence</w:t>
      </w:r>
    </w:p>
    <w:p>
      <w:pPr>
        <w:pStyle w:val="ListBullet"/>
      </w:pPr>
      <w:r>
        <w:t>96.8% stability</w:t>
      </w:r>
    </w:p>
    <w:p>
      <w:pPr>
        <w:pStyle w:val="ListBullet"/>
      </w:pPr>
      <w:r>
        <w:t>68% localization</w:t>
      </w:r>
    </w:p>
    <w:p>
      <w:pPr>
        <w:pStyle w:val="ListBullet"/>
      </w:pPr>
      <w:r>
        <w:t>64% voltage</w:t>
      </w:r>
    </w:p>
    <w:p>
      <w:pPr>
        <w:pStyle w:val="ListBullet"/>
      </w:pPr>
      <w:r>
        <w:t>Sub-10ms HIL</w:t>
      </w:r>
    </w:p>
    <w:p>
      <w:pPr>
        <w:pStyle w:val="Heading2"/>
      </w:pPr>
      <w:r>
        <w:t>13.2 Contributions</w:t>
      </w:r>
    </w:p>
    <w:p>
      <w:pPr>
        <w:pStyle w:val="ListBullet"/>
      </w:pPr>
      <w:r>
        <w:t>C1-C7</w:t>
      </w:r>
    </w:p>
    <w:p>
      <w:pPr>
        <w:pStyle w:val="ListBullet"/>
      </w:pPr>
      <w:r>
        <w:t>C8 HIL [ELEVATED]</w:t>
      </w:r>
    </w:p>
    <w:p>
      <w:pPr>
        <w:pStyle w:val="ListBullet"/>
      </w:pPr>
      <w:r>
        <w:t>C9 Transfer</w:t>
      </w:r>
    </w:p>
    <w:p>
      <w:pPr>
        <w:pStyle w:val="Heading2"/>
      </w:pPr>
      <w:r>
        <w:t>13.3 Limitations</w:t>
      </w:r>
    </w:p>
    <w:p>
      <w:pPr>
        <w:pStyle w:val="ListBullet"/>
      </w:pPr>
      <w:r>
        <w:t>Validation</w:t>
      </w:r>
    </w:p>
    <w:p>
      <w:pPr>
        <w:pStyle w:val="ListBullet"/>
      </w:pPr>
      <w:r>
        <w:t>Test systems</w:t>
      </w:r>
    </w:p>
    <w:p>
      <w:pPr>
        <w:pStyle w:val="ListBullet"/>
      </w:pPr>
      <w:r>
        <w:t>EV/DER</w:t>
      </w:r>
    </w:p>
    <w:p>
      <w:pPr>
        <w:pStyle w:val="ListBullet"/>
      </w:pPr>
      <w:r>
        <w:t>Computational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Regulatory</w:t>
      </w:r>
    </w:p>
    <w:p>
      <w:pPr>
        <w:pStyle w:val="Heading2"/>
      </w:pPr>
      <w:r>
        <w:t>13.4 Future</w:t>
      </w:r>
    </w:p>
    <w:p>
      <w:pPr>
        <w:pStyle w:val="ListBullet"/>
      </w:pPr>
      <w:r>
        <w:t>Short-term</w:t>
      </w:r>
    </w:p>
    <w:p>
      <w:pPr>
        <w:pStyle w:val="ListBullet"/>
      </w:pPr>
      <w:r>
        <w:t>Medium-term</w:t>
      </w:r>
    </w:p>
    <w:p>
      <w:pPr>
        <w:pStyle w:val="ListBullet"/>
      </w:pPr>
      <w:r>
        <w:t>Long-term</w:t>
      </w:r>
    </w:p>
    <w:p>
      <w:pPr>
        <w:pStyle w:val="Heading2"/>
      </w:pPr>
      <w:r>
        <w:t>13.5 Industry Roadmap</w:t>
      </w:r>
    </w:p>
    <w:p>
      <w:pPr>
        <w:pStyle w:val="ListBullet"/>
      </w:pPr>
      <w:r>
        <w:t>Phase1 advisory</w:t>
      </w:r>
    </w:p>
    <w:p>
      <w:pPr>
        <w:pStyle w:val="ListBullet"/>
      </w:pPr>
      <w:r>
        <w:t>Phase2 limited</w:t>
      </w:r>
    </w:p>
    <w:p>
      <w:pPr>
        <w:pStyle w:val="ListBullet"/>
      </w:pPr>
      <w:r>
        <w:t>Phase3 integrated</w:t>
      </w:r>
    </w:p>
    <w:p>
      <w:pPr>
        <w:pStyle w:val="ListBullet"/>
      </w:pPr>
      <w:r>
        <w:t>Phase4 advanced</w:t>
      </w:r>
    </w:p>
    <w:p>
      <w:pPr>
        <w:pStyle w:val="Heading2"/>
      </w:pPr>
      <w:r>
        <w:t>13.6 Concluding</w:t>
      </w:r>
    </w:p>
    <w:p>
      <w:r>
        <w:t>CAPSM bridges AI to practice via Controller-HIL.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Kroposki</w:t>
      </w:r>
    </w:p>
    <w:p>
      <w:pPr>
        <w:pStyle w:val="ListBullet"/>
      </w:pPr>
      <w:r>
        <w:t>[2] OPAL-RT HIL</w:t>
      </w:r>
    </w:p>
    <w:p>
      <w:pPr>
        <w:pStyle w:val="ListBullet"/>
      </w:pPr>
      <w:r>
        <w:t>[3] Rudin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