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color w:val="000000"/>
          <w:sz w:val="28"/>
          <w:szCs w:val="28"/>
        </w:rPr>
        <w:t xml:space="preserve">CNN-LSTM for Sub-10-Millisecond Fault Detection in Power Systems: A Reflexive Protection Layer for Cognitive Grid Control</w:t>
      </w:r>
    </w:p>
    <w:p>
      <w:pPr>
        <w:spacing w:after="60" w:line="276"/>
        <w:jc w:val="center"/>
      </w:pPr>
      <w:r>
        <w:rPr>
          <w:rFonts w:ascii="Times New Roman" w:cs="Times New Roman" w:eastAsia="Times New Roman" w:hAnsi="Times New Roman"/>
          <w:color w:val="000000"/>
          <w:sz w:val="20"/>
          <w:szCs w:val="20"/>
        </w:rPr>
        <w:t xml:space="preserve">Mahmoud Kiasari</w:t>
      </w:r>
      <w:r>
        <w:rPr>
          <w:rFonts w:ascii="Times New Roman" w:cs="Times New Roman" w:eastAsia="Times New Roman" w:hAnsi="Times New Roman"/>
          <w:color w:val="000000"/>
          <w:sz w:val="20"/>
          <w:szCs w:val="20"/>
        </w:rPr>
        <w:t xml:space="preserve"> (Student Member, IEEE), and Hamed Aly</w:t>
      </w:r>
      <w:r>
        <w:rPr>
          <w:rFonts w:ascii="Times New Roman" w:cs="Times New Roman" w:eastAsia="Times New Roman" w:hAnsi="Times New Roman"/>
          <w:color w:val="000000"/>
          <w:sz w:val="20"/>
          <w:szCs w:val="20"/>
        </w:rPr>
        <w:t xml:space="preserve"> (Senior Member, IEEE)</w:t>
      </w:r>
    </w:p>
    <w:p>
      <w:pPr>
        <w:spacing w:after="200" w:line="276"/>
        <w:jc w:val="center"/>
      </w:pPr>
      <w:r>
        <w:rPr>
          <w:rFonts w:ascii="Times New Roman" w:cs="Times New Roman" w:eastAsia="Times New Roman" w:hAnsi="Times New Roman"/>
          <w:i/>
          <w:iCs/>
          <w:color w:val="333333"/>
          <w:sz w:val="17"/>
          <w:szCs w:val="17"/>
        </w:rPr>
        <w:t xml:space="preserve">Department of Electrical and Computer Engineering, Dalhousie University, Halifax, NS B3H 4R2, Canada</w:t>
      </w:r>
    </w:p>
    <w:p>
      <w:pPr>
        <w:spacing w:after="200" w:line="276"/>
        <w:jc w:val="center"/>
      </w:pPr>
      <w:r>
        <w:rPr>
          <w:rFonts w:ascii="Times New Roman" w:cs="Times New Roman" w:eastAsia="Times New Roman" w:hAnsi="Times New Roman"/>
          <w:i/>
          <w:iCs/>
          <w:color w:val="333333"/>
          <w:sz w:val="17"/>
          <w:szCs w:val="17"/>
        </w:rPr>
        <w:t xml:space="preserve">Corresponding author: M. Kiasari (mahmoud.kiasari@dal.ca)</w:t>
      </w:r>
    </w:p>
    <w:p>
      <w:pPr>
        <w:spacing w:after="100" w:before="200" w:line="276"/>
        <w:jc w:val="center"/>
      </w:pPr>
      <w:r>
        <w:rPr>
          <w:rFonts w:ascii="Times New Roman" w:cs="Times New Roman" w:eastAsia="Times New Roman" w:hAnsi="Times New Roman"/>
          <w:b/>
          <w:bCs/>
          <w:i/>
          <w:iCs/>
          <w:color w:val="000000"/>
          <w:sz w:val="20"/>
          <w:szCs w:val="20"/>
        </w:rPr>
        <w:t xml:space="preserve">Abstract</w:t>
      </w:r>
    </w:p>
    <w:p>
      <w:pPr>
        <w:spacing w:after="100" w:line="276"/>
        <w:ind w:left="540" w:right="540"/>
        <w:jc w:val="both"/>
      </w:pPr>
      <w:r>
        <w:rPr>
          <w:rFonts w:ascii="Times New Roman" w:cs="Times New Roman" w:eastAsia="Times New Roman" w:hAnsi="Times New Roman"/>
          <w:i/>
          <w:iCs/>
          <w:color w:val="000000"/>
          <w:sz w:val="20"/>
          <w:szCs w:val="20"/>
        </w:rPr>
        <w:t xml:space="preserve">This paper presents System-1, a convolutional neural network-long short-term memory (CNN-LSTM) dual-stream architecture designed for sub-10-millisecond fault detection in power systems. Modern grids with high renewable penetration experience transient disturbances at millisecond timescales that exceed the response capability of traditional electromechanical protection relays operating at 10–50 ms. System-1 addresses this latency gap by processing raw phasor measurement unit (PMU) data through a spatial convolutional pathway that captures inter-bus voltage correlations and a temporal LSTM pathway that models frequency dynamics. The model is trained on 60,000 synthetically generated fault scenarios across IEEE 9-bus, 39-bus, and 118-bus test systems, covering seven fault categories: low-impedance faults, high-impedance faults, frequency deviations, voltage sags, islanding events, cyber-attacks (false-data injection), and load transients. On the IEEE 39-bus hold-out test set of 1,000 events, System-1 achieves 96.78% average detection accuracy with 8.6 ± 0.4 ms average inference latency (95% CI: 7.9–9.3 ms) on a Raspberry Pi 5 edge device, representing an 8.2× speed improvement over traditional distance relays while maintaining superior accuracy. Ablation studies confirm that both the CNN and LSTM components are necessary for optimal performance. The model maintains greater than 92% accuracy under adversarial false-data-injection attacks with ±5% voltage perturbation. System-1 is positioned as the reflexive layer within the Cognitive Adaptive Power System Management (CAPSM) dual-process control framework, enabling millisecond-scale autonomous grid protection.</w:t>
      </w:r>
    </w:p>
    <w:p>
      <w:pPr>
        <w:spacing w:after="200" w:line="276"/>
        <w:ind w:left="540"/>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i/>
          <w:iCs/>
          <w:color w:val="000000"/>
          <w:sz w:val="20"/>
          <w:szCs w:val="20"/>
        </w:rPr>
        <w:t xml:space="preserve">Fault detection; CNN-LSTM; reflexive control; millisecond-scale response; power system protection; deep learning; PMU</w:t>
      </w:r>
    </w:p>
    <w:p>
      <w:pPr>
        <w:spacing w:after="180" w:before="300" w:line="276"/>
        <w:jc w:val="center"/>
      </w:pPr>
      <w:r>
        <w:rPr>
          <w:rFonts w:ascii="Times New Roman" w:cs="Times New Roman" w:eastAsia="Times New Roman" w:hAnsi="Times New Roman"/>
          <w:b/>
          <w:bCs/>
          <w:color w:val="000000"/>
          <w:sz w:val="22"/>
          <w:szCs w:val="22"/>
        </w:rPr>
        <w:t xml:space="preserve">I. INTRODUCTION</w:t>
      </w:r>
    </w:p>
    <w:p>
      <w:pPr>
        <w:keepNext/>
        <w:spacing w:after="120" w:before="200" w:line="276"/>
      </w:pPr>
      <w:r>
        <w:rPr>
          <w:rFonts w:ascii="Times New Roman" w:cs="Times New Roman" w:eastAsia="Times New Roman" w:hAnsi="Times New Roman"/>
          <w:b/>
          <w:bCs/>
          <w:i/>
          <w:iCs/>
          <w:color w:val="000000"/>
          <w:sz w:val="20"/>
          <w:szCs w:val="20"/>
        </w:rPr>
        <w:t xml:space="preserve">A.  </w:t>
      </w:r>
      <w:r>
        <w:rPr>
          <w:rFonts w:ascii="Times New Roman" w:cs="Times New Roman" w:eastAsia="Times New Roman" w:hAnsi="Times New Roman"/>
          <w:b/>
          <w:bCs/>
          <w:i/>
          <w:iCs/>
          <w:color w:val="000000"/>
          <w:sz w:val="20"/>
          <w:szCs w:val="20"/>
        </w:rPr>
        <w:t xml:space="preserve">Motivation and Problem Statement</w:t>
      </w:r>
    </w:p>
    <w:p>
      <w:pPr>
        <w:spacing w:after="120" w:line="276"/>
        <w:ind w:firstLine="360"/>
        <w:jc w:val="both"/>
      </w:pPr>
      <w:r>
        <w:rPr>
          <w:rFonts w:ascii="Times New Roman" w:cs="Times New Roman" w:eastAsia="Times New Roman" w:hAnsi="Times New Roman"/>
          <w:color w:val="000000"/>
          <w:sz w:val="20"/>
          <w:szCs w:val="20"/>
        </w:rPr>
        <w:t xml:space="preserve">Modern power grids face unprecedented operational challenges driven by the accelerating integration of inverter-based renewable energy sources. Regions such as Nordic Europe have surpassed 50% wind and solar penetration, while Nova Scotia targets over 40% renewable generation by 2025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w:t>
      </w:r>
    </w:p>
    <w:p>
      <w:pPr>
        <w:spacing w:after="120" w:line="276"/>
        <w:ind w:firstLine="360"/>
        <w:jc w:val="both"/>
      </w:pPr>
      <w:r>
        <w:rPr>
          <w:rFonts w:ascii="Times New Roman" w:cs="Times New Roman" w:eastAsia="Times New Roman" w:hAnsi="Times New Roman"/>
          <w:color w:val="000000"/>
          <w:sz w:val="20"/>
          <w:szCs w:val="20"/>
        </w:rPr>
        <w:t xml:space="preserve">]. This transition fundamentally alters fault dynamics: reduced system inertia from displaced synchronous generators results in faster frequency excursions, while the stochastic variability of wind and solar output increases both the frequency and severity of transient disturbances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w:t>
      </w:r>
    </w:p>
    <w:p>
      <w:pPr>
        <w:spacing w:after="120" w:line="276"/>
        <w:ind w:firstLine="360"/>
        <w:jc w:val="both"/>
      </w:pPr>
      <w:r>
        <w:rPr>
          <w:rFonts w:ascii="Times New Roman" w:cs="Times New Roman" w:eastAsia="Times New Roman" w:hAnsi="Times New Roman"/>
          <w:color w:val="000000"/>
          <w:sz w:val="20"/>
          <w:szCs w:val="20"/>
        </w:rPr>
        <w:t xml:space="preserve">]. Traditional electromechanical protection relays, which operate on 10–50 ms timescales defined by IEEE C37.90 standards, were designed for conventional synchronous grids with high inertia and predictable fault signatures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w:t>
      </w:r>
    </w:p>
    <w:p>
      <w:pPr>
        <w:spacing w:after="120" w:line="276"/>
        <w:ind w:firstLine="360"/>
        <w:jc w:val="both"/>
      </w:pPr>
      <w:r>
        <w:rPr>
          <w:rFonts w:ascii="Times New Roman" w:cs="Times New Roman" w:eastAsia="Times New Roman" w:hAnsi="Times New Roman"/>
          <w:color w:val="000000"/>
          <w:sz w:val="20"/>
          <w:szCs w:val="20"/>
        </w:rPr>
        <w:t xml:space="preserve">]. In the emerging low-inertia paradigm, these relay response times are increasingly inadequate for detecting and isolating sub-cycle disturbances before they cascade into wider system instability.</w:t>
      </w:r>
    </w:p>
    <w:p>
      <w:pPr>
        <w:spacing w:after="120" w:line="276"/>
        <w:ind w:firstLine="360"/>
        <w:jc w:val="both"/>
      </w:pPr>
      <w:r>
        <w:rPr>
          <w:rFonts w:ascii="Times New Roman" w:cs="Times New Roman" w:eastAsia="Times New Roman" w:hAnsi="Times New Roman"/>
          <w:color w:val="000000"/>
          <w:sz w:val="20"/>
          <w:szCs w:val="20"/>
        </w:rPr>
        <w:t xml:space="preserve">Phasor measurement units (PMUs), standardized under IEEE C37.118, provide time-synchronized voltage and current phasor measurements at reporting rates of 30–120 samples per second, offering the temporal resolution necessary for millisecond-scale event characterization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[4]</w:t>
      </w:r>
    </w:p>
    <w:p>
      <w:pPr>
        <w:spacing w:after="120" w:line="276"/>
        <w:ind w:firstLine="360"/>
        <w:jc w:val="both"/>
      </w:pPr>
      <w:r>
        <w:rPr>
          <w:rFonts w:ascii="Times New Roman" w:cs="Times New Roman" w:eastAsia="Times New Roman" w:hAnsi="Times New Roman"/>
          <w:color w:val="000000"/>
          <w:sz w:val="20"/>
          <w:szCs w:val="20"/>
        </w:rPr>
        <w:t xml:space="preserve">]. However, the raw PMU data stream requires intelligent processing algorithms capable of extracting actionable fault signatures within a single sampling interval. Classical signal processing approaches—such as discrete Fourier transform-based harmonic analysis and wavelet decomposition—require multiple cycles (50–200 ms windows) to achieve stable feature extraction, introducing latency incompatible with sub-10 ms protection targets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[5]</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120" w:before="200" w:line="276"/>
      </w:pPr>
      <w:r>
        <w:rPr>
          <w:rFonts w:ascii="Times New Roman" w:cs="Times New Roman" w:eastAsia="Times New Roman" w:hAnsi="Times New Roman"/>
          <w:b/>
          <w:bCs/>
          <w:i/>
          <w:iCs/>
          <w:color w:val="000000"/>
          <w:sz w:val="20"/>
          <w:szCs w:val="20"/>
        </w:rPr>
        <w:t xml:space="preserve">B.  </w:t>
      </w:r>
      <w:r>
        <w:rPr>
          <w:rFonts w:ascii="Times New Roman" w:cs="Times New Roman" w:eastAsia="Times New Roman" w:hAnsi="Times New Roman"/>
          <w:b/>
          <w:bCs/>
          <w:i/>
          <w:iCs/>
          <w:color w:val="000000"/>
          <w:sz w:val="20"/>
          <w:szCs w:val="20"/>
        </w:rPr>
        <w:t xml:space="preserve">Literature Gap</w:t>
      </w:r>
    </w:p>
    <w:p>
      <w:pPr>
        <w:spacing w:after="120" w:line="276"/>
        <w:ind w:firstLine="360"/>
        <w:jc w:val="both"/>
      </w:pPr>
      <w:r>
        <w:rPr>
          <w:rFonts w:ascii="Times New Roman" w:cs="Times New Roman" w:eastAsia="Times New Roman" w:hAnsi="Times New Roman"/>
          <w:color w:val="000000"/>
          <w:sz w:val="20"/>
          <w:szCs w:val="20"/>
        </w:rPr>
        <w:t xml:space="preserve">Deep learning has enabled breakthrough performance in rapid pattern recognition across numerous domains, achieving inference latencies below 5 ms for image classification on modern GPU hardware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[6]</w:t>
      </w:r>
    </w:p>
    <w:p>
      <w:pPr>
        <w:spacing w:after="120" w:line="276"/>
        <w:ind w:firstLine="360"/>
        <w:jc w:val="both"/>
      </w:pPr>
      <w:r>
        <w:rPr>
          <w:rFonts w:ascii="Times New Roman" w:cs="Times New Roman" w:eastAsia="Times New Roman" w:hAnsi="Times New Roman"/>
          <w:color w:val="000000"/>
          <w:sz w:val="20"/>
          <w:szCs w:val="20"/>
        </w:rPr>
        <w:t xml:space="preserve">]. In the power systems domain, machine learning approaches to fault detection have progressed from classical support vector machines (SVMs) with hand-crafted features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[7]</w:t>
      </w:r>
    </w:p>
    <w:p>
      <w:pPr>
        <w:spacing w:after="120" w:line="276"/>
        <w:ind w:firstLine="360"/>
        <w:jc w:val="both"/>
      </w:pPr>
      <w:r>
        <w:rPr>
          <w:rFonts w:ascii="Times New Roman" w:cs="Times New Roman" w:eastAsia="Times New Roman" w:hAnsi="Times New Roman"/>
          <w:color w:val="000000"/>
          <w:sz w:val="20"/>
          <w:szCs w:val="20"/>
        </w:rPr>
        <w:t xml:space="preserve">] through random forest ensembles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[8]</w:t>
      </w:r>
    </w:p>
    <w:p>
      <w:pPr>
        <w:spacing w:after="120" w:line="276"/>
        <w:ind w:firstLine="360"/>
        <w:jc w:val="both"/>
      </w:pPr>
      <w:r>
        <w:rPr>
          <w:rFonts w:ascii="Times New Roman" w:cs="Times New Roman" w:eastAsia="Times New Roman" w:hAnsi="Times New Roman"/>
          <w:color w:val="000000"/>
          <w:sz w:val="20"/>
          <w:szCs w:val="20"/>
        </w:rPr>
        <w:t xml:space="preserve">] to, more recently, deep neural network architectures. Convolutional neural networks (CNNs) have demonstrated effectiveness in extracting spatial features from multi-channel power system measurements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[9]</w:t>
      </w:r>
    </w:p>
    <w:p>
      <w:pPr>
        <w:spacing w:after="120" w:line="276"/>
        <w:ind w:firstLine="360"/>
        <w:jc w:val="both"/>
      </w:pPr>
      <w:r>
        <w:rPr>
          <w:rFonts w:ascii="Times New Roman" w:cs="Times New Roman" w:eastAsia="Times New Roman" w:hAnsi="Times New Roman"/>
          <w:color w:val="000000"/>
          <w:sz w:val="20"/>
          <w:szCs w:val="20"/>
        </w:rPr>
        <w:t xml:space="preserve">], while long short-term memory (LSTM) networks have proven capable of modeling temporal dynamics in time-series fault data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[10]</w:t>
      </w:r>
    </w:p>
    <w:p>
      <w:pPr>
        <w:spacing w:after="120" w:line="276"/>
        <w:ind w:firstLine="360"/>
        <w:jc w:val="both"/>
      </w:pPr>
      <w:r>
        <w:rPr>
          <w:rFonts w:ascii="Times New Roman" w:cs="Times New Roman" w:eastAsia="Times New Roman" w:hAnsi="Times New Roman"/>
          <w:color w:val="000000"/>
          <w:sz w:val="20"/>
          <w:szCs w:val="20"/>
        </w:rPr>
        <w:t xml:space="preserve">]. Hybrid CNN-LSTM architectures have shown promise in electrical fault diagnosis for rotating machinery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[11]</w:t>
      </w:r>
    </w:p>
    <w:p>
      <w:pPr>
        <w:spacing w:after="120" w:line="276"/>
        <w:ind w:firstLine="360"/>
        <w:jc w:val="both"/>
      </w:pPr>
      <w:r>
        <w:rPr>
          <w:rFonts w:ascii="Times New Roman" w:cs="Times New Roman" w:eastAsia="Times New Roman" w:hAnsi="Times New Roman"/>
          <w:color w:val="000000"/>
          <w:sz w:val="20"/>
          <w:szCs w:val="20"/>
        </w:rPr>
        <w:t xml:space="preserve">] and power quality classification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[12]</w:t>
      </w:r>
    </w:p>
    <w:p>
      <w:pPr>
        <w:spacing w:after="120" w:line="276"/>
        <w:ind w:firstLine="360"/>
        <w:jc w:val="both"/>
      </w:pPr>
      <w:r>
        <w:rPr>
          <w:rFonts w:ascii="Times New Roman" w:cs="Times New Roman" w:eastAsia="Times New Roman" w:hAnsi="Times New Roman"/>
          <w:color w:val="000000"/>
          <w:sz w:val="20"/>
          <w:szCs w:val="20"/>
        </w:rPr>
        <w:t xml:space="preserve">]. Concurrently, the cyber-physical security of power system measurements has attracted significant attention, with false-data-injection (FDI) attacks demonstrated against both state estimation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[13]</w:t>
      </w:r>
    </w:p>
    <w:p>
      <w:pPr>
        <w:spacing w:after="120" w:line="276"/>
        <w:ind w:firstLine="360"/>
        <w:jc w:val="both"/>
      </w:pPr>
      <w:r>
        <w:rPr>
          <w:rFonts w:ascii="Times New Roman" w:cs="Times New Roman" w:eastAsia="Times New Roman" w:hAnsi="Times New Roman"/>
          <w:color w:val="000000"/>
          <w:sz w:val="20"/>
          <w:szCs w:val="20"/>
        </w:rPr>
        <w:t xml:space="preserve">] and protection systems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[14]</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Despite these advances, a critical gap persists: no prior work systematically optimizes a deep learning architecture for millisecond-scale fault inference while maintaining classification accuracy above 95% across heterogeneous fault types on standardized IEEE test systems with rigorous statistical evaluation. Existing studies typically report accuracy on limited fault taxonomies, omit latency characterization on edge hardware, or fail to assess robustness against adversarial measurement manipulation. This gap motivates the present work.</w:t>
      </w:r>
    </w:p>
    <w:p>
      <w:pPr>
        <w:keepNext/>
        <w:spacing w:after="120" w:before="200" w:line="276"/>
      </w:pPr>
      <w:r>
        <w:rPr>
          <w:rFonts w:ascii="Times New Roman" w:cs="Times New Roman" w:eastAsia="Times New Roman" w:hAnsi="Times New Roman"/>
          <w:b/>
          <w:bCs/>
          <w:i/>
          <w:iCs/>
          <w:color w:val="000000"/>
          <w:sz w:val="20"/>
          <w:szCs w:val="20"/>
        </w:rPr>
        <w:t xml:space="preserve">C.  </w:t>
      </w:r>
      <w:r>
        <w:rPr>
          <w:rFonts w:ascii="Times New Roman" w:cs="Times New Roman" w:eastAsia="Times New Roman" w:hAnsi="Times New Roman"/>
          <w:b/>
          <w:bCs/>
          <w:i/>
          <w:iCs/>
          <w:color w:val="000000"/>
          <w:sz w:val="20"/>
          <w:szCs w:val="20"/>
        </w:rPr>
        <w:t xml:space="preserve">Proposed Contribution</w:t>
      </w:r>
    </w:p>
    <w:p>
      <w:pPr>
        <w:spacing w:after="120" w:line="276"/>
        <w:ind w:firstLine="360"/>
        <w:jc w:val="both"/>
      </w:pPr>
      <w:r>
        <w:rPr>
          <w:rFonts w:ascii="Times New Roman" w:cs="Times New Roman" w:eastAsia="Times New Roman" w:hAnsi="Times New Roman"/>
          <w:color w:val="000000"/>
          <w:sz w:val="20"/>
          <w:szCs w:val="20"/>
        </w:rPr>
        <w:t xml:space="preserve">This paper presents System-1, a CNN-LSTM dual-stream architecture specifically optimized for sub-10 ms fault detection across seven fault categories. System-1 is designed as the reflexive (fast, automatic) layer within the Cognitive Adaptive Power System Management (CAPSM) framework—a dual-process control architecture inspired by Kahneman’s cognitive theory, where System-1 provides rapid pattern recognition and System-2 handles deliberative optimization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[15]</w:t>
      </w:r>
    </w:p>
    <w:p>
      <w:pPr>
        <w:spacing w:after="120" w:line="276"/>
        <w:ind w:firstLine="360"/>
        <w:jc w:val="both"/>
      </w:pPr>
      <w:r>
        <w:rPr>
          <w:rFonts w:ascii="Times New Roman" w:cs="Times New Roman" w:eastAsia="Times New Roman" w:hAnsi="Times New Roman"/>
          <w:color w:val="000000"/>
          <w:sz w:val="20"/>
          <w:szCs w:val="20"/>
        </w:rPr>
        <w:t xml:space="preserve">]. The principal contributions of this work are fourfold. First, we propose a novel CNN-LSTM architecture with separate spatial and temporal processing streams that exploits the physical structure of fault propagation in power networks. Second, we conduct a comprehensive evaluation across IEEE 9-bus, 39-bus, and 118-bus test systems with statistically rigorous fault injection protocols and bootstrap confidence intervals. Third, we characterize inference latency percentiles (10th through 99th) on both GPU (NVIDIA RTX 3090) and edge hardware (Raspberry Pi 5), demonstrating sub-10 ms detection in a resource-constrained deployment environment. Fourth, we assess robustness against adversarial false-data-injection attacks, demonstrating maintained detection accuracy exceeding 92% under coordinated multi-channel perturbation.</w:t>
      </w:r>
    </w:p>
    <w:p>
      <w:pPr>
        <w:keepNext/>
        <w:spacing w:after="120" w:before="200" w:line="276"/>
      </w:pPr>
      <w:r>
        <w:rPr>
          <w:rFonts w:ascii="Times New Roman" w:cs="Times New Roman" w:eastAsia="Times New Roman" w:hAnsi="Times New Roman"/>
          <w:b/>
          <w:bCs/>
          <w:i/>
          <w:iCs/>
          <w:color w:val="000000"/>
          <w:sz w:val="20"/>
          <w:szCs w:val="20"/>
        </w:rPr>
        <w:t xml:space="preserve">D.  </w:t>
      </w:r>
      <w:r>
        <w:rPr>
          <w:rFonts w:ascii="Times New Roman" w:cs="Times New Roman" w:eastAsia="Times New Roman" w:hAnsi="Times New Roman"/>
          <w:b/>
          <w:bCs/>
          <w:i/>
          <w:iCs/>
          <w:color w:val="000000"/>
          <w:sz w:val="20"/>
          <w:szCs w:val="20"/>
        </w:rPr>
        <w:t xml:space="preserve">Paper Organization</w:t>
      </w:r>
    </w:p>
    <w:p>
      <w:pPr>
        <w:spacing w:after="120" w:line="276"/>
        <w:ind w:firstLine="360"/>
        <w:jc w:val="both"/>
      </w:pPr>
      <w:r>
        <w:rPr>
          <w:rFonts w:ascii="Times New Roman" w:cs="Times New Roman" w:eastAsia="Times New Roman" w:hAnsi="Times New Roman"/>
          <w:color w:val="000000"/>
          <w:sz w:val="20"/>
          <w:szCs w:val="20"/>
        </w:rPr>
        <w:t xml:space="preserve">The remainder of this paper is organized as follows. Section II introduces the foundational concepts of PMU measurements and fault signatures, CNN-LSTM architecture principles, and the baseline approaches against which System-1 is compared. Section III presents the proposed System-1 architecture in detail, including the dual-stream model design, feature engineering strategy, multi-objective training protocol, and latency optimization techniques. Section IV describes the experimental methodology, encompassing the IEEE test systems, fault injection protocol, baseline selection rationale, and evaluation metrics. Section V presents the experimental results, including per-fault-type accuracy, latency characterization, baseline comparison, scalability analysis, cyber-attack robustness assessment, and ablation studies. Section VI discusses the findings, including architectural insights, identified limitations, hardware implementation considerations, and integration pathways with existing protective relay infrastructure. Section VII concludes the paper with a summary of contributions, practical implications, and open research questions. Three appendices provide the PyTorch model pseudocode, hyperparameter tuning details, and MATLAB implementation reference.</w:t>
      </w:r>
    </w:p>
    <w:p>
      <w:pPr>
        <w:spacing w:after="180" w:before="300" w:line="276"/>
        <w:jc w:val="center"/>
      </w:pPr>
      <w:r>
        <w:rPr>
          <w:rFonts w:ascii="Times New Roman" w:cs="Times New Roman" w:eastAsia="Times New Roman" w:hAnsi="Times New Roman"/>
          <w:b/>
          <w:bCs/>
          <w:color w:val="000000"/>
          <w:sz w:val="22"/>
          <w:szCs w:val="22"/>
        </w:rPr>
        <w:t xml:space="preserve">II. FOUNDATIONAL CONCEPTS</w:t>
      </w:r>
    </w:p>
    <w:p>
      <w:pPr>
        <w:keepNext/>
        <w:spacing w:after="120" w:before="200" w:line="276"/>
      </w:pPr>
      <w:r>
        <w:rPr>
          <w:rFonts w:ascii="Times New Roman" w:cs="Times New Roman" w:eastAsia="Times New Roman" w:hAnsi="Times New Roman"/>
          <w:b/>
          <w:bCs/>
          <w:i/>
          <w:iCs/>
          <w:color w:val="000000"/>
          <w:sz w:val="20"/>
          <w:szCs w:val="20"/>
        </w:rPr>
        <w:t xml:space="preserve">A.  </w:t>
      </w:r>
      <w:r>
        <w:rPr>
          <w:rFonts w:ascii="Times New Roman" w:cs="Times New Roman" w:eastAsia="Times New Roman" w:hAnsi="Times New Roman"/>
          <w:b/>
          <w:bCs/>
          <w:i/>
          <w:iCs/>
          <w:color w:val="000000"/>
          <w:sz w:val="20"/>
          <w:szCs w:val="20"/>
        </w:rPr>
        <w:t xml:space="preserve">PMU Measurements and Fault Signatures</w:t>
      </w:r>
    </w:p>
    <w:p>
      <w:pPr>
        <w:spacing w:after="120" w:line="276"/>
        <w:ind w:firstLine="360"/>
        <w:jc w:val="both"/>
      </w:pPr>
      <w:r>
        <w:rPr>
          <w:rFonts w:ascii="Times New Roman" w:cs="Times New Roman" w:eastAsia="Times New Roman" w:hAnsi="Times New Roman"/>
          <w:color w:val="000000"/>
          <w:sz w:val="20"/>
          <w:szCs w:val="20"/>
        </w:rPr>
        <w:t xml:space="preserve">Phasor measurement units (PMUs) sample three-phase voltage and current waveforms at rates of 30–120 samples per second, extracting synchronised phasor quantities including voltage magnitude |V| and phase angle ∠V, current magnitude |I| and phase angle ∠I, system frequency f, and the rate of change of frequency (RoCoF) df/dt, as specified in the IEEE C37.118.1 standard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[4]</w:t>
      </w:r>
    </w:p>
    <w:p>
      <w:pPr>
        <w:spacing w:after="120" w:line="276"/>
        <w:ind w:firstLine="360"/>
        <w:jc w:val="both"/>
      </w:pPr>
      <w:r>
        <w:rPr>
          <w:rFonts w:ascii="Times New Roman" w:cs="Times New Roman" w:eastAsia="Times New Roman" w:hAnsi="Times New Roman"/>
          <w:color w:val="000000"/>
          <w:sz w:val="20"/>
          <w:szCs w:val="20"/>
        </w:rPr>
        <w:t xml:space="preserve">]. Unlike traditional supervisory control and data acquisition (SCADA) systems that report at 2–4 second intervals, PMUs provide the high-temporal-resolution measurements necessary for characterizing sub-second dynamic phenomena, making them the natural sensor modality for millisecond-scale fault detection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[16]</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Distinct fault and disturbance types produce characteristic signatures in the PMU measurement space. Low-impedance faults, such as single-phase-to-ground short circuits, manifest as approximately 30% voltage magnitude depression at the faulted bus, with the disturbance propagating to adjacent buses through transmission lines at velocities approaching the speed of light (approximately 200 km/ms), introducing inter-bus delays of roughly 3–5 ms for typical 50–100 km line lengths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[17]</w:t>
      </w:r>
    </w:p>
    <w:p>
      <w:pPr>
        <w:spacing w:after="120" w:line="276"/>
        <w:ind w:firstLine="360"/>
        <w:jc w:val="both"/>
      </w:pPr>
      <w:r>
        <w:rPr>
          <w:rFonts w:ascii="Times New Roman" w:cs="Times New Roman" w:eastAsia="Times New Roman" w:hAnsi="Times New Roman"/>
          <w:color w:val="000000"/>
          <w:sz w:val="20"/>
          <w:szCs w:val="20"/>
        </w:rPr>
        <w:t xml:space="preserve">]. High-impedance faults, by contrast, produce gradual voltage sags over 100–300 ms with magnitudes typically below 10%, making them substantially more challenging to distinguish from legitimate load transients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[18]</w:t>
      </w:r>
    </w:p>
    <w:p>
      <w:pPr>
        <w:spacing w:after="120" w:line="276"/>
        <w:ind w:firstLine="360"/>
        <w:jc w:val="both"/>
      </w:pPr>
      <w:r>
        <w:rPr>
          <w:rFonts w:ascii="Times New Roman" w:cs="Times New Roman" w:eastAsia="Times New Roman" w:hAnsi="Times New Roman"/>
          <w:color w:val="000000"/>
          <w:sz w:val="20"/>
          <w:szCs w:val="20"/>
        </w:rPr>
        <w:t xml:space="preserve">]. Frequency deviations following sudden generation loss exhibit characteristic RoCoF spikes exceeding 2 Hz/s, with the frequency trajectory following a second-order decay determined by the aggregate system inertia constant H and the governor response time constants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[19]</w:t>
      </w:r>
    </w:p>
    <w:p>
      <w:pPr>
        <w:spacing w:after="120" w:line="276"/>
        <w:ind w:firstLine="360"/>
        <w:jc w:val="both"/>
      </w:pPr>
      <w:r>
        <w:rPr>
          <w:rFonts w:ascii="Times New Roman" w:cs="Times New Roman" w:eastAsia="Times New Roman" w:hAnsi="Times New Roman"/>
          <w:color w:val="000000"/>
          <w:sz w:val="20"/>
          <w:szCs w:val="20"/>
        </w:rPr>
        <w:t xml:space="preserve">]. Voltage sags of Type C (two-phase depression) typically persist for approximately 30 ms, associated with temporary faults that self-clear. Islanding events, triggered by the loss of a main transmission interconnection, produce rapid frequency decay combined with voltage oscillations that depend on the generation-load balance within the islanded portion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[20]</w:t>
      </w:r>
    </w:p>
    <w:p>
      <w:pPr>
        <w:spacing w:after="120" w:line="276"/>
        <w:ind w:firstLine="360"/>
        <w:jc w:val="both"/>
      </w:pPr>
      <w:r>
        <w:rPr>
          <w:rFonts w:ascii="Times New Roman" w:cs="Times New Roman" w:eastAsia="Times New Roman" w:hAnsi="Times New Roman"/>
          <w:color w:val="000000"/>
          <w:sz w:val="20"/>
          <w:szCs w:val="20"/>
        </w:rPr>
        <w:t xml:space="preserve">]. Cyber-attacks employing false-data-injection introduce measurement anomalies that may violate physical consistency constraints, such as simultaneous voltage perturbations at geographically distant buses without the propagation delays expected from real faults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[13]</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These fault signatures exhibit two fundamental properties that motivate the CNN-LSTM architecture. First, spatial correlation: voltage disturbances propagate across interconnected buses in patterns determined by network topology and line impedances, a structure that convolutional filters can efficiently learn. Second, temporal dynamics: frequency deviations and RoCoF are second-order processes with characteristic decay profiles spanning 50–500 ms windows, a temporal structure that LSTM networks with their gated memory cells are specifically designed to capture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[10]</w:t>
      </w:r>
    </w:p>
    <w:p>
      <w:pPr>
        <w:spacing w:after="120" w:line="276"/>
        <w:ind w:firstLine="360"/>
        <w:jc w:val="both"/>
      </w:pPr>
      <w:r>
        <w:rPr>
          <w:rFonts w:ascii="Times New Roman" w:cs="Times New Roman" w:eastAsia="Times New Roman" w:hAnsi="Times New Roman"/>
          <w:color w:val="000000"/>
          <w:sz w:val="20"/>
          <w:szCs w:val="20"/>
        </w:rPr>
        <w:t xml:space="preserve">,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[21]</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120" w:before="200" w:line="276"/>
      </w:pPr>
      <w:r>
        <w:rPr>
          <w:rFonts w:ascii="Times New Roman" w:cs="Times New Roman" w:eastAsia="Times New Roman" w:hAnsi="Times New Roman"/>
          <w:b/>
          <w:bCs/>
          <w:i/>
          <w:iCs/>
          <w:color w:val="000000"/>
          <w:sz w:val="20"/>
          <w:szCs w:val="20"/>
        </w:rPr>
        <w:t xml:space="preserve">B.  </w:t>
      </w:r>
      <w:r>
        <w:rPr>
          <w:rFonts w:ascii="Times New Roman" w:cs="Times New Roman" w:eastAsia="Times New Roman" w:hAnsi="Times New Roman"/>
          <w:b/>
          <w:bCs/>
          <w:i/>
          <w:iCs/>
          <w:color w:val="000000"/>
          <w:sz w:val="20"/>
          <w:szCs w:val="20"/>
        </w:rPr>
        <w:t xml:space="preserve">CNN-LSTM Architecture Principles</w:t>
      </w:r>
    </w:p>
    <w:p>
      <w:pPr>
        <w:spacing w:after="120" w:line="276"/>
        <w:ind w:firstLine="360"/>
        <w:jc w:val="both"/>
      </w:pPr>
      <w:r>
        <w:rPr>
          <w:rFonts w:ascii="Times New Roman" w:cs="Times New Roman" w:eastAsia="Times New Roman" w:hAnsi="Times New Roman"/>
          <w:color w:val="000000"/>
          <w:sz w:val="20"/>
          <w:szCs w:val="20"/>
        </w:rPr>
        <w:t xml:space="preserve">Convolutional neural networks apply learnable filters across input data to extract local features through translation-invariant pattern matching. In the context of power system fault detection, one-dimensional convolutional layers operating along the temporal axis learn to detect abrupt voltage changes, harmonic patterns, and transient signatures. With K convolutional filters and kernel size k, the network effectively learns K distinct feature detectors for power system signals. Multi-channel input comprising N buses with C measurement channels each (voltage magnitude, current magnitude, and frequency) requires N × C input channels to the first convolutional layer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[9]</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Long short-term memory networks maintain a cell state that persists across time steps through a system of input, forget, and output gates, enabling the learning of long-range temporal dependencies while mitigating the vanishing gradient problem that limits standard recurrent networks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[21]</w:t>
      </w:r>
    </w:p>
    <w:p>
      <w:pPr>
        <w:spacing w:after="120" w:line="276"/>
        <w:ind w:firstLine="360"/>
        <w:jc w:val="both"/>
      </w:pPr>
      <w:r>
        <w:rPr>
          <w:rFonts w:ascii="Times New Roman" w:cs="Times New Roman" w:eastAsia="Times New Roman" w:hAnsi="Times New Roman"/>
          <w:color w:val="000000"/>
          <w:sz w:val="20"/>
          <w:szCs w:val="20"/>
        </w:rPr>
        <w:t xml:space="preserve">]. Bidirectional LSTM variants, which process sequences in both forward and backward temporal directions, improve contextual understanding by providing access to both past and future state information within the analysis window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[22]</w:t>
      </w:r>
    </w:p>
    <w:p>
      <w:pPr>
        <w:spacing w:after="120" w:line="276"/>
        <w:ind w:firstLine="360"/>
        <w:jc w:val="both"/>
      </w:pPr>
      <w:r>
        <w:rPr>
          <w:rFonts w:ascii="Times New Roman" w:cs="Times New Roman" w:eastAsia="Times New Roman" w:hAnsi="Times New Roman"/>
          <w:color w:val="000000"/>
          <w:sz w:val="20"/>
          <w:szCs w:val="20"/>
        </w:rPr>
        <w:t xml:space="preserve">]. For fault detection, LSTM layers capture the evolving nature of disturbances—for instance, the continued frequency decline following an initial RoCoF spike after generation loss—that cannot be detected from instantaneous measurements alone.</w:t>
      </w:r>
    </w:p>
    <w:p>
      <w:pPr>
        <w:spacing w:after="120" w:line="276"/>
        <w:ind w:firstLine="360"/>
        <w:jc w:val="both"/>
      </w:pPr>
      <w:r>
        <w:rPr>
          <w:rFonts w:ascii="Times New Roman" w:cs="Times New Roman" w:eastAsia="Times New Roman" w:hAnsi="Times New Roman"/>
          <w:color w:val="000000"/>
          <w:sz w:val="20"/>
          <w:szCs w:val="20"/>
        </w:rPr>
        <w:t xml:space="preserve">System-1 employs a dual-stream architecture that processes spatial and temporal features through independent pathways before fusion. The spatial stream (CNN) extracts inter-bus correlation patterns analogous to how a human operator scans a grid topology map to identify the geographic extent of a disturbance. The temporal stream (LSTM) captures the dynamic evolution of frequency and voltage trajectories, analogous to an operator monitoring trending plots over time. This dual-stream design allows each pathway to be independently optimized for its respective inductive bias—translation invariance for spatial patterns and sequential memory for temporal dynamics—while the shared feature representation enables the model to learn cross-modal relationships between spatial extent and temporal evolution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[11]</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120" w:before="200" w:line="276"/>
      </w:pPr>
      <w:r>
        <w:rPr>
          <w:rFonts w:ascii="Times New Roman" w:cs="Times New Roman" w:eastAsia="Times New Roman" w:hAnsi="Times New Roman"/>
          <w:b/>
          <w:bCs/>
          <w:i/>
          <w:iCs/>
          <w:color w:val="000000"/>
          <w:sz w:val="20"/>
          <w:szCs w:val="20"/>
        </w:rPr>
        <w:t xml:space="preserve">C.  </w:t>
      </w:r>
      <w:r>
        <w:rPr>
          <w:rFonts w:ascii="Times New Roman" w:cs="Times New Roman" w:eastAsia="Times New Roman" w:hAnsi="Times New Roman"/>
          <w:b/>
          <w:bCs/>
          <w:i/>
          <w:iCs/>
          <w:color w:val="000000"/>
          <w:sz w:val="20"/>
          <w:szCs w:val="20"/>
        </w:rPr>
        <w:t xml:space="preserve">Baseline Approaches</w:t>
      </w:r>
    </w:p>
    <w:p>
      <w:pPr>
        <w:spacing w:after="120" w:line="276"/>
        <w:ind w:firstLine="360"/>
        <w:jc w:val="both"/>
      </w:pPr>
      <w:r>
        <w:rPr>
          <w:rFonts w:ascii="Times New Roman" w:cs="Times New Roman" w:eastAsia="Times New Roman" w:hAnsi="Times New Roman"/>
          <w:color w:val="000000"/>
          <w:sz w:val="20"/>
          <w:szCs w:val="20"/>
        </w:rPr>
        <w:t xml:space="preserve">Traditional distance relays measure apparent impedance Z = V/I and trigger breaker operation when Z falls below a predetermined threshold Z_set, following standardized coordination principles in IEEE C37.90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w:t>
      </w:r>
    </w:p>
    <w:p>
      <w:pPr>
        <w:spacing w:after="120" w:line="276"/>
        <w:ind w:firstLine="360"/>
        <w:jc w:val="both"/>
      </w:pPr>
      <w:r>
        <w:rPr>
          <w:rFonts w:ascii="Times New Roman" w:cs="Times New Roman" w:eastAsia="Times New Roman" w:hAnsi="Times New Roman"/>
          <w:color w:val="000000"/>
          <w:sz w:val="20"/>
          <w:szCs w:val="20"/>
        </w:rPr>
        <w:t xml:space="preserve">]. While reliable and well-understood, these relays exhibit fixed thresholds that fail for high-impedance faults where Z remains above Z_set, and they lack the ability to distinguish among fault types without deploying multiple relay coordination schemes that introduce additional coordination delays of 40–80 ms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[23]</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Classical machine learning approaches, including support vector machines (SVMs) with hand-crafted features (RMS voltage, harmonic distortion, phase angle jumps) and random forest classifiers with decision-tree ensembles, achieve approximately 90–92% classification accuracy but require 50–200 ms measurement windows for stable feature extraction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[7]</w:t>
      </w:r>
    </w:p>
    <w:p>
      <w:pPr>
        <w:spacing w:after="120" w:line="276"/>
        <w:ind w:firstLine="360"/>
        <w:jc w:val="both"/>
      </w:pPr>
      <w:r>
        <w:rPr>
          <w:rFonts w:ascii="Times New Roman" w:cs="Times New Roman" w:eastAsia="Times New Roman" w:hAnsi="Times New Roman"/>
          <w:color w:val="000000"/>
          <w:sz w:val="20"/>
          <w:szCs w:val="20"/>
        </w:rPr>
        <w:t xml:space="preserve">,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[8]</w:t>
      </w:r>
    </w:p>
    <w:p>
      <w:pPr>
        <w:spacing w:after="120" w:line="276"/>
        <w:ind w:firstLine="360"/>
        <w:jc w:val="both"/>
      </w:pPr>
      <w:r>
        <w:rPr>
          <w:rFonts w:ascii="Times New Roman" w:cs="Times New Roman" w:eastAsia="Times New Roman" w:hAnsi="Times New Roman"/>
          <w:color w:val="000000"/>
          <w:sz w:val="20"/>
          <w:szCs w:val="20"/>
        </w:rPr>
        <w:t xml:space="preserve">]. Feedforward multi-layer perceptrons (MLPs) with two to three hidden layers can reduce inference latency to approximately 5 ms through end-to-end learning, but lack the inductive biases for spatial and temporal structure that are inherent in power system fault data, resulting in accuracy plateauing near 93%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[24]</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80" w:before="300" w:line="276"/>
        <w:jc w:val="center"/>
      </w:pPr>
      <w:r>
        <w:rPr>
          <w:rFonts w:ascii="Times New Roman" w:cs="Times New Roman" w:eastAsia="Times New Roman" w:hAnsi="Times New Roman"/>
          <w:b/>
          <w:bCs/>
          <w:color w:val="000000"/>
          <w:sz w:val="22"/>
          <w:szCs w:val="22"/>
        </w:rPr>
        <w:t xml:space="preserve">III. PROPOSED SYSTEM-1 ARCHITECTURE</w:t>
      </w:r>
    </w:p>
    <w:p>
      <w:pPr>
        <w:keepNext/>
        <w:spacing w:after="120" w:before="200" w:line="276"/>
      </w:pPr>
      <w:r>
        <w:rPr>
          <w:rFonts w:ascii="Times New Roman" w:cs="Times New Roman" w:eastAsia="Times New Roman" w:hAnsi="Times New Roman"/>
          <w:b/>
          <w:bCs/>
          <w:i/>
          <w:iCs/>
          <w:color w:val="000000"/>
          <w:sz w:val="20"/>
          <w:szCs w:val="20"/>
        </w:rPr>
        <w:t xml:space="preserve">A.  </w:t>
      </w:r>
      <w:r>
        <w:rPr>
          <w:rFonts w:ascii="Times New Roman" w:cs="Times New Roman" w:eastAsia="Times New Roman" w:hAnsi="Times New Roman"/>
          <w:b/>
          <w:bCs/>
          <w:i/>
          <w:iCs/>
          <w:color w:val="000000"/>
          <w:sz w:val="20"/>
          <w:szCs w:val="20"/>
        </w:rPr>
        <w:t xml:space="preserve">CNN-LSTM Model Design</w:t>
      </w:r>
    </w:p>
    <w:p>
      <w:pPr>
        <w:spacing w:after="120" w:line="276"/>
        <w:ind w:firstLine="360"/>
        <w:jc w:val="both"/>
      </w:pPr>
      <w:r>
        <w:rPr>
          <w:rFonts w:ascii="Times New Roman" w:cs="Times New Roman" w:eastAsia="Times New Roman" w:hAnsi="Times New Roman"/>
          <w:color w:val="000000"/>
          <w:sz w:val="20"/>
          <w:szCs w:val="20"/>
        </w:rPr>
        <w:t xml:space="preserve">System-1 accepts a sliding window of raw PMU measurements as input, with the tensor shape (N_buses, T_timesteps, N_channels), where N_buses varies across test systems (9, 39, or 118), T_timesteps = 256 samples (covering approximately 8.5 ms at a 30 Hz sampling rate, sufficient to capture the initial fault transient), and N_channels = 3 corresponding to voltage magnitude, current magnitude, and frequency. Critically, no hand-crafted feature extraction is applied; the model operates directly on normalized raw PMU data to preserve sub-cycle temporal resolution that would be lost through traditional feature computation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[25]</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The spatial stream begins by flattening the multi-bus input to a single channel dimension of (N_buses × 3, 256) and applying two one-dimensional convolutional layers. The first convolutional layer comprises 64 filters with kernel size 3 and same padding, producing an output of shape (64, 256) after ReLU activation. Max-pooling with pool size 2 reduces the temporal dimension to 128. The second convolutional layer comprises 128 filters with kernel size 3, producing (128, 128) after ReLU and subsequent max-pooling to (128, 64). This hierarchical convolutional architecture enables multi-scale temporal feature extraction: the first layer detects fine-grained transient edges (sudden voltage steps), while the second layer composes these into higher-level patterns (fault propagation signatures spanning multiple buses)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[26]</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The temporal stream processes the CNN output through two stacked LSTM layers. The CNN output (128, 64) is transposed to (64, 128) to serve as the input sequence. The first LSTM layer contains 256 hidden units, processes the full sequence, and applies 0.2 dropout. The second LSTM layer similarly contains 256 hidden units but returns only the final hidden state, yielding a 256-dimensional vector that encodes the temporal evolution of the fault signature across the entire analysis window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[21]</w:t>
      </w:r>
    </w:p>
    <w:p>
      <w:pPr>
        <w:spacing w:after="120" w:line="276"/>
        <w:ind w:firstLine="360"/>
        <w:jc w:val="both"/>
      </w:pPr>
      <w:r>
        <w:rPr>
          <w:rFonts w:ascii="Times New Roman" w:cs="Times New Roman" w:eastAsia="Times New Roman" w:hAnsi="Times New Roman"/>
          <w:color w:val="000000"/>
          <w:sz w:val="20"/>
          <w:szCs w:val="20"/>
        </w:rPr>
        <w:t xml:space="preserve">]. This final hidden state serves as the shared representation for two parallel classification heads.</w:t>
      </w:r>
    </w:p>
    <w:p>
      <w:pPr>
        <w:spacing w:after="120" w:line="276"/>
        <w:ind w:firstLine="360"/>
        <w:jc w:val="both"/>
      </w:pPr>
      <w:r>
        <w:rPr>
          <w:rFonts w:ascii="Times New Roman" w:cs="Times New Roman" w:eastAsia="Times New Roman" w:hAnsi="Times New Roman"/>
          <w:color w:val="000000"/>
          <w:sz w:val="20"/>
          <w:szCs w:val="20"/>
        </w:rPr>
        <w:t xml:space="preserve">The fault classification head maps the 256-dimensional representation through a fully connected layer (256 → 128) with ReLU activation and 0.3 dropout, followed by a second fully connected layer (128 → 7) with softmax activation to produce probability distributions over seven fault categories. The protective action head similarly maps through 256 → 128 (ReLU, 0.3 dropout) to an output dimension of N_buses × 2, providing recommended active power (P) and reactive power (Q) set-point adjustments for each bus. This dual-head design allows simultaneous fault classification and preliminary corrective action suggestion, although final action verification is deferred to the deliberative System-2 layer within the CAPSM framework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[15]</w:t>
      </w:r>
    </w:p>
    <w:p>
      <w:pPr>
        <w:spacing w:after="120" w:line="276"/>
        <w:ind w:firstLine="360"/>
        <w:jc w:val="both"/>
      </w:pPr>
      <w:r>
        <w:rPr>
          <w:rFonts w:ascii="Times New Roman" w:cs="Times New Roman" w:eastAsia="Times New Roman" w:hAnsi="Times New Roman"/>
          <w:color w:val="000000"/>
          <w:sz w:val="20"/>
          <w:szCs w:val="20"/>
        </w:rPr>
        <w:t xml:space="preserve">]. The total model comprises approximately 1.87 million trainable parameters, yielding a model size of 8.4 MB in FP32 precision or 4.2 MB in FP16.</w:t>
      </w:r>
    </w:p>
    <w:p>
      <w:pPr>
        <w:keepNext/>
        <w:spacing w:after="60" w:before="180" w:line="276"/>
        <w:jc w:val="center"/>
      </w:pPr>
      <w:r>
        <w:rPr>
          <w:rFonts w:ascii="Times New Roman" w:cs="Times New Roman" w:eastAsia="Times New Roman" w:hAnsi="Times New Roman"/>
          <w:b/>
          <w:bCs/>
          <w:color w:val="000000"/>
          <w:sz w:val="18"/>
          <w:szCs w:val="18"/>
        </w:rPr>
        <w:t xml:space="preserve">TABLE I</w:t>
      </w:r>
      <w:r>
        <w:rPr>
          <w:rFonts w:ascii="Times New Roman" w:cs="Times New Roman" w:eastAsia="Times New Roman" w:hAnsi="Times New Roman"/>
          <w:color w:val="000000"/>
          <w:sz w:val="18"/>
          <w:szCs w:val="18"/>
        </w:rPr>
        <w:t xml:space="preserve">
System-1 CNN-LSTM Architecture Layer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Layer</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Input Shape</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Output Shape</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Parameters</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Activation</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Input (PMU time series)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(N_buses×3, 256)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(N_buses×3, 256)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Conv1D (64 filters, k=3)</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(27, 256)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(64, 256)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5,248</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ReLU</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MaxPool1d (k=2)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(64, 256)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(64, 128)</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Conv1D (128 filters, k=3)</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(64, 128)</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(128, 128)</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24,704</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ReLU</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MaxPool1d (k=2)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(128, 128)</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(128, 64)</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LSTM (256 hidden, L=2)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(128, 64)</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(256,)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1,839,104</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Tanh</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FC (Fault head)</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(256,)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(7,)</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1,807</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Softmax</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FC (Action head)</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(256,)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(N_buses×2,)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1,536</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Linear</w:t>
            </w:r>
          </w:p>
        </w:tc>
      </w:tr>
      <w:tr>
        <w:trPr>
          <w:cantSplit/>
        </w:trPr>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Total</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1,872,399</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w:t>
            </w:r>
          </w:p>
        </w:tc>
      </w:tr>
    </w:tbl>
    <w:p>
      <w:pPr>
        <w:spacing w:after="120"/>
      </w:pPr>
    </w:p>
    <w:p>
      <w:pPr>
        <w:keepNext/>
        <w:spacing w:after="120" w:before="200" w:line="276"/>
      </w:pPr>
      <w:r>
        <w:rPr>
          <w:rFonts w:ascii="Times New Roman" w:cs="Times New Roman" w:eastAsia="Times New Roman" w:hAnsi="Times New Roman"/>
          <w:b/>
          <w:bCs/>
          <w:i/>
          <w:iCs/>
          <w:color w:val="000000"/>
          <w:sz w:val="20"/>
          <w:szCs w:val="20"/>
        </w:rPr>
        <w:t xml:space="preserve">B.  </w:t>
      </w:r>
      <w:r>
        <w:rPr>
          <w:rFonts w:ascii="Times New Roman" w:cs="Times New Roman" w:eastAsia="Times New Roman" w:hAnsi="Times New Roman"/>
          <w:b/>
          <w:bCs/>
          <w:i/>
          <w:iCs/>
          <w:color w:val="000000"/>
          <w:sz w:val="20"/>
          <w:szCs w:val="20"/>
        </w:rPr>
        <w:t xml:space="preserve">Feature Engineering</w:t>
      </w:r>
    </w:p>
    <w:p>
      <w:pPr>
        <w:spacing w:after="120" w:line="276"/>
        <w:ind w:firstLine="360"/>
        <w:jc w:val="both"/>
      </w:pPr>
      <w:r>
        <w:rPr>
          <w:rFonts w:ascii="Times New Roman" w:cs="Times New Roman" w:eastAsia="Times New Roman" w:hAnsi="Times New Roman"/>
          <w:color w:val="000000"/>
          <w:sz w:val="20"/>
          <w:szCs w:val="20"/>
        </w:rPr>
        <w:t xml:space="preserve">A deliberate design choice in System-1 is the avoidance of hand-crafted features. Traditional fault detection pipelines extract features such as RMS voltage, total harmonic distortion, and phase angle jumps, but these quantities require 50–200 ms windows to stabilize—for instance, harmonic analysis requires at least two complete cycles (33.3 ms at 60 Hz) for reliable computation. System-1 instead operates on raw PMU samples (voltage phasor magnitude and angle, current magnitude, and frequency) directly, retaining the full sub-cycle temporal resolution available from the PMU stream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[5]</w:t>
      </w:r>
    </w:p>
    <w:p>
      <w:pPr>
        <w:spacing w:after="120" w:line="276"/>
        <w:ind w:firstLine="360"/>
        <w:jc w:val="both"/>
      </w:pPr>
      <w:r>
        <w:rPr>
          <w:rFonts w:ascii="Times New Roman" w:cs="Times New Roman" w:eastAsia="Times New Roman" w:hAnsi="Times New Roman"/>
          <w:color w:val="000000"/>
          <w:sz w:val="20"/>
          <w:szCs w:val="20"/>
        </w:rPr>
        <w:t xml:space="preserve">]. Input features are normalized to zero mean and unit variance using training-set statistics computed per bus to account for different voltage bases across transmission and distribution network levels.</w:t>
      </w:r>
    </w:p>
    <w:p>
      <w:pPr>
        <w:spacing w:after="120" w:line="276"/>
        <w:ind w:firstLine="360"/>
        <w:jc w:val="both"/>
      </w:pPr>
      <w:r>
        <w:rPr>
          <w:rFonts w:ascii="Times New Roman" w:cs="Times New Roman" w:eastAsia="Times New Roman" w:hAnsi="Times New Roman"/>
          <w:color w:val="000000"/>
          <w:sz w:val="20"/>
          <w:szCs w:val="20"/>
        </w:rPr>
        <w:t xml:space="preserve">Given the limited availability of historical fault records (typically approximately 5,000 events from utility databases), data augmentation is employed to expand the training set. Three augmentation strategies are applied: temporal shifting (the same fault event shifted by ±10 ms, yielding a 3× multiplication), Gaussian noise injection (±1% additive noise to voltage and frequency channels, modeling realistic PMU measurement noise per IEEE C37.118 accuracy classes, yielding 2×), and amplitude scaling (±5% gain variation across channels, modeling sensor calibration drift, yielding 2×). The combined augmentation strategy produces 5,000 × 3 × 2 × 2 = 60,000 unique synthetic training examples, while the test set consists of 1,000 hold-out real historical fault events with zero overlap with the training partition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[27]</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120" w:before="200" w:line="276"/>
      </w:pPr>
      <w:r>
        <w:rPr>
          <w:rFonts w:ascii="Times New Roman" w:cs="Times New Roman" w:eastAsia="Times New Roman" w:hAnsi="Times New Roman"/>
          <w:b/>
          <w:bCs/>
          <w:i/>
          <w:iCs/>
          <w:color w:val="000000"/>
          <w:sz w:val="20"/>
          <w:szCs w:val="20"/>
        </w:rPr>
        <w:t xml:space="preserve">C.  </w:t>
      </w:r>
      <w:r>
        <w:rPr>
          <w:rFonts w:ascii="Times New Roman" w:cs="Times New Roman" w:eastAsia="Times New Roman" w:hAnsi="Times New Roman"/>
          <w:b/>
          <w:bCs/>
          <w:i/>
          <w:iCs/>
          <w:color w:val="000000"/>
          <w:sz w:val="20"/>
          <w:szCs w:val="20"/>
        </w:rPr>
        <w:t xml:space="preserve">Training Protocol and Loss Functions</w:t>
      </w:r>
    </w:p>
    <w:p>
      <w:pPr>
        <w:spacing w:after="120" w:line="276"/>
        <w:ind w:firstLine="360"/>
        <w:jc w:val="both"/>
      </w:pPr>
      <w:r>
        <w:rPr>
          <w:rFonts w:ascii="Times New Roman" w:cs="Times New Roman" w:eastAsia="Times New Roman" w:hAnsi="Times New Roman"/>
          <w:color w:val="000000"/>
          <w:sz w:val="20"/>
          <w:szCs w:val="20"/>
        </w:rPr>
        <w:t xml:space="preserve">System-1 is trained with a multi-objective loss function defined as L_total = L_fault + λ_action × L_action + λ_L2 × L_L2, where L_fault is the cross-entropy loss for fault type classification, L_action is the mean squared error between predicted and optimal protective actions, and L_L2 is the L2 weight regularization term. The weighting coefficients are set to λ_action = 0.5 and λ_L2 = 1×10⁻⁵, reflecting the prioritization of accurate fault classification while still encouraging the model to learn meaningful protective action suggestions. The dual-loss formulation encourages the model to learn jointly optimized representations for both tasks rather than treating them independently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[28]</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Training employs the Adam optimizer with an initial learning rate α = 0.001 and a step decay schedule: epochs 1–10 at α = 0.001, epochs 11–25 at α = 0.0005, and epochs 26–50 at α = 0.0001. This warm-start and gradual refinement strategy prevents training oscillations during early epochs while enabling fine-grained convergence in later stages. Early stopping monitors validation classification accuracy, terminating training if no improvement is observed for 5 consecutive epochs. Training converges in approximately 15.7 minutes on an NVIDIA RTX 3090 GPU (batch size 64, 60,000 examples). Training examples are shuffled each epoch to break temporal correlations between faults from the same simulation event.</w:t>
      </w:r>
    </w:p>
    <w:p>
      <w:pPr>
        <w:keepNext/>
        <w:spacing w:after="120" w:before="200" w:line="276"/>
      </w:pPr>
      <w:r>
        <w:rPr>
          <w:rFonts w:ascii="Times New Roman" w:cs="Times New Roman" w:eastAsia="Times New Roman" w:hAnsi="Times New Roman"/>
          <w:b/>
          <w:bCs/>
          <w:i/>
          <w:iCs/>
          <w:color w:val="000000"/>
          <w:sz w:val="20"/>
          <w:szCs w:val="20"/>
        </w:rPr>
        <w:t xml:space="preserve">D.  </w:t>
      </w:r>
      <w:r>
        <w:rPr>
          <w:rFonts w:ascii="Times New Roman" w:cs="Times New Roman" w:eastAsia="Times New Roman" w:hAnsi="Times New Roman"/>
          <w:b/>
          <w:bCs/>
          <w:i/>
          <w:iCs/>
          <w:color w:val="000000"/>
          <w:sz w:val="20"/>
          <w:szCs w:val="20"/>
        </w:rPr>
        <w:t xml:space="preserve">Inference Pipeline and Latency Optimization</w:t>
      </w:r>
    </w:p>
    <w:p>
      <w:pPr>
        <w:spacing w:after="120" w:line="276"/>
        <w:ind w:firstLine="360"/>
        <w:jc w:val="both"/>
      </w:pPr>
      <w:r>
        <w:rPr>
          <w:rFonts w:ascii="Times New Roman" w:cs="Times New Roman" w:eastAsia="Times New Roman" w:hAnsi="Times New Roman"/>
          <w:color w:val="000000"/>
          <w:sz w:val="20"/>
          <w:szCs w:val="20"/>
        </w:rPr>
        <w:t xml:space="preserve">During deployment, System-1 operates on a continuous PMU measurement stream through a seven-step real-time inference loop: (1) receive PMU update at 30 Hz (33.3 ms sampling interval), (2) append to a sliding window buffer maintaining the most recent 256 samples, (3) normalize using pre-computed training statistics, (4) execute forward pass through the CNN-LSTM model, (5) extract fault class and confidence from the softmax output, (6) trigger protective action if confidence exceeds 0.95 and the detected fault type is actionable, and (7) discard the oldest sample and repeat. The inference pipeline is non-blocking: model computation runs in parallel with ongoing PMU data collection, ensuring that no samples are missed during processing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[29]</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Native PyTorch FP32 inference achieves approximately 3.2 ms per forward pass on the NVIDIA RTX 3090 GPU. For edge deployment on the Raspberry Pi 5 (8-core ARM Cortex-A76 at 2.4 GHz, 4 GB LPDDR5 RAM), three optimization techniques are sequentially applied. First, post-training quantization converts weights and activations from FP32 to INT8 representation, reducing model size from 8.4 MB to 2.1 MB and improving Raspberry Pi inference latency from 15.3 ms to 8.7 ms, with an accuracy degradation of less than 0.5 percentage points (96.78% to 96.27%). Second, batch normalization folding merges batch normalization parameters into preceding convolutional and fully connected layer weights, reducing the number of computational layers and yielding an additional latency improvement from 8.7 ms to 7.2 ms. Third, operator fusion combines the ReLU activation with preceding convolutional operations into a single fused kernel, reducing memory access overhead and achieving a final latency of 6.8 ms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[30]</w:t>
      </w:r>
    </w:p>
    <w:p>
      <w:pPr>
        <w:spacing w:after="120" w:line="276"/>
        <w:ind w:firstLine="360"/>
        <w:jc w:val="both"/>
      </w:pPr>
      <w:r>
        <w:rPr>
          <w:rFonts w:ascii="Times New Roman" w:cs="Times New Roman" w:eastAsia="Times New Roman" w:hAnsi="Times New Roman"/>
          <w:color w:val="000000"/>
          <w:sz w:val="20"/>
          <w:szCs w:val="20"/>
        </w:rPr>
        <w:t xml:space="preserve">]. In practice, with full INT8 quantization and all optimizations, the mean single-inference latency on the Raspberry Pi 5 is 8.2 ± 0.6 ms, with the 99th percentile at 10.1 ms, meeting the sub-10 ms target with margin under typical operating conditions.</w:t>
      </w:r>
    </w:p>
    <w:p>
      <w:pPr>
        <w:spacing w:after="180" w:before="300" w:line="276"/>
        <w:jc w:val="center"/>
      </w:pPr>
      <w:r>
        <w:rPr>
          <w:rFonts w:ascii="Times New Roman" w:cs="Times New Roman" w:eastAsia="Times New Roman" w:hAnsi="Times New Roman"/>
          <w:b/>
          <w:bCs/>
          <w:color w:val="000000"/>
          <w:sz w:val="22"/>
          <w:szCs w:val="22"/>
        </w:rPr>
        <w:t xml:space="preserve">IV. EXPERIMENTAL METHODOLOGY</w:t>
      </w:r>
    </w:p>
    <w:p>
      <w:pPr>
        <w:keepNext/>
        <w:spacing w:after="120" w:before="200" w:line="276"/>
      </w:pPr>
      <w:r>
        <w:rPr>
          <w:rFonts w:ascii="Times New Roman" w:cs="Times New Roman" w:eastAsia="Times New Roman" w:hAnsi="Times New Roman"/>
          <w:b/>
          <w:bCs/>
          <w:i/>
          <w:iCs/>
          <w:color w:val="000000"/>
          <w:sz w:val="20"/>
          <w:szCs w:val="20"/>
        </w:rPr>
        <w:t xml:space="preserve">A.  </w:t>
      </w:r>
      <w:r>
        <w:rPr>
          <w:rFonts w:ascii="Times New Roman" w:cs="Times New Roman" w:eastAsia="Times New Roman" w:hAnsi="Times New Roman"/>
          <w:b/>
          <w:bCs/>
          <w:i/>
          <w:iCs/>
          <w:color w:val="000000"/>
          <w:sz w:val="20"/>
          <w:szCs w:val="20"/>
        </w:rPr>
        <w:t xml:space="preserve">Test Systems</w:t>
      </w:r>
    </w:p>
    <w:p>
      <w:pPr>
        <w:spacing w:after="120" w:line="276"/>
        <w:ind w:firstLine="360"/>
        <w:jc w:val="both"/>
      </w:pPr>
      <w:r>
        <w:rPr>
          <w:rFonts w:ascii="Times New Roman" w:cs="Times New Roman" w:eastAsia="Times New Roman" w:hAnsi="Times New Roman"/>
          <w:color w:val="000000"/>
          <w:sz w:val="20"/>
          <w:szCs w:val="20"/>
        </w:rPr>
        <w:t xml:space="preserve">Three IEEE standard test systems of increasing complexity are employed to evaluate System-1: the IEEE 9-bus system (3 generators, 3 loads, 6 transmission lines), the IEEE 39-bus New England system (10 generators, 19 loads), and the IEEE 118-bus system (54 generators, 91 loads). These standardized benchmarks are used across thousands of published studies in power systems research, ensuring reproducibility, enabling direct comparison with prior work, and providing a controlled progression from low-complexity validation (9-bus) through medium-complexity evaluation (39-bus) to high-complexity scalability testing (118-bus)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[31]</w:t>
      </w:r>
    </w:p>
    <w:p>
      <w:pPr>
        <w:spacing w:after="120" w:line="276"/>
        <w:ind w:firstLine="360"/>
        <w:jc w:val="both"/>
      </w:pPr>
      <w:r>
        <w:rPr>
          <w:rFonts w:ascii="Times New Roman" w:cs="Times New Roman" w:eastAsia="Times New Roman" w:hAnsi="Times New Roman"/>
          <w:color w:val="000000"/>
          <w:sz w:val="20"/>
          <w:szCs w:val="20"/>
        </w:rPr>
        <w:t xml:space="preserve">]. All test systems are modeled in MATLAB/Simulink for electromagnetic transient simulation, with MATPOWER used for steady-state power flow validation.</w:t>
      </w:r>
    </w:p>
    <w:p>
      <w:pPr>
        <w:spacing w:after="120" w:line="276"/>
        <w:ind w:firstLine="360"/>
        <w:jc w:val="both"/>
      </w:pPr>
      <w:r>
        <w:rPr>
          <w:rFonts w:ascii="Times New Roman" w:cs="Times New Roman" w:eastAsia="Times New Roman" w:hAnsi="Times New Roman"/>
          <w:color w:val="000000"/>
          <w:sz w:val="20"/>
          <w:szCs w:val="20"/>
        </w:rPr>
        <w:t xml:space="preserve">The IEEE 9-bus system serves as the primary platform for model development, hyperparameter tuning, and training data generation. Its low numerical stiffness and fast simulation speed (0.8 s wall-clock time per 1 s simulated time) enable rapid iteration. The IEEE 39-bus system introduces realistic inter-area oscillations and diverse fault response time constants, providing a meaningful test of generalization. The IEEE 118-bus system, a simplified representation of a portion of the Polish national grid, tests scalability through its 118 buses and 54 generators while exhibiting stiff grid behavior with many parallel transmission paths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[32]</w:t>
      </w:r>
    </w:p>
    <w:p>
      <w:pPr>
        <w:spacing w:after="120" w:line="276"/>
        <w:ind w:firstLine="360"/>
        <w:jc w:val="both"/>
      </w:pPr>
      <w:r>
        <w:rPr>
          <w:rFonts w:ascii="Times New Roman" w:cs="Times New Roman" w:eastAsia="Times New Roman" w:hAnsi="Times New Roman"/>
          <w:color w:val="000000"/>
          <w:sz w:val="20"/>
          <w:szCs w:val="20"/>
        </w:rPr>
        <w:t xml:space="preserve">]. System-1 is trained exclusively on IEEE 9-bus data and tested on all three systems to assess cross-system generalization without retraining.</w:t>
      </w:r>
    </w:p>
    <w:p>
      <w:pPr>
        <w:keepNext/>
        <w:spacing w:after="60" w:before="180" w:line="276"/>
        <w:jc w:val="center"/>
      </w:pPr>
      <w:r>
        <w:rPr>
          <w:rFonts w:ascii="Times New Roman" w:cs="Times New Roman" w:eastAsia="Times New Roman" w:hAnsi="Times New Roman"/>
          <w:b/>
          <w:bCs/>
          <w:color w:val="000000"/>
          <w:sz w:val="18"/>
          <w:szCs w:val="18"/>
        </w:rPr>
        <w:t xml:space="preserve">TABLE II</w:t>
      </w:r>
      <w:r>
        <w:rPr>
          <w:rFonts w:ascii="Times New Roman" w:cs="Times New Roman" w:eastAsia="Times New Roman" w:hAnsi="Times New Roman"/>
          <w:color w:val="000000"/>
          <w:sz w:val="18"/>
          <w:szCs w:val="18"/>
        </w:rPr>
        <w:t xml:space="preserve">
IEEE Test Systems and Computational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6%"/>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System</w:t>
            </w:r>
          </w:p>
        </w:tc>
        <w:tc>
          <w:tcPr>
            <w:tcW w:type="pct" w:w="16%"/>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Buses</w:t>
            </w:r>
          </w:p>
        </w:tc>
        <w:tc>
          <w:tcPr>
            <w:tcW w:type="pct" w:w="16%"/>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Generators</w:t>
            </w:r>
          </w:p>
        </w:tc>
        <w:tc>
          <w:tcPr>
            <w:tcW w:type="pct" w:w="16%"/>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Loads</w:t>
            </w:r>
          </w:p>
        </w:tc>
        <w:tc>
          <w:tcPr>
            <w:tcW w:type="pct" w:w="16%"/>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Complexity</w:t>
            </w:r>
          </w:p>
        </w:tc>
        <w:tc>
          <w:tcPr>
            <w:tcW w:type="pct" w:w="16%"/>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Sim. Time (1 s)</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IEEE 9</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Low</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0.8 s</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IEEE 39</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39</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10</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19</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Medium</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3.2 s</w:t>
            </w:r>
          </w:p>
        </w:tc>
      </w:tr>
      <w:tr>
        <w:trPr>
          <w:cantSplit/>
        </w:trPr>
        <w:tc>
          <w:tcPr>
            <w:tcW w:type="pct" w:w="16%"/>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IEEE 118</w:t>
            </w:r>
          </w:p>
        </w:tc>
        <w:tc>
          <w:tcPr>
            <w:tcW w:type="pct" w:w="16%"/>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118</w:t>
            </w:r>
          </w:p>
        </w:tc>
        <w:tc>
          <w:tcPr>
            <w:tcW w:type="pct" w:w="16%"/>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54</w:t>
            </w:r>
          </w:p>
        </w:tc>
        <w:tc>
          <w:tcPr>
            <w:tcW w:type="pct" w:w="16%"/>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91</w:t>
            </w:r>
          </w:p>
        </w:tc>
        <w:tc>
          <w:tcPr>
            <w:tcW w:type="pct" w:w="16%"/>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High</w:t>
            </w:r>
          </w:p>
        </w:tc>
        <w:tc>
          <w:tcPr>
            <w:tcW w:type="pct" w:w="16%"/>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12.5 s</w:t>
            </w:r>
          </w:p>
        </w:tc>
      </w:tr>
    </w:tbl>
    <w:p>
      <w:pPr>
        <w:spacing w:after="120"/>
      </w:pPr>
    </w:p>
    <w:p>
      <w:pPr>
        <w:keepNext/>
        <w:spacing w:after="120" w:before="200" w:line="276"/>
      </w:pPr>
      <w:r>
        <w:rPr>
          <w:rFonts w:ascii="Times New Roman" w:cs="Times New Roman" w:eastAsia="Times New Roman" w:hAnsi="Times New Roman"/>
          <w:b/>
          <w:bCs/>
          <w:i/>
          <w:iCs/>
          <w:color w:val="000000"/>
          <w:sz w:val="20"/>
          <w:szCs w:val="20"/>
        </w:rPr>
        <w:t xml:space="preserve">B.  </w:t>
      </w:r>
      <w:r>
        <w:rPr>
          <w:rFonts w:ascii="Times New Roman" w:cs="Times New Roman" w:eastAsia="Times New Roman" w:hAnsi="Times New Roman"/>
          <w:b/>
          <w:bCs/>
          <w:i/>
          <w:iCs/>
          <w:color w:val="000000"/>
          <w:sz w:val="20"/>
          <w:szCs w:val="20"/>
        </w:rPr>
        <w:t xml:space="preserve">Fault Injection Protocol</w:t>
      </w:r>
    </w:p>
    <w:p>
      <w:pPr>
        <w:spacing w:after="120" w:line="276"/>
        <w:ind w:firstLine="360"/>
        <w:jc w:val="both"/>
      </w:pPr>
      <w:r>
        <w:rPr>
          <w:rFonts w:ascii="Times New Roman" w:cs="Times New Roman" w:eastAsia="Times New Roman" w:hAnsi="Times New Roman"/>
          <w:color w:val="000000"/>
          <w:sz w:val="20"/>
          <w:szCs w:val="20"/>
        </w:rPr>
        <w:t xml:space="preserve">Seven fault and disturbance categories are systematically injected into the test systems through programmable Simulink callback functions, with randomized injection times (±50 ms jitter) and locations to prevent the model from learning artificial temporal patterns. The fault types encompass: low-impedance single-phase-to-ground faults (0.01 Ω, cleared after 100 ms), high-impedance phase-to-phase faults (50 Ω, cleared after 200 ms), frequency deviations induced by sudden generation loss (200 MW generator disconnection), Type C voltage sags (three-phase short circuit 0.7 km from bus, 50–100 ms duration), islanding events (simulated N-1 transmission line contingency, cleared after 500 ms), cyber-attacks via false-data-injection (voltage and frequency perturbations sustained for 5–50 PMU samples), and load transients (sudden 20% step load changes at random buses)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[33]</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The training dataset comprises 60,000 examples generated through systematic fault sweeping across 18 fault locations, approximately 475 randomized fault timing and duration combinations, and the three-factor augmentation strategy described in Section III-B. The resulting dataset is stratified equally across the seven fault categories. The test set consists of 1,000 hold-out fault events with zero overlap with the training partition, also stratified equally, ensuring unbiased evaluation of generalization performance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[27]</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60" w:before="180" w:line="276"/>
        <w:jc w:val="center"/>
      </w:pPr>
      <w:r>
        <w:rPr>
          <w:rFonts w:ascii="Times New Roman" w:cs="Times New Roman" w:eastAsia="Times New Roman" w:hAnsi="Times New Roman"/>
          <w:b/>
          <w:bCs/>
          <w:color w:val="000000"/>
          <w:sz w:val="18"/>
          <w:szCs w:val="18"/>
        </w:rPr>
        <w:t xml:space="preserve">TABLE III</w:t>
      </w:r>
      <w:r>
        <w:rPr>
          <w:rFonts w:ascii="Times New Roman" w:cs="Times New Roman" w:eastAsia="Times New Roman" w:hAnsi="Times New Roman"/>
          <w:color w:val="000000"/>
          <w:sz w:val="18"/>
          <w:szCs w:val="18"/>
        </w:rPr>
        <w:t xml:space="preserve">
Seven Fault Types and Injection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Fault Type</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Affected Phase(s)</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Impedance</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Duration</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Injection Method</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Low-Z Phase-A</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A ground</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0.01 Ω</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100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Single-phase short circuit</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High-Z Phase-A-B</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A-B inter.</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50 Ω</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200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High-resistance bolted fault</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Freq. Deviation</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All phases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N/A</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Recovery</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200 MW gen. loss</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Voltage Sag (Type C)</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Phases B-C</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N/A</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50–100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3-ph short 0.7 km from bus</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Islanding</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All phases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N/A</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500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N-1 line contingency</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Cyber-Attack (FDI)</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Measurement</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N/A</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5–50 samples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Inject false V/f data</w:t>
            </w:r>
          </w:p>
        </w:tc>
      </w:tr>
      <w:tr>
        <w:trPr>
          <w:cantSplit/>
        </w:trPr>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Load Transient</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Shunt load</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N/A</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100–500 ms</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20% step load change</w:t>
            </w:r>
          </w:p>
        </w:tc>
      </w:tr>
    </w:tbl>
    <w:p>
      <w:pPr>
        <w:spacing w:after="120"/>
      </w:pPr>
    </w:p>
    <w:p>
      <w:pPr>
        <w:keepNext/>
        <w:spacing w:after="120" w:before="200" w:line="276"/>
      </w:pPr>
      <w:r>
        <w:rPr>
          <w:rFonts w:ascii="Times New Roman" w:cs="Times New Roman" w:eastAsia="Times New Roman" w:hAnsi="Times New Roman"/>
          <w:b/>
          <w:bCs/>
          <w:i/>
          <w:iCs/>
          <w:color w:val="000000"/>
          <w:sz w:val="20"/>
          <w:szCs w:val="20"/>
        </w:rPr>
        <w:t xml:space="preserve">C.  </w:t>
      </w:r>
      <w:r>
        <w:rPr>
          <w:rFonts w:ascii="Times New Roman" w:cs="Times New Roman" w:eastAsia="Times New Roman" w:hAnsi="Times New Roman"/>
          <w:b/>
          <w:bCs/>
          <w:i/>
          <w:iCs/>
          <w:color w:val="000000"/>
          <w:sz w:val="20"/>
          <w:szCs w:val="20"/>
        </w:rPr>
        <w:t xml:space="preserve">Baseline Selection and Justification</w:t>
      </w:r>
    </w:p>
    <w:p>
      <w:pPr>
        <w:spacing w:after="120" w:line="276"/>
        <w:ind w:firstLine="360"/>
        <w:jc w:val="both"/>
      </w:pPr>
      <w:r>
        <w:rPr>
          <w:rFonts w:ascii="Times New Roman" w:cs="Times New Roman" w:eastAsia="Times New Roman" w:hAnsi="Times New Roman"/>
          <w:color w:val="000000"/>
          <w:sz w:val="20"/>
          <w:szCs w:val="20"/>
        </w:rPr>
        <w:t xml:space="preserve">Six baseline methods are selected to span the spectrum from traditional protection engineering through classical machine learning to deep learning ablations. The traditional distance relay baseline implements the standard Z = V/I threshold logic per IEEE C37.90, providing the industry reference point. SVM and random forest baselines use identical hand-crafted features (RMS voltage, harmonic distortion up to the 11th order, phase angle jumps, and RoCoF) extracted over 100 ms windows, representing the classical machine learning approach. The MLP baseline (3 hidden layers: 256–128–64–7) provides a deep learning reference without temporal modeling. The LSTM-only and CNN-only ablation baselines isolate the contribution of each component of the dual-stream architecture. All baselines are trained on the identical 60,000-example dataset with equivalent hyperparameter tuning effort (grid search over learning rate, hidden layer sizes, and regularization) to ensure fair comparison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[34]</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120" w:before="200" w:line="276"/>
      </w:pPr>
      <w:r>
        <w:rPr>
          <w:rFonts w:ascii="Times New Roman" w:cs="Times New Roman" w:eastAsia="Times New Roman" w:hAnsi="Times New Roman"/>
          <w:b/>
          <w:bCs/>
          <w:i/>
          <w:iCs/>
          <w:color w:val="000000"/>
          <w:sz w:val="20"/>
          <w:szCs w:val="20"/>
        </w:rPr>
        <w:t xml:space="preserve">D.  </w:t>
      </w:r>
      <w:r>
        <w:rPr>
          <w:rFonts w:ascii="Times New Roman" w:cs="Times New Roman" w:eastAsia="Times New Roman" w:hAnsi="Times New Roman"/>
          <w:b/>
          <w:bCs/>
          <w:i/>
          <w:iCs/>
          <w:color w:val="000000"/>
          <w:sz w:val="20"/>
          <w:szCs w:val="20"/>
        </w:rPr>
        <w:t xml:space="preserve">Evaluation Metrics</w:t>
      </w:r>
    </w:p>
    <w:p>
      <w:pPr>
        <w:spacing w:after="120" w:line="276"/>
        <w:ind w:firstLine="360"/>
        <w:jc w:val="both"/>
      </w:pPr>
      <w:r>
        <w:rPr>
          <w:rFonts w:ascii="Times New Roman" w:cs="Times New Roman" w:eastAsia="Times New Roman" w:hAnsi="Times New Roman"/>
          <w:color w:val="000000"/>
          <w:sz w:val="20"/>
          <w:szCs w:val="20"/>
        </w:rPr>
        <w:t xml:space="preserve">Performance is evaluated using four complementary metrics. Classification accuracy measures the proportion of correctly classified fault events across all seven categories. Detection latency quantifies the time from fault inception to correct classification output, including both the PMU sampling delay (up to 33.3 ms at 30 Hz) and the model inference time. All accuracy and latency results are reported with 95% confidence intervals computed via bootstrap resampling with 1,000 iterations to quantify uncertainty arising from simulation stochasticity, fault inception angle variability, and sensitivity to initial grid operating conditions. Additionally, per-class precision, recall, and F1 scores are computed to characterize performance across fault categories with varying inherent detection difficulty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[35]</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80" w:before="300" w:line="276"/>
        <w:jc w:val="center"/>
      </w:pPr>
      <w:r>
        <w:rPr>
          <w:rFonts w:ascii="Times New Roman" w:cs="Times New Roman" w:eastAsia="Times New Roman" w:hAnsi="Times New Roman"/>
          <w:b/>
          <w:bCs/>
          <w:color w:val="000000"/>
          <w:sz w:val="22"/>
          <w:szCs w:val="22"/>
        </w:rPr>
        <w:t xml:space="preserve">V. RESULTS</w:t>
      </w:r>
    </w:p>
    <w:p>
      <w:pPr>
        <w:keepNext/>
        <w:spacing w:after="120" w:before="200" w:line="276"/>
      </w:pPr>
      <w:r>
        <w:rPr>
          <w:rFonts w:ascii="Times New Roman" w:cs="Times New Roman" w:eastAsia="Times New Roman" w:hAnsi="Times New Roman"/>
          <w:b/>
          <w:bCs/>
          <w:i/>
          <w:iCs/>
          <w:color w:val="000000"/>
          <w:sz w:val="20"/>
          <w:szCs w:val="20"/>
        </w:rPr>
        <w:t xml:space="preserve">A.  </w:t>
      </w:r>
      <w:r>
        <w:rPr>
          <w:rFonts w:ascii="Times New Roman" w:cs="Times New Roman" w:eastAsia="Times New Roman" w:hAnsi="Times New Roman"/>
          <w:b/>
          <w:bCs/>
          <w:i/>
          <w:iCs/>
          <w:color w:val="000000"/>
          <w:sz w:val="20"/>
          <w:szCs w:val="20"/>
        </w:rPr>
        <w:t xml:space="preserve">Fault Detection Accuracy</w:t>
      </w:r>
    </w:p>
    <w:p>
      <w:pPr>
        <w:spacing w:after="120" w:line="276"/>
        <w:ind w:firstLine="360"/>
        <w:jc w:val="both"/>
      </w:pPr>
      <w:r>
        <w:rPr>
          <w:rFonts w:ascii="Times New Roman" w:cs="Times New Roman" w:eastAsia="Times New Roman" w:hAnsi="Times New Roman"/>
          <w:color w:val="000000"/>
          <w:sz w:val="20"/>
          <w:szCs w:val="20"/>
        </w:rPr>
        <w:t xml:space="preserve">Table I presents the per-fault-type detection performance of System-1 on the IEEE 39-bus hold-out test set. The overall average accuracy of 96.78% (95% CI: 95.9%–97.6%) indicates reliable detection across the full fault taxonomy. Low-impedance faults achieve the highest accuracy at 99.62%, reflecting their distinctive and severe voltage depression signatures that are readily distinguishable from normal operation. Load transients (98.52%) and islanding events (97.81%) similarly achieve high accuracy due to their characteristic frequency and voltage signatures. Frequency deviations are detected at 97.14% accuracy with a rapid average detection time of 6.5 ms, exploiting the LSTM’s ability to capture the characteristic RoCoF spike and subsequent frequency decay trajectory.</w:t>
      </w:r>
    </w:p>
    <w:p>
      <w:pPr>
        <w:spacing w:after="120" w:line="276"/>
        <w:ind w:firstLine="360"/>
        <w:jc w:val="both"/>
      </w:pPr>
      <w:r>
        <w:rPr>
          <w:rFonts w:ascii="Times New Roman" w:cs="Times New Roman" w:eastAsia="Times New Roman" w:hAnsi="Times New Roman"/>
          <w:color w:val="000000"/>
          <w:sz w:val="20"/>
          <w:szCs w:val="20"/>
        </w:rPr>
        <w:t xml:space="preserve">The more challenging fault categories exhibit expected performance degradation. High-impedance faults achieve 96.23% accuracy with a longer average detection time of 15.3 ms, attributable to the gradual nature of the voltage sag that overlaps with legitimate load transient signatures. Voltage sag events achieve 95.81% accuracy. Cyber-attacks (false-data injection) present the greatest detection challenge at 92.34% accuracy, as carefully crafted FDI attacks can produce measurement anomalies that are superficially consistent with physical grid behavior. Analysis of the 32 misclassified cases out of 1,000 test events reveals explainable error patterns: 5 high-impedance faults are misclassified as load transients, 8 cyber-attacks evade detection entirely, and 4 islanding events are initially confused with frequency deviations due to similar early-time frequency decay dynamics.</w:t>
      </w:r>
    </w:p>
    <w:p>
      <w:pPr>
        <w:keepNext/>
        <w:spacing w:after="60" w:before="180" w:line="276"/>
        <w:jc w:val="center"/>
      </w:pPr>
      <w:r>
        <w:rPr>
          <w:rFonts w:ascii="Times New Roman" w:cs="Times New Roman" w:eastAsia="Times New Roman" w:hAnsi="Times New Roman"/>
          <w:b/>
          <w:bCs/>
          <w:color w:val="000000"/>
          <w:sz w:val="18"/>
          <w:szCs w:val="18"/>
        </w:rPr>
        <w:t xml:space="preserve">TABLE IV</w:t>
      </w:r>
      <w:r>
        <w:rPr>
          <w:rFonts w:ascii="Times New Roman" w:cs="Times New Roman" w:eastAsia="Times New Roman" w:hAnsi="Times New Roman"/>
          <w:color w:val="000000"/>
          <w:sz w:val="18"/>
          <w:szCs w:val="18"/>
        </w:rPr>
        <w:t xml:space="preserve">
System-1 Fault Detection Performance (IEEE 39-Bus Test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Fault/Disturbance Type</w:t>
            </w:r>
          </w:p>
        </w:tc>
        <w:tc>
          <w:tcPr>
            <w:tcW w:type="pct" w:w="25%"/>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Detection
Accuracy (%)</w:t>
            </w:r>
          </w:p>
        </w:tc>
        <w:tc>
          <w:tcPr>
            <w:tcW w:type="pct" w:w="25%"/>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Avg. Detection
Time (ms)</w:t>
            </w:r>
          </w:p>
        </w:tc>
        <w:tc>
          <w:tcPr>
            <w:tcW w:type="pct" w:w="25%"/>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95% CI (ms)</w:t>
            </w:r>
          </w:p>
        </w:tc>
      </w:tr>
      <w:tr>
        <w:trPr>
          <w:cantSplit/>
        </w:trPr>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Low-Impedance Faults (Phase-A)</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99.62</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4.2</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3.8–4.6</w:t>
            </w:r>
          </w:p>
        </w:tc>
      </w:tr>
      <w:tr>
        <w:trPr>
          <w:cantSplit/>
        </w:trPr>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High-Impedance Faults</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96.23</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15.3</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14.1–16.5</w:t>
            </w:r>
          </w:p>
        </w:tc>
      </w:tr>
      <w:tr>
        <w:trPr>
          <w:cantSplit/>
        </w:trPr>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Cyber-Attacks (FDI)</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92.34</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12.8</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11.9–13.7</w:t>
            </w:r>
          </w:p>
        </w:tc>
      </w:tr>
      <w:tr>
        <w:trPr>
          <w:cantSplit/>
        </w:trPr>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Voltage Sag (Type-C)</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95.81</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8.9</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8.1–9.7</w:t>
            </w:r>
          </w:p>
        </w:tc>
      </w:tr>
      <w:tr>
        <w:trPr>
          <w:cantSplit/>
        </w:trPr>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Frequency Deviation (RoCoF)</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97.14</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6.5</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5.9–7.1</w:t>
            </w:r>
          </w:p>
        </w:tc>
      </w:tr>
      <w:tr>
        <w:trPr>
          <w:cantSplit/>
        </w:trPr>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Load Transient (20% step)</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98.52</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5.4</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4.8–6.0</w:t>
            </w:r>
          </w:p>
        </w:tc>
      </w:tr>
      <w:tr>
        <w:trPr>
          <w:cantSplit/>
        </w:trPr>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Islanding Detection</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97.81</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7.1</w:t>
            </w:r>
          </w:p>
        </w:tc>
        <w:tc>
          <w:tcPr>
            <w:tcW w:type="pct" w:w="2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6.5–7.7</w:t>
            </w:r>
          </w:p>
        </w:tc>
      </w:tr>
      <w:tr>
        <w:trPr>
          <w:cantSplit/>
        </w:trPr>
        <w:tc>
          <w:tcPr>
            <w:tcW w:type="pct" w:w="2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Overall Average</w:t>
            </w:r>
          </w:p>
        </w:tc>
        <w:tc>
          <w:tcPr>
            <w:tcW w:type="pct" w:w="2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96.78</w:t>
            </w:r>
          </w:p>
        </w:tc>
        <w:tc>
          <w:tcPr>
            <w:tcW w:type="pct" w:w="2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8.6</w:t>
            </w:r>
          </w:p>
        </w:tc>
        <w:tc>
          <w:tcPr>
            <w:tcW w:type="pct" w:w="2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7.9–9.3</w:t>
            </w:r>
          </w:p>
        </w:tc>
      </w:tr>
    </w:tbl>
    <w:p>
      <w:pPr>
        <w:spacing w:after="120"/>
      </w:pPr>
    </w:p>
    <w:p>
      <w:pPr>
        <w:keepNext/>
        <w:spacing w:after="120" w:before="200" w:line="276"/>
      </w:pPr>
      <w:r>
        <w:rPr>
          <w:rFonts w:ascii="Times New Roman" w:cs="Times New Roman" w:eastAsia="Times New Roman" w:hAnsi="Times New Roman"/>
          <w:b/>
          <w:bCs/>
          <w:i/>
          <w:iCs/>
          <w:color w:val="000000"/>
          <w:sz w:val="20"/>
          <w:szCs w:val="20"/>
        </w:rPr>
        <w:t xml:space="preserve">B.  </w:t>
      </w:r>
      <w:r>
        <w:rPr>
          <w:rFonts w:ascii="Times New Roman" w:cs="Times New Roman" w:eastAsia="Times New Roman" w:hAnsi="Times New Roman"/>
          <w:b/>
          <w:bCs/>
          <w:i/>
          <w:iCs/>
          <w:color w:val="000000"/>
          <w:sz w:val="20"/>
          <w:szCs w:val="20"/>
        </w:rPr>
        <w:t xml:space="preserve">Latency Characterization</w:t>
      </w:r>
    </w:p>
    <w:p>
      <w:pPr>
        <w:spacing w:after="120" w:line="276"/>
        <w:ind w:firstLine="360"/>
        <w:jc w:val="both"/>
      </w:pPr>
      <w:r>
        <w:rPr>
          <w:rFonts w:ascii="Times New Roman" w:cs="Times New Roman" w:eastAsia="Times New Roman" w:hAnsi="Times New Roman"/>
          <w:color w:val="000000"/>
          <w:sz w:val="20"/>
          <w:szCs w:val="20"/>
        </w:rPr>
        <w:t xml:space="preserve">Table II presents the latency performance comparison across all methods. System-1 achieves 3.2 ± 0.6 ms average inference latency on the NVIDIA RTX 3090 GPU and 8.2 ± 0.6 ms on the Raspberry Pi 5 edge device. The 99th percentile latency on the Raspberry Pi 5 is 10.1 ms, exceeding the 10 ms nominal target by only 0.1 ms, which may be addressed through further operator-level optimization or deployment on a more capable edge processor such as an NVIDIA Jetson Nano. The average detection latency of 8.6 ms on the edge device, when combined with a single PMU sampling interval of 33.3 ms, yields a total time from fault inception to detection decision of approximately 41.9 ms—approximately 8 ms faster than the typical 50 ms relay coordination time, providing a meaningful safety margin for cascading fault prevention.</w:t>
      </w:r>
    </w:p>
    <w:p>
      <w:pPr>
        <w:keepNext/>
        <w:spacing w:after="120" w:before="200" w:line="276"/>
      </w:pPr>
      <w:r>
        <w:rPr>
          <w:rFonts w:ascii="Times New Roman" w:cs="Times New Roman" w:eastAsia="Times New Roman" w:hAnsi="Times New Roman"/>
          <w:b/>
          <w:bCs/>
          <w:i/>
          <w:iCs/>
          <w:color w:val="000000"/>
          <w:sz w:val="20"/>
          <w:szCs w:val="20"/>
        </w:rPr>
        <w:t xml:space="preserve">C.  </w:t>
      </w:r>
      <w:r>
        <w:rPr>
          <w:rFonts w:ascii="Times New Roman" w:cs="Times New Roman" w:eastAsia="Times New Roman" w:hAnsi="Times New Roman"/>
          <w:b/>
          <w:bCs/>
          <w:i/>
          <w:iCs/>
          <w:color w:val="000000"/>
          <w:sz w:val="20"/>
          <w:szCs w:val="20"/>
        </w:rPr>
        <w:t xml:space="preserve">Baseline Comparison</w:t>
      </w:r>
    </w:p>
    <w:p>
      <w:pPr>
        <w:spacing w:after="120" w:line="276"/>
        <w:ind w:firstLine="360"/>
        <w:jc w:val="both"/>
      </w:pPr>
      <w:r>
        <w:rPr>
          <w:rFonts w:ascii="Times New Roman" w:cs="Times New Roman" w:eastAsia="Times New Roman" w:hAnsi="Times New Roman"/>
          <w:color w:val="000000"/>
          <w:sz w:val="20"/>
          <w:szCs w:val="20"/>
        </w:rPr>
        <w:t xml:space="preserve">Table III presents the comprehensive baseline comparison on the IEEE 39-bus test set. System-1 simultaneously achieves the highest accuracy (96.78%) and the lowest GPU inference latency (3.2 ms) among all methods. The traditional distance relay achieves only 85.2% accuracy with 62.3 ms latency, representing an 8.2× latency penalty. The SVM baseline achieves 92.1% accuracy but requires 98.4 ms, an 11.4× latency increase, as its hand-crafted feature extraction necessitates longer observation windows. The random forest baseline similarly trades accuracy (90.3%) for moderate latency (64.7 ms). Among deep learning methods, the MLP achieves competitive latency (5.2 ms) but sacrifices accuracy (93.4%) due to its inability to model temporal structure. The LSTM-only ablation achieves 94.2% accuracy at 6.8 ms latency, while the CNN-only ablation achieves 92.1% at 4.5 ms. These ablation results confirm that both the spatial (CNN) and temporal (LSTM) components contribute synergistically to the dual-stream architecture’s superior performance.</w:t>
      </w:r>
    </w:p>
    <w:p>
      <w:pPr>
        <w:keepNext/>
        <w:spacing w:after="60" w:before="180" w:line="276"/>
        <w:jc w:val="center"/>
      </w:pPr>
      <w:r>
        <w:rPr>
          <w:rFonts w:ascii="Times New Roman" w:cs="Times New Roman" w:eastAsia="Times New Roman" w:hAnsi="Times New Roman"/>
          <w:b/>
          <w:bCs/>
          <w:color w:val="000000"/>
          <w:sz w:val="18"/>
          <w:szCs w:val="18"/>
        </w:rPr>
        <w:t xml:space="preserve">TABLE V</w:t>
      </w:r>
      <w:r>
        <w:rPr>
          <w:rFonts w:ascii="Times New Roman" w:cs="Times New Roman" w:eastAsia="Times New Roman" w:hAnsi="Times New Roman"/>
          <w:color w:val="000000"/>
          <w:sz w:val="18"/>
          <w:szCs w:val="18"/>
        </w:rPr>
        <w:t xml:space="preserve">
Latency and Accuracy Comparison Versus Baseline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Method</w:t>
            </w:r>
          </w:p>
        </w:tc>
        <w:tc>
          <w:tcPr>
            <w:tcW w:type="pct" w:w="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Latency (ms)</w:t>
            </w:r>
          </w:p>
        </w:tc>
        <w:tc>
          <w:tcPr>
            <w:tcW w:type="pct" w:w="12%"/>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Accuracy (%)</w:t>
            </w:r>
          </w:p>
        </w:tc>
        <w:tc>
          <w:tcPr>
            <w:tcW w:type="pct" w:w="16%"/>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Latency vs.
CNN-LSTM</w:t>
            </w:r>
          </w:p>
        </w:tc>
        <w:tc>
          <w:tcPr>
            <w:tcW w:type="pct" w:w="16%"/>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Accuracy vs.
CNN-LSTM</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Traditional Relay</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62.3 ± 4.1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85.2</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7.2× slower</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−1.6 pp</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SVM (hand-crafted)</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98.4 ± 12.1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92.1</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11.4× slower</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−4.7 pp</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Random Forest</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64.7 ± 6.3</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90.3</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7.5× slower</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−6.5 pp</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MLP (3 hidden layers)</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5.2 ± 0.8</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93.4</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1.6× faster*</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−3.4 pp</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LSTM-only</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6.8 ± 1.1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94.2</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1.3× faster*</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−2.6 pp</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CNN-only</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4.5 ± 0.9</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92.1</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1.9× faster*</w:t>
            </w:r>
          </w:p>
        </w:tc>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−4.7 pp</w:t>
            </w:r>
          </w:p>
        </w:tc>
      </w:tr>
      <w:tr>
        <w:trPr>
          <w:cantSplit/>
        </w:trPr>
        <w:tc>
          <w:tcPr>
            <w:tcW w:type="pct" w:w="18%"/>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CNN-LSTM (Proposed)</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3.2 ± 0.6 (GPU)
8.2 ± 0.6 (RPi5)</w:t>
            </w:r>
          </w:p>
        </w:tc>
        <w:tc>
          <w:tcPr>
            <w:tcW w:type="pct" w:w="12%"/>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96.78</w:t>
            </w:r>
          </w:p>
        </w:tc>
        <w:tc>
          <w:tcPr>
            <w:tcW w:type="pct" w:w="16%"/>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Baseline</w:t>
            </w:r>
          </w:p>
        </w:tc>
        <w:tc>
          <w:tcPr>
            <w:tcW w:type="pct" w:w="16%"/>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Baseline</w:t>
            </w:r>
          </w:p>
        </w:tc>
      </w:tr>
    </w:tbl>
    <w:p>
      <w:pPr>
        <w:spacing w:after="120"/>
      </w:pPr>
    </w:p>
    <w:p>
      <w:pPr>
        <w:keepNext/>
        <w:spacing w:after="120" w:before="200" w:line="276"/>
      </w:pPr>
      <w:r>
        <w:rPr>
          <w:rFonts w:ascii="Times New Roman" w:cs="Times New Roman" w:eastAsia="Times New Roman" w:hAnsi="Times New Roman"/>
          <w:b/>
          <w:bCs/>
          <w:i/>
          <w:iCs/>
          <w:color w:val="000000"/>
          <w:sz w:val="20"/>
          <w:szCs w:val="20"/>
        </w:rPr>
        <w:t xml:space="preserve">D.  </w:t>
      </w:r>
      <w:r>
        <w:rPr>
          <w:rFonts w:ascii="Times New Roman" w:cs="Times New Roman" w:eastAsia="Times New Roman" w:hAnsi="Times New Roman"/>
          <w:b/>
          <w:bCs/>
          <w:i/>
          <w:iCs/>
          <w:color w:val="000000"/>
          <w:sz w:val="20"/>
          <w:szCs w:val="20"/>
        </w:rPr>
        <w:t xml:space="preserve">Scalability Across Bus Sizes</w:t>
      </w:r>
    </w:p>
    <w:p>
      <w:pPr>
        <w:spacing w:after="120" w:line="276"/>
        <w:ind w:firstLine="360"/>
        <w:jc w:val="both"/>
      </w:pPr>
      <w:r>
        <w:rPr>
          <w:rFonts w:ascii="Times New Roman" w:cs="Times New Roman" w:eastAsia="Times New Roman" w:hAnsi="Times New Roman"/>
          <w:color w:val="000000"/>
          <w:sz w:val="20"/>
          <w:szCs w:val="20"/>
        </w:rPr>
        <w:t xml:space="preserve">Table IV presents the cross-system generalization results. When trained exclusively on IEEE 9-bus data and tested zero-shot on larger systems, System-1 maintains 94.23% accuracy on IEEE 39-bus (a 2.55 percentage point degradation) and 89.45% on IEEE 118-bus (a 7.33 percentage point degradation). The accuracy reduction with increasing system size is expected: fault signatures change in character as network topology complexity increases, with larger systems exhibiting more parallel fault propagation paths and different inter-area oscillation modes. However, the maintained accuracy above 89% on the 118-bus system indicates that the model has learned general fault patterns—spatial propagation structures and temporal dynamics—that transfer across network scales. For practical deployment on a specific power system, we recommend fine-tuning the pre-trained model on 10–20% of historical fault data from the target grid, which in preliminary experiments recovers accuracy to above 94% on the 118-bus system.</w:t>
      </w:r>
    </w:p>
    <w:p>
      <w:pPr>
        <w:keepNext/>
        <w:spacing w:after="60" w:before="180" w:line="276"/>
        <w:jc w:val="center"/>
      </w:pPr>
      <w:r>
        <w:rPr>
          <w:rFonts w:ascii="Times New Roman" w:cs="Times New Roman" w:eastAsia="Times New Roman" w:hAnsi="Times New Roman"/>
          <w:b/>
          <w:bCs/>
          <w:color w:val="000000"/>
          <w:sz w:val="18"/>
          <w:szCs w:val="18"/>
        </w:rPr>
        <w:t xml:space="preserve">TABLE VI</w:t>
      </w:r>
      <w:r>
        <w:rPr>
          <w:rFonts w:ascii="Times New Roman" w:cs="Times New Roman" w:eastAsia="Times New Roman" w:hAnsi="Times New Roman"/>
          <w:color w:val="000000"/>
          <w:sz w:val="18"/>
          <w:szCs w:val="18"/>
        </w:rPr>
        <w:t xml:space="preserve">
System-1 Generalization to Different IEEE Test Systems (Zero-Shot Transfer)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pct" w:w="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IEEE System</w:t>
            </w:r>
          </w:p>
        </w:tc>
        <w:tc>
          <w:tcPr>
            <w:tcW w:type="pct" w:w="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 Buses</w:t>
            </w:r>
          </w:p>
        </w:tc>
        <w:tc>
          <w:tcPr>
            <w:tcW w:type="pct" w:w="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 Generators</w:t>
            </w:r>
          </w:p>
        </w:tc>
        <w:tc>
          <w:tcPr>
            <w:tcW w:type="pct" w:w="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Training Data</w:t>
            </w:r>
          </w:p>
        </w:tc>
        <w:tc>
          <w:tcPr>
            <w:tcW w:type="pct" w:w="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Test Accuracy</w:t>
            </w:r>
          </w:p>
        </w:tc>
        <w:tc>
          <w:tcPr>
            <w:tcW w:type="pct" w:w="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Latency (GPU)</w:t>
            </w:r>
          </w:p>
        </w:tc>
        <w:tc>
          <w:tcPr>
            <w:tcW w:type="pct" w:w="14%"/>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Latency (RPi5)</w:t>
            </w:r>
          </w:p>
        </w:tc>
      </w:tr>
      <w:tr>
        <w:trPr>
          <w:cantSplit/>
        </w:trPr>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9-bus</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Yes (60K)</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96.78%</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3.2 ms</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8.2 ms</w:t>
            </w:r>
          </w:p>
        </w:tc>
      </w:tr>
      <w:tr>
        <w:trPr>
          <w:cantSplit/>
        </w:trPr>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39-bus</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39</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10</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No (zero-shot)</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94.23%</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4.1 ms</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10.7 ms</w:t>
            </w:r>
          </w:p>
        </w:tc>
      </w:tr>
      <w:tr>
        <w:trPr>
          <w:cantSplit/>
        </w:trPr>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118-bus</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118</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54</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No (zero-shot)</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89.45%</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6.8 ms</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18.3 ms</w:t>
            </w:r>
          </w:p>
        </w:tc>
      </w:tr>
    </w:tbl>
    <w:p>
      <w:pPr>
        <w:spacing w:after="120"/>
      </w:pPr>
    </w:p>
    <w:p>
      <w:pPr>
        <w:keepNext/>
        <w:spacing w:after="120" w:before="200" w:line="276"/>
      </w:pPr>
      <w:r>
        <w:rPr>
          <w:rFonts w:ascii="Times New Roman" w:cs="Times New Roman" w:eastAsia="Times New Roman" w:hAnsi="Times New Roman"/>
          <w:b/>
          <w:bCs/>
          <w:i/>
          <w:iCs/>
          <w:color w:val="000000"/>
          <w:sz w:val="20"/>
          <w:szCs w:val="20"/>
        </w:rPr>
        <w:t xml:space="preserve">E.  </w:t>
      </w:r>
      <w:r>
        <w:rPr>
          <w:rFonts w:ascii="Times New Roman" w:cs="Times New Roman" w:eastAsia="Times New Roman" w:hAnsi="Times New Roman"/>
          <w:b/>
          <w:bCs/>
          <w:i/>
          <w:iCs/>
          <w:color w:val="000000"/>
          <w:sz w:val="20"/>
          <w:szCs w:val="20"/>
        </w:rPr>
        <w:t xml:space="preserve">Cyber-Attack Robustness</w:t>
      </w:r>
    </w:p>
    <w:p>
      <w:pPr>
        <w:spacing w:after="120" w:line="276"/>
        <w:ind w:firstLine="360"/>
        <w:jc w:val="both"/>
      </w:pPr>
      <w:r>
        <w:rPr>
          <w:rFonts w:ascii="Times New Roman" w:cs="Times New Roman" w:eastAsia="Times New Roman" w:hAnsi="Times New Roman"/>
          <w:color w:val="000000"/>
          <w:sz w:val="20"/>
          <w:szCs w:val="20"/>
        </w:rPr>
        <w:t xml:space="preserve">Table V presents the robustness assessment against false-data-injection attacks. System-1 maintains detection accuracy above 92% under all tested attack scenarios. The most challenging case is a coordinated multi-channel FDI attack combining ±5% voltage perturbation with ±0.5 Hz frequency perturbation, which reduces accuracy to 92.34% with a modest latency increase to 10.1 ms. Single-channel attacks are more readily detected: voltage injection at ±10% perturbation is detected at 97.23% accuracy, and frequency injection at ±1.0 Hz is detected at 98.67% accuracy. The model’s inherent robustness derives from the CNN’s learned spatial kernels, which implicitly encode the physical constraint that real faults propagate with finite speed across the network—a constraint that simultaneous multi-bus FDI attacks violate. While not constituting a formal security proof, these results suggest that System-1 learns physics-consistent representations rather than memorizing superficial measurement patterns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[14]</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60" w:before="180" w:line="276"/>
        <w:jc w:val="center"/>
      </w:pPr>
      <w:r>
        <w:rPr>
          <w:rFonts w:ascii="Times New Roman" w:cs="Times New Roman" w:eastAsia="Times New Roman" w:hAnsi="Times New Roman"/>
          <w:b/>
          <w:bCs/>
          <w:color w:val="000000"/>
          <w:sz w:val="18"/>
          <w:szCs w:val="18"/>
        </w:rPr>
        <w:t xml:space="preserve">TABLE VII</w:t>
      </w:r>
      <w:r>
        <w:rPr>
          <w:rFonts w:ascii="Times New Roman" w:cs="Times New Roman" w:eastAsia="Times New Roman" w:hAnsi="Times New Roman"/>
          <w:color w:val="000000"/>
          <w:sz w:val="18"/>
          <w:szCs w:val="18"/>
        </w:rPr>
        <w:t xml:space="preserve">
Robustness to False-Data-Injection Attacks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Attack Type</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Perturbation</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Detection Accuracy</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Detection Latency</w:t>
            </w:r>
          </w:p>
        </w:tc>
        <w:tc>
          <w:tcPr>
            <w:tcW w:type="pct" w:w="2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color w:val="000000"/>
                <w:sz w:val="17"/>
                <w:szCs w:val="17"/>
              </w:rPr>
              <w:t xml:space="preserve">Comments</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Voltage inj. (±5%)</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±0.05 pu V</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94.12%</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9.3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Small perturbation</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Voltage inj. (±10%)</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±0.10 pu V</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97.23%</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8.8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Moderate; detectable</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Frequency inj. (±0.5 Hz)</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±0.5 Hz</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96.45%</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8.1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Harder to spoof</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Frequency inj. (±1.0 Hz)</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±1.0 Hz</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98.67%</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7.9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Clear anomaly</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Combined (V + f)</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±5% V, ±0.5 Hz</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92.34%</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10.1 ms</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Most challenging</w:t>
            </w:r>
          </w:p>
        </w:tc>
      </w:tr>
      <w:tr>
        <w:trPr>
          <w:cantSplit/>
        </w:trPr>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Baseline (no attack)</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0</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96.78%</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8.6 ms</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color w:val="000000"/>
                <w:sz w:val="17"/>
                <w:szCs w:val="17"/>
              </w:rPr>
              <w:t xml:space="preserve">Normal operation</w:t>
            </w:r>
          </w:p>
        </w:tc>
      </w:tr>
    </w:tbl>
    <w:p>
      <w:pPr>
        <w:spacing w:after="120"/>
      </w:pPr>
    </w:p>
    <w:p>
      <w:pPr>
        <w:keepNext/>
        <w:spacing w:after="120" w:before="200" w:line="276"/>
      </w:pPr>
      <w:r>
        <w:rPr>
          <w:rFonts w:ascii="Times New Roman" w:cs="Times New Roman" w:eastAsia="Times New Roman" w:hAnsi="Times New Roman"/>
          <w:b/>
          <w:bCs/>
          <w:i/>
          <w:iCs/>
          <w:color w:val="000000"/>
          <w:sz w:val="20"/>
          <w:szCs w:val="20"/>
        </w:rPr>
        <w:t xml:space="preserve">F.  </w:t>
      </w:r>
      <w:r>
        <w:rPr>
          <w:rFonts w:ascii="Times New Roman" w:cs="Times New Roman" w:eastAsia="Times New Roman" w:hAnsi="Times New Roman"/>
          <w:b/>
          <w:bCs/>
          <w:i/>
          <w:iCs/>
          <w:color w:val="000000"/>
          <w:sz w:val="20"/>
          <w:szCs w:val="20"/>
        </w:rPr>
        <w:t xml:space="preserve">Ablation Studies</w:t>
      </w:r>
    </w:p>
    <w:p>
      <w:pPr>
        <w:spacing w:after="120" w:line="276"/>
        <w:ind w:firstLine="360"/>
        <w:jc w:val="both"/>
      </w:pPr>
      <w:r>
        <w:rPr>
          <w:rFonts w:ascii="Times New Roman" w:cs="Times New Roman" w:eastAsia="Times New Roman" w:hAnsi="Times New Roman"/>
          <w:color w:val="000000"/>
          <w:sz w:val="20"/>
          <w:szCs w:val="20"/>
        </w:rPr>
        <w:t xml:space="preserve">The ablation results in Table III provide insight into the contribution of each architectural component. Removing the LSTM component (CNN-only) reduces accuracy by 4.7 percentage points (96.78% to 92.1%), confirming that temporal modeling is essential for distinguishing faults with similar spatial signatures but different dynamic trajectories (e.g., high-impedance faults versus load transients). Removing the CNN component (LSTM-only) reduces accuracy by 2.6 percentage points (96.78% to 94.2%), confirming that spatial feature extraction contributes to inter-bus correlation analysis. Replacing both with a generic MLP further reduces accuracy to 93.4%, validating the importance of task-specific inductive biases. The dual-head architecture contributes indirectly through the multi-objective training loss: models trained with classification loss alone achieve 96.1% accuracy, suggesting that the auxiliary action prediction task provides a beneficial regularization effect that improves feature quality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[28]</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80" w:before="300" w:line="276"/>
        <w:jc w:val="center"/>
      </w:pPr>
      <w:r>
        <w:rPr>
          <w:rFonts w:ascii="Times New Roman" w:cs="Times New Roman" w:eastAsia="Times New Roman" w:hAnsi="Times New Roman"/>
          <w:b/>
          <w:bCs/>
          <w:color w:val="000000"/>
          <w:sz w:val="22"/>
          <w:szCs w:val="22"/>
        </w:rPr>
        <w:t xml:space="preserve">VI. DISCUSSION</w:t>
      </w:r>
    </w:p>
    <w:p>
      <w:pPr>
        <w:keepNext/>
        <w:spacing w:after="120" w:before="200" w:line="276"/>
      </w:pPr>
      <w:r>
        <w:rPr>
          <w:rFonts w:ascii="Times New Roman" w:cs="Times New Roman" w:eastAsia="Times New Roman" w:hAnsi="Times New Roman"/>
          <w:b/>
          <w:bCs/>
          <w:i/>
          <w:iCs/>
          <w:color w:val="000000"/>
          <w:sz w:val="20"/>
          <w:szCs w:val="20"/>
        </w:rPr>
        <w:t xml:space="preserve">A.  </w:t>
      </w:r>
      <w:r>
        <w:rPr>
          <w:rFonts w:ascii="Times New Roman" w:cs="Times New Roman" w:eastAsia="Times New Roman" w:hAnsi="Times New Roman"/>
          <w:b/>
          <w:bCs/>
          <w:i/>
          <w:iCs/>
          <w:color w:val="000000"/>
          <w:sz w:val="20"/>
          <w:szCs w:val="20"/>
        </w:rPr>
        <w:t xml:space="preserve">Why CNN-LSTM Works for Fast Fault Detection</w:t>
      </w:r>
    </w:p>
    <w:p>
      <w:pPr>
        <w:spacing w:after="120" w:line="276"/>
        <w:ind w:firstLine="360"/>
        <w:jc w:val="both"/>
      </w:pPr>
      <w:r>
        <w:rPr>
          <w:rFonts w:ascii="Times New Roman" w:cs="Times New Roman" w:eastAsia="Times New Roman" w:hAnsi="Times New Roman"/>
          <w:color w:val="000000"/>
          <w:sz w:val="20"/>
          <w:szCs w:val="20"/>
        </w:rPr>
        <w:t xml:space="preserve">The superior performance of the CNN-LSTM dual-stream architecture can be understood through the lens of the physical structure of power system faults. Faults in electrical networks exhibit a characteristic spatio-temporal signature: a disturbance originates at a specific location, propagates through the transmission network along paths determined by line impedances, and evolves temporally according to the electromechanical dynamics of generators and loads. The CNN component captures the first aspect—spatial propagation patterns—through its translation-invariant convolutional filters, which learn to detect characteristic inter-bus voltage correlation signatures independent of the specific bus at which the fault occurs. The LSTM component captures the second aspect—temporal evolution—through its gated memory architecture, which maintains a compact representation of the fault’s dynamic trajectory over the analysis window. The dual-stream design allows these two complementary representations to be learned and fused optimally, rather than forcing a single architecture to handle both simultaneously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[11]</w:t>
      </w:r>
    </w:p>
    <w:p>
      <w:pPr>
        <w:spacing w:after="120" w:line="276"/>
        <w:ind w:firstLine="360"/>
        <w:jc w:val="both"/>
      </w:pPr>
      <w:r>
        <w:rPr>
          <w:rFonts w:ascii="Times New Roman" w:cs="Times New Roman" w:eastAsia="Times New Roman" w:hAnsi="Times New Roman"/>
          <w:color w:val="000000"/>
          <w:sz w:val="20"/>
          <w:szCs w:val="20"/>
        </w:rPr>
        <w:t xml:space="preserve">,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[26]</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The sub-10 ms inference capability is enabled by the model’s modest parameter count (1.87M) relative to contemporary deep learning architectures, which permits efficient computation on resource-constrained edge devices. The sequential nature of the CNN-LSTM pipeline—convolution, pooling, and LSTM processing—lends itself well to operator fusion and quantization optimizations, which collectively reduce edge inference latency by 56% compared to unoptimized FP32 execution (from 15.3 ms to 6.8 ms theoretically, with 8.2 ms measured including data movement overhead)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[30]</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120" w:before="200" w:line="276"/>
      </w:pPr>
      <w:r>
        <w:rPr>
          <w:rFonts w:ascii="Times New Roman" w:cs="Times New Roman" w:eastAsia="Times New Roman" w:hAnsi="Times New Roman"/>
          <w:b/>
          <w:bCs/>
          <w:i/>
          <w:iCs/>
          <w:color w:val="000000"/>
          <w:sz w:val="20"/>
          <w:szCs w:val="20"/>
        </w:rPr>
        <w:t xml:space="preserve">B.  </w:t>
      </w:r>
      <w:r>
        <w:rPr>
          <w:rFonts w:ascii="Times New Roman" w:cs="Times New Roman" w:eastAsia="Times New Roman" w:hAnsi="Times New Roman"/>
          <w:b/>
          <w:bCs/>
          <w:i/>
          <w:iCs/>
          <w:color w:val="000000"/>
          <w:sz w:val="20"/>
          <w:szCs w:val="20"/>
        </w:rPr>
        <w:t xml:space="preserve">Limitations and Edge Cases</w:t>
      </w:r>
    </w:p>
    <w:p>
      <w:pPr>
        <w:spacing w:after="120" w:line="276"/>
        <w:ind w:firstLine="360"/>
        <w:jc w:val="both"/>
      </w:pPr>
      <w:r>
        <w:rPr>
          <w:rFonts w:ascii="Times New Roman" w:cs="Times New Roman" w:eastAsia="Times New Roman" w:hAnsi="Times New Roman"/>
          <w:color w:val="000000"/>
          <w:sz w:val="20"/>
          <w:szCs w:val="20"/>
        </w:rPr>
        <w:t xml:space="preserve">Several limitations warrant careful acknowledgment. First, the 96.23% accuracy for high-impedance faults, while substantially above the SVM baseline of 92.1%, leaves a non-trivial misclassification rate. The fundamental challenge is the similarity between high-impedance fault signatures and legitimate load transients in the PMU measurement space, particularly when the fault impedance exceeds 100 Ω and the voltage depression falls below 5%. Future work should explore attention mechanisms that can identify subtle phase-angle discontinuities invisible to the current magnitude-focused feature representation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[18]</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20" w:line="276"/>
        <w:ind w:firstLine="360"/>
        <w:jc w:val="both"/>
      </w:pPr>
      <w:r>
        <w:rPr>
          <w:rFonts w:ascii="Times New Roman" w:cs="Times New Roman" w:eastAsia="Times New Roman" w:hAnsi="Times New Roman"/>
          <w:color w:val="000000"/>
          <w:sz w:val="20"/>
          <w:szCs w:val="20"/>
        </w:rPr>
        <w:t xml:space="preserve">Second, the zero-shot generalization accuracy of 89.45% on the IEEE 118-bus system indicates that cross-system transfer without adaptation is insufficient for deployment-critical applications. While transfer learning with 10–20% target-grid data is expected to recover accuracy, this requirement presupposes the availability of labeled fault data from the deployment grid—a non-trivial assumption for systems with limited fault recording infrastructure. Third, the cyber-attack robustness assessment covers only additive FDI attacks on voltage and frequency channels; more sophisticated adversarial strategies, such as coordinated time-synchronization attacks that manipulate PMU GPS timing references, are not evaluated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[13]</w:t>
      </w:r>
    </w:p>
    <w:p>
      <w:pPr>
        <w:spacing w:after="120" w:line="276"/>
        <w:ind w:firstLine="360"/>
        <w:jc w:val="both"/>
      </w:pPr>
      <w:r>
        <w:rPr>
          <w:rFonts w:ascii="Times New Roman" w:cs="Times New Roman" w:eastAsia="Times New Roman" w:hAnsi="Times New Roman"/>
          <w:color w:val="000000"/>
          <w:sz w:val="20"/>
          <w:szCs w:val="20"/>
        </w:rPr>
        <w:t xml:space="preserve">]. Fourth, all experiments are conducted in simulation; validation on hardware-in-the-loop (HIL) testbeds and, ultimately, field deployment data remains essential before practical application.</w:t>
      </w:r>
    </w:p>
    <w:p>
      <w:pPr>
        <w:keepNext/>
        <w:spacing w:after="120" w:before="200" w:line="276"/>
      </w:pPr>
      <w:r>
        <w:rPr>
          <w:rFonts w:ascii="Times New Roman" w:cs="Times New Roman" w:eastAsia="Times New Roman" w:hAnsi="Times New Roman"/>
          <w:b/>
          <w:bCs/>
          <w:i/>
          <w:iCs/>
          <w:color w:val="000000"/>
          <w:sz w:val="20"/>
          <w:szCs w:val="20"/>
        </w:rPr>
        <w:t xml:space="preserve">C.  </w:t>
      </w:r>
      <w:r>
        <w:rPr>
          <w:rFonts w:ascii="Times New Roman" w:cs="Times New Roman" w:eastAsia="Times New Roman" w:hAnsi="Times New Roman"/>
          <w:b/>
          <w:bCs/>
          <w:i/>
          <w:iCs/>
          <w:color w:val="000000"/>
          <w:sz w:val="20"/>
          <w:szCs w:val="20"/>
        </w:rPr>
        <w:t xml:space="preserve">Hardware Implementation Considerations</w:t>
      </w:r>
    </w:p>
    <w:p>
      <w:pPr>
        <w:spacing w:after="120" w:line="276"/>
        <w:ind w:firstLine="360"/>
        <w:jc w:val="both"/>
      </w:pPr>
      <w:r>
        <w:rPr>
          <w:rFonts w:ascii="Times New Roman" w:cs="Times New Roman" w:eastAsia="Times New Roman" w:hAnsi="Times New Roman"/>
          <w:color w:val="000000"/>
          <w:sz w:val="20"/>
          <w:szCs w:val="20"/>
        </w:rPr>
        <w:t xml:space="preserve">The edge deployment results on the Raspberry Pi 5 demonstrate that System-1 is feasible for substation-level installation without requiring GPU-accelerated hardware. The 2.5 W power consumption during inference enables battery-backed operation exceeding 48 hours, providing resilience during station supply failures. The INT8-quantized model footprint of 2.1 MB is readily accommodated on the 256 GB SD card storage, and the peak inference memory of 178 MB (batch size 1) operates comfortably within the 4 GB RAM constraint. For higher-performance deployment scenarios, migration to an NVIDIA Jetson Orin Nano (40 TOPS, 15 W) is projected to reduce inference latency below 1 ms, enabling sub-5 ms end-to-end detection including PMU sampling delay. The model’s compatibility with ONNX and TensorFlow Lite export formats further broadens deployment flexibility across embedded platforms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[29]</w:t>
      </w:r>
    </w:p>
    <w:p>
      <w:pPr>
        <w:spacing w:after="120" w:line="276"/>
        <w:ind w:firstLine="360"/>
        <w:jc w:val="both"/>
      </w:pPr>
      <w:r>
        <w:rPr>
          <w:rFonts w:ascii="Times New Roman" w:cs="Times New Roman" w:eastAsia="Times New Roman" w:hAnsi="Times New Roman"/>
          <w:color w:val="000000"/>
          <w:sz w:val="20"/>
          <w:szCs w:val="20"/>
        </w:rPr>
        <w:t xml:space="preserve">,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[30]</w:t>
      </w:r>
    </w:p>
    <w:p>
      <w:pPr>
        <w:spacing w:after="120" w:line="276"/>
        <w:ind w:firstLine="360"/>
        <w:jc w:val="both"/>
      </w:pPr>
      <w:r>
        <w:rPr>
          <w:rFonts w:ascii="Times New Roman" w:cs="Times New Roman" w:eastAsia="Times New Roman" w:hAnsi="Times New Roman"/>
          <w:color w:val="000000"/>
          <w:sz w:val="20"/>
          <w:szCs w:val="20"/>
        </w:rPr>
        <w:t xml:space="preserve">].</w:t>
      </w:r>
    </w:p>
    <w:p>
      <w:pPr>
        <w:keepNext/>
        <w:spacing w:after="120" w:before="200" w:line="276"/>
      </w:pPr>
      <w:r>
        <w:rPr>
          <w:rFonts w:ascii="Times New Roman" w:cs="Times New Roman" w:eastAsia="Times New Roman" w:hAnsi="Times New Roman"/>
          <w:b/>
          <w:bCs/>
          <w:i/>
          <w:iCs/>
          <w:color w:val="000000"/>
          <w:sz w:val="20"/>
          <w:szCs w:val="20"/>
        </w:rPr>
        <w:t xml:space="preserve">D.  </w:t>
      </w:r>
      <w:r>
        <w:rPr>
          <w:rFonts w:ascii="Times New Roman" w:cs="Times New Roman" w:eastAsia="Times New Roman" w:hAnsi="Times New Roman"/>
          <w:b/>
          <w:bCs/>
          <w:i/>
          <w:iCs/>
          <w:color w:val="000000"/>
          <w:sz w:val="20"/>
          <w:szCs w:val="20"/>
        </w:rPr>
        <w:t xml:space="preserve">Integration with Protective Relays</w:t>
      </w:r>
    </w:p>
    <w:p>
      <w:pPr>
        <w:spacing w:after="120" w:line="276"/>
        <w:ind w:firstLine="360"/>
        <w:jc w:val="both"/>
      </w:pPr>
      <w:r>
        <w:rPr>
          <w:rFonts w:ascii="Times New Roman" w:cs="Times New Roman" w:eastAsia="Times New Roman" w:hAnsi="Times New Roman"/>
          <w:color w:val="000000"/>
          <w:sz w:val="20"/>
          <w:szCs w:val="20"/>
        </w:rPr>
        <w:t xml:space="preserve">System-1 is designed to operate in parallel with existing protective relay infrastructure rather than as a replacement, following a “belt-and-suspenders” philosophy consistent with NERC reliability standards. The integration architecture places System-1 as an advisory layer that provides rapid fault classification and preliminary action recommendations to the existing SCADA/EMS system. A confidence threshold of 0.95 on the softmax output serves as the decision gate: if System-1’s classification confidence exceeds this threshold and the detected fault type requires immediate action, a protection command is issued; otherwise, the system defers to the traditional relay coordination scheme. This architecture ensures that System-1 enhances—rather than compromises—existing protection reliability, as any failure of the neural network component simply results in reversion to the proven relay-based protection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[23]</w:t>
      </w:r>
    </w:p>
    <w:p>
      <w:pPr>
        <w:spacing w:after="120" w:line="276"/>
        <w:ind w:firstLine="360"/>
        <w:jc w:val="both"/>
      </w:pPr>
      <w:r>
        <w:rPr>
          <w:rFonts w:ascii="Times New Roman" w:cs="Times New Roman" w:eastAsia="Times New Roman" w:hAnsi="Times New Roman"/>
          <w:color w:val="000000"/>
          <w:sz w:val="20"/>
          <w:szCs w:val="20"/>
        </w:rPr>
        <w:t xml:space="preserve">, </w:t>
      </w:r>
    </w:p>
    <w:p>
      <w:pPr>
        <w:spacing w:after="120" w:line="276"/>
        <w:ind w:firstLine="360"/>
        <w:jc w:val="both"/>
      </w:pPr>
      <w:r>
        <w:rPr>
          <w:rFonts w:ascii="Times New Roman" w:cs="Times New Roman" w:eastAsia="Times New Roman" w:hAnsi="Times New Roman"/>
          <w:color w:val="000000"/>
          <w:sz w:val="18"/>
          <w:szCs w:val="18"/>
          <w:vertAlign w:val="superscript"/>
        </w:rPr>
        <w:t xml:space="preserve">[36]</w:t>
      </w:r>
    </w:p>
    <w:p>
      <w:pPr>
        <w:spacing w:after="120" w:line="276"/>
        <w:ind w:firstLine="360"/>
        <w:jc w:val="both"/>
      </w:pPr>
      <w:r>
        <w:rPr>
          <w:rFonts w:ascii="Times New Roman" w:cs="Times New Roman" w:eastAsia="Times New Roman" w:hAnsi="Times New Roman"/>
          <w:color w:val="000000"/>
          <w:sz w:val="20"/>
          <w:szCs w:val="20"/>
        </w:rPr>
        <w:t xml:space="preserve">].</w:t>
      </w:r>
    </w:p>
    <w:p>
      <w:pPr>
        <w:spacing w:after="180" w:before="300" w:line="276"/>
        <w:jc w:val="center"/>
      </w:pPr>
      <w:r>
        <w:rPr>
          <w:rFonts w:ascii="Times New Roman" w:cs="Times New Roman" w:eastAsia="Times New Roman" w:hAnsi="Times New Roman"/>
          <w:b/>
          <w:bCs/>
          <w:color w:val="000000"/>
          <w:sz w:val="22"/>
          <w:szCs w:val="22"/>
        </w:rPr>
        <w:t xml:space="preserve">VII. CONCLUSION AND FUTURE WORK</w:t>
      </w:r>
    </w:p>
    <w:p>
      <w:pPr>
        <w:spacing w:after="120" w:line="276"/>
        <w:ind w:firstLine="360"/>
        <w:jc w:val="both"/>
      </w:pPr>
      <w:r>
        <w:rPr>
          <w:rFonts w:ascii="Times New Roman" w:cs="Times New Roman" w:eastAsia="Times New Roman" w:hAnsi="Times New Roman"/>
          <w:color w:val="000000"/>
          <w:sz w:val="20"/>
          <w:szCs w:val="20"/>
        </w:rPr>
        <w:t xml:space="preserve">This paper has presented System-1, a CNN-LSTM dual-stream architecture for sub-10-millisecond fault detection in power systems. The principal findings are as follows. System-1 achieves 96.78% ± 0.4% average detection accuracy (95% CI: 95.9%–97.6%) across seven fault categories on the IEEE 39-bus test system, with an average inference latency of 8.6 ± 0.4 ms (95% CI: 7.9–9.3 ms) on a Raspberry Pi 5 edge device. This represents an 8.2× improvement in inference latency over traditional distance relays (62.3 ms) while maintaining 11.6 percentage points higher accuracy (85.2%). The model generalizes to larger systems with 94.23% accuracy on IEEE 39-bus and 89.45% on IEEE 118-bus under zero-shot transfer conditions, and maintains above 92% detection accuracy under adversarial false-data-injection attacks. Ablation studies confirm that both the CNN and LSTM components are essential for optimal performance.</w:t>
      </w:r>
    </w:p>
    <w:p>
      <w:pPr>
        <w:spacing w:after="120" w:line="276"/>
        <w:ind w:firstLine="360"/>
        <w:jc w:val="both"/>
      </w:pPr>
      <w:r>
        <w:rPr>
          <w:rFonts w:ascii="Times New Roman" w:cs="Times New Roman" w:eastAsia="Times New Roman" w:hAnsi="Times New Roman"/>
          <w:color w:val="000000"/>
          <w:sz w:val="20"/>
          <w:szCs w:val="20"/>
        </w:rPr>
        <w:t xml:space="preserve">The practical implication of these results is the enabling of a new class of reflexive, autonomous grid protection that operates at millisecond timescales—faster than both human operators and traditional relay coordination schemes. Within the CAPSM dual-process framework, System-1 provides the rapid fault detection and preliminary response layer, while the deliberative System-2 layer (model-predictive control at approximately 500 ms timescale) handles optimization and coordination. For the target deployment context of Nova Scotia Power, System-1 enables automated islanding detection and emergency power shedding during renewable generation transients, reducing blackout risk in a low-inertia grid environment.</w:t>
      </w:r>
    </w:p>
    <w:p>
      <w:pPr>
        <w:spacing w:after="120" w:line="276"/>
        <w:ind w:firstLine="360"/>
        <w:jc w:val="both"/>
      </w:pPr>
      <w:r>
        <w:rPr>
          <w:rFonts w:ascii="Times New Roman" w:cs="Times New Roman" w:eastAsia="Times New Roman" w:hAnsi="Times New Roman"/>
          <w:color w:val="000000"/>
          <w:sz w:val="20"/>
          <w:szCs w:val="20"/>
        </w:rPr>
        <w:t xml:space="preserve">Three open research questions merit future investigation. First, the generalization of System-1 to novel fault types not represented in the training set (e.g., arc flash events, transformer saturation) remains untested; a meta-learning approach that enables rapid adaptation to new fault categories with minimal additional training data is a promising direction. Second, the theoretical latency lower bound for the fault detection problem is not established; an information-theoretic analysis could determine whether the achieved 3.2 ms GPU latency approaches the fundamental limit imposed by the available measurement information content. Third, formal safety verification—for instance, proving probabilistic bounds on false-trip rates—is essential for regulatory acceptance; a probabilistic verification framework integrating conformance checking with statistical model checking represents a viable approach to this challenge.</w:t>
      </w:r>
    </w:p>
    <w:p>
      <w:pPr>
        <w:spacing w:after="200" w:before="400" w:line="276"/>
        <w:jc w:val="center"/>
      </w:pPr>
      <w:r>
        <w:rPr>
          <w:rFonts w:ascii="Times New Roman" w:cs="Times New Roman" w:eastAsia="Times New Roman" w:hAnsi="Times New Roman"/>
          <w:b/>
          <w:bCs/>
          <w:color w:val="000000"/>
          <w:sz w:val="22"/>
          <w:szCs w:val="22"/>
        </w:rPr>
        <w:t xml:space="preserve">REFERENCES</w:t>
      </w:r>
    </w:p>
    <w:p>
      <w:pPr>
        <w:spacing w:after="60" w:line="240"/>
        <w:ind w:left="480" w:hanging="480"/>
        <w:jc w:val="both"/>
      </w:pPr>
      <w:r>
        <w:rPr>
          <w:rFonts w:ascii="Times New Roman" w:cs="Times New Roman" w:eastAsia="Times New Roman" w:hAnsi="Times New Roman"/>
          <w:color w:val="000000"/>
          <w:sz w:val="17"/>
          <w:szCs w:val="17"/>
        </w:rPr>
        <w:t xml:space="preserve">[1] T. Ackermann, G. Ancell, L. Borup, P. B. Eriksen, E. G. GrÃ¼nwald, M. K. Hansen, J. O. Tande, A. M. K. SÃ¶der, L. SÃ¶der, and K. V. Holttinen, “Where the wind blows: Wind power and the electricity sector,” IEEE Power Energy Mag., vol. 13, no. 6, pp. 70–82, Nov./Dec. 2015.</w:t>
      </w:r>
    </w:p>
    <w:p>
      <w:pPr>
        <w:spacing w:after="60" w:line="240"/>
        <w:ind w:left="480" w:hanging="480"/>
        <w:jc w:val="both"/>
      </w:pPr>
      <w:r>
        <w:rPr>
          <w:rFonts w:ascii="Times New Roman" w:cs="Times New Roman" w:eastAsia="Times New Roman" w:hAnsi="Times New Roman"/>
          <w:color w:val="000000"/>
          <w:sz w:val="17"/>
          <w:szCs w:val="17"/>
        </w:rPr>
        <w:t xml:space="preserve">[2] J. W. Taylor, P. E. McSharry, and R. Buizza, “Wind power density forecasting using ensemble predictions and time series models,” IEEE Trans. Power Syst., vol. 24, no. 1, pp. 175–184, Feb. 2009.</w:t>
      </w:r>
    </w:p>
    <w:p>
      <w:pPr>
        <w:spacing w:after="60" w:line="240"/>
        <w:ind w:left="480" w:hanging="480"/>
        <w:jc w:val="both"/>
      </w:pPr>
      <w:r>
        <w:rPr>
          <w:rFonts w:ascii="Times New Roman" w:cs="Times New Roman" w:eastAsia="Times New Roman" w:hAnsi="Times New Roman"/>
          <w:color w:val="000000"/>
          <w:sz w:val="17"/>
          <w:szCs w:val="17"/>
        </w:rPr>
        <w:t xml:space="preserve">[3] IEEE Power System Relaying and Protective Communication Committees, “IEEE Standard for Relays and Relay Systems Associated with Electric Power Apparatus,” IEEE Std C37.90-2021, 2021.</w:t>
      </w:r>
    </w:p>
    <w:p>
      <w:pPr>
        <w:spacing w:after="60" w:line="240"/>
        <w:ind w:left="480" w:hanging="480"/>
        <w:jc w:val="both"/>
      </w:pPr>
      <w:r>
        <w:rPr>
          <w:rFonts w:ascii="Times New Roman" w:cs="Times New Roman" w:eastAsia="Times New Roman" w:hAnsi="Times New Roman"/>
          <w:color w:val="000000"/>
          <w:sz w:val="17"/>
          <w:szCs w:val="17"/>
        </w:rPr>
        <w:t xml:space="preserve">[4] IEEE Power and Energy Society, “IEEE Standard for Synchrophasor Measurements for Power Systems,” IEEE Std C37.118.1-2011 (Amendment IEEE Std C37.118.1a-2014), 2014.</w:t>
      </w:r>
    </w:p>
    <w:p>
      <w:pPr>
        <w:spacing w:after="60" w:line="240"/>
        <w:ind w:left="480" w:hanging="480"/>
        <w:jc w:val="both"/>
      </w:pPr>
      <w:r>
        <w:rPr>
          <w:rFonts w:ascii="Times New Roman" w:cs="Times New Roman" w:eastAsia="Times New Roman" w:hAnsi="Times New Roman"/>
          <w:color w:val="000000"/>
          <w:sz w:val="17"/>
          <w:szCs w:val="17"/>
        </w:rPr>
        <w:t xml:space="preserve">[5] M. Kezunovic, B. Perunicic, and S. V. Vasilic, “Automated fault analysis using synchronized sampling and digital fault recording,” in Proc. CIGRE Session, Paris, France, 2002, pp. 1–8.</w:t>
      </w:r>
    </w:p>
    <w:p>
      <w:pPr>
        <w:spacing w:after="60" w:line="240"/>
        <w:ind w:left="480" w:hanging="480"/>
        <w:jc w:val="both"/>
      </w:pPr>
      <w:r>
        <w:rPr>
          <w:rFonts w:ascii="Times New Roman" w:cs="Times New Roman" w:eastAsia="Times New Roman" w:hAnsi="Times New Roman"/>
          <w:color w:val="000000"/>
          <w:sz w:val="17"/>
          <w:szCs w:val="17"/>
        </w:rPr>
        <w:t xml:space="preserve">[6] A. Krizhevsky, I. Sutskever, and G. E. Hinton, “ImageNet classification with deep convolutional neural networks,” in Proc. Adv. Neural Inf. Process. Syst. (NeurIPS), Lake Tahoe, NV, USA, 2012, pp. 1097–1105.</w:t>
      </w:r>
    </w:p>
    <w:p>
      <w:pPr>
        <w:spacing w:after="60" w:line="240"/>
        <w:ind w:left="480" w:hanging="480"/>
        <w:jc w:val="both"/>
      </w:pPr>
      <w:r>
        <w:rPr>
          <w:rFonts w:ascii="Times New Roman" w:cs="Times New Roman" w:eastAsia="Times New Roman" w:hAnsi="Times New Roman"/>
          <w:color w:val="000000"/>
          <w:sz w:val="17"/>
          <w:szCs w:val="17"/>
        </w:rPr>
        <w:t xml:space="preserve">[7] M. K. Ebrahimi and M. S. Naderi, “Fault classification and faulted phase selection for transmission line using support vector machine,” in Proc. IEEE Power India Conf., New Delhi, India, 2012, pp. 1–6.</w:t>
      </w:r>
    </w:p>
    <w:p>
      <w:pPr>
        <w:spacing w:after="60" w:line="240"/>
        <w:ind w:left="480" w:hanging="480"/>
        <w:jc w:val="both"/>
      </w:pPr>
      <w:r>
        <w:rPr>
          <w:rFonts w:ascii="Times New Roman" w:cs="Times New Roman" w:eastAsia="Times New Roman" w:hAnsi="Times New Roman"/>
          <w:color w:val="000000"/>
          <w:sz w:val="17"/>
          <w:szCs w:val="17"/>
        </w:rPr>
        <w:t xml:space="preserve">[8] R. K. Gajbhiye, P. Kulkarni, and S. A. Soman, “A novel approach for fault classification of double circuit transmission line using angle between current and voltage phasors,” in Proc. IEEE Power Energy Soc. Gen. Meeting, Calgary, AB, Canada, 2009, pp. 1–8.</w:t>
      </w:r>
    </w:p>
    <w:p>
      <w:pPr>
        <w:spacing w:after="60" w:line="240"/>
        <w:ind w:left="480" w:hanging="480"/>
        <w:jc w:val="both"/>
      </w:pPr>
      <w:r>
        <w:rPr>
          <w:rFonts w:ascii="Times New Roman" w:cs="Times New Roman" w:eastAsia="Times New Roman" w:hAnsi="Times New Roman"/>
          <w:color w:val="000000"/>
          <w:sz w:val="17"/>
          <w:szCs w:val="17"/>
        </w:rPr>
        <w:t xml:space="preserve">[9] Y. Li, X. Shi, S. Tan, and Z. Wang, “A CNN-LSTM based model for fault classification in power systems,” in Proc. IEEE Power Energy Soc. Gen. Meeting, 2020, pp. 1–5.</w:t>
      </w:r>
    </w:p>
    <w:p>
      <w:pPr>
        <w:spacing w:after="60" w:line="240"/>
        <w:ind w:left="480" w:hanging="480"/>
        <w:jc w:val="both"/>
      </w:pPr>
      <w:r>
        <w:rPr>
          <w:rFonts w:ascii="Times New Roman" w:cs="Times New Roman" w:eastAsia="Times New Roman" w:hAnsi="Times New Roman"/>
          <w:color w:val="000000"/>
          <w:sz w:val="17"/>
          <w:szCs w:val="17"/>
        </w:rPr>
        <w:t xml:space="preserve">[10] S. Hochreiter and J. Schmidhuber, “Long short-term memory,” Neural Comput., vol. 9, no. 8, pp. 1735–1780, Nov. 1997.</w:t>
      </w:r>
    </w:p>
    <w:p>
      <w:pPr>
        <w:spacing w:after="60" w:line="240"/>
        <w:ind w:left="480" w:hanging="480"/>
        <w:jc w:val="both"/>
      </w:pPr>
      <w:r>
        <w:rPr>
          <w:rFonts w:ascii="Times New Roman" w:cs="Times New Roman" w:eastAsia="Times New Roman" w:hAnsi="Times New Roman"/>
          <w:color w:val="000000"/>
          <w:sz w:val="17"/>
          <w:szCs w:val="17"/>
        </w:rPr>
        <w:t xml:space="preserve">[11] R. Zhao, R. Yan, Z. Chen, K. Mao, P. Wang, and R. X. Gao, “Deep learning and its applications to machine health monitoring,” Mech. Syst. Signal Process., vol. 115, pp. 213–237, Jan. 2019.</w:t>
      </w:r>
    </w:p>
    <w:p>
      <w:pPr>
        <w:spacing w:after="60" w:line="240"/>
        <w:ind w:left="480" w:hanging="480"/>
        <w:jc w:val="both"/>
      </w:pPr>
      <w:r>
        <w:rPr>
          <w:rFonts w:ascii="Times New Roman" w:cs="Times New Roman" w:eastAsia="Times New Roman" w:hAnsi="Times New Roman"/>
          <w:color w:val="000000"/>
          <w:sz w:val="17"/>
          <w:szCs w:val="17"/>
        </w:rPr>
        <w:t xml:space="preserve">[12] W. Li, D. Wang, T. Zhang, and Y. Zhang, “Deep learning for power quality classification: A review,” IEEE Access, vol. 10, pp. 57033–57049, 2022.</w:t>
      </w:r>
    </w:p>
    <w:p>
      <w:pPr>
        <w:spacing w:after="60" w:line="240"/>
        <w:ind w:left="480" w:hanging="480"/>
        <w:jc w:val="both"/>
      </w:pPr>
      <w:r>
        <w:rPr>
          <w:rFonts w:ascii="Times New Roman" w:cs="Times New Roman" w:eastAsia="Times New Roman" w:hAnsi="Times New Roman"/>
          <w:color w:val="000000"/>
          <w:sz w:val="17"/>
          <w:szCs w:val="17"/>
        </w:rPr>
        <w:t xml:space="preserve">[13] Y. Liu, P. Ning, and M. K. Reiter, “False data injection attacks against state estimation in electric power grids,” in Proc. ACM Conf. Comput. Commun. Secur. (CCS), Chicago, IL, USA, 2009, pp. 21–32.</w:t>
      </w:r>
    </w:p>
    <w:p>
      <w:pPr>
        <w:spacing w:after="60" w:line="240"/>
        <w:ind w:left="480" w:hanging="480"/>
        <w:jc w:val="both"/>
      </w:pPr>
      <w:r>
        <w:rPr>
          <w:rFonts w:ascii="Times New Roman" w:cs="Times New Roman" w:eastAsia="Times New Roman" w:hAnsi="Times New Roman"/>
          <w:color w:val="000000"/>
          <w:sz w:val="17"/>
          <w:szCs w:val="17"/>
        </w:rPr>
        <w:t xml:space="preserve">[14] G. Liang, J. Zhao, F. Luo, S. R. Weller, and Z. Y. Dong, “The 2015 Ukraine blackout: Implications for false data injection attacks,” IEEE Trans. Power Syst., vol. 32, no. 4, pp. 3317–3318, Jul. 2017.</w:t>
      </w:r>
    </w:p>
    <w:p>
      <w:pPr>
        <w:spacing w:after="60" w:line="240"/>
        <w:ind w:left="480" w:hanging="480"/>
        <w:jc w:val="both"/>
      </w:pPr>
      <w:r>
        <w:rPr>
          <w:rFonts w:ascii="Times New Roman" w:cs="Times New Roman" w:eastAsia="Times New Roman" w:hAnsi="Times New Roman"/>
          <w:color w:val="000000"/>
          <w:sz w:val="17"/>
          <w:szCs w:val="17"/>
        </w:rPr>
        <w:t xml:space="preserve">[15] D. Kahneman, Thinking, Fast and Slow. New York, NY, USA: Farrar, Straus and Giroux, 2011.</w:t>
      </w:r>
    </w:p>
    <w:p>
      <w:pPr>
        <w:spacing w:after="60" w:line="240"/>
        <w:ind w:left="480" w:hanging="480"/>
        <w:jc w:val="both"/>
      </w:pPr>
      <w:r>
        <w:rPr>
          <w:rFonts w:ascii="Times New Roman" w:cs="Times New Roman" w:eastAsia="Times New Roman" w:hAnsi="Times New Roman"/>
          <w:color w:val="000000"/>
          <w:sz w:val="17"/>
          <w:szCs w:val="17"/>
        </w:rPr>
        <w:t xml:space="preserve">[16] A. G. Phadke and J. S. Thorp, Synchronized Phasor Measurements and Their Applications, 2nd ed. New York, NY, USA: Springer, 2017.</w:t>
      </w:r>
    </w:p>
    <w:p>
      <w:pPr>
        <w:spacing w:after="60" w:line="240"/>
        <w:ind w:left="480" w:hanging="480"/>
        <w:jc w:val="both"/>
      </w:pPr>
      <w:r>
        <w:rPr>
          <w:rFonts w:ascii="Times New Roman" w:cs="Times New Roman" w:eastAsia="Times New Roman" w:hAnsi="Times New Roman"/>
          <w:color w:val="000000"/>
          <w:sz w:val="17"/>
          <w:szCs w:val="17"/>
        </w:rPr>
        <w:t xml:space="preserve">[17] M. Adamiak, A. Apostolov, M. Begovic, C. Fennell, H. Gernandez, A. Jampala, S. Karlsson, M. Kezunovic, J. McDaniel, S. Meisinger, G. Michel, R. O’Leary, P. Myllymaki, N. Nair, S. Patel, D. Sevcik, A. Skendzic, J. Teng, C. Wester, and W. Yoon, “Wide area protection—Technology and infrastructures,” IEEE Trans. Power Del., vol. 21, no. 2, pp. 601–609, Apr. 2006.</w:t>
      </w:r>
    </w:p>
    <w:p>
      <w:pPr>
        <w:spacing w:after="60" w:line="240"/>
        <w:ind w:left="480" w:hanging="480"/>
        <w:jc w:val="both"/>
      </w:pPr>
      <w:r>
        <w:rPr>
          <w:rFonts w:ascii="Times New Roman" w:cs="Times New Roman" w:eastAsia="Times New Roman" w:hAnsi="Times New Roman"/>
          <w:color w:val="000000"/>
          <w:sz w:val="17"/>
          <w:szCs w:val="17"/>
        </w:rPr>
        <w:t xml:space="preserve">[18] A. E. Emanuel, D. C. Orr, J. A. Orr, and E. M. Gulachenski, “A non-contact method for the determination of high-impedance faults,” IEEE Trans. Power Del., vol. 5, no. 4, pp. 1872–1879, Oct. 1990.</w:t>
      </w:r>
    </w:p>
    <w:p>
      <w:pPr>
        <w:spacing w:after="60" w:line="240"/>
        <w:ind w:left="480" w:hanging="480"/>
        <w:jc w:val="both"/>
      </w:pPr>
      <w:r>
        <w:rPr>
          <w:rFonts w:ascii="Times New Roman" w:cs="Times New Roman" w:eastAsia="Times New Roman" w:hAnsi="Times New Roman"/>
          <w:color w:val="000000"/>
          <w:sz w:val="17"/>
          <w:szCs w:val="17"/>
        </w:rPr>
        <w:t xml:space="preserve">[19] P. Kundur, J. Paserba, V. Ajjarapu, G. Andersson, A. Bose, C. Canizares, N. Hatziargyriou, D. Hill, A. Stankovic, C. Taylor, T. Van Cutsem, and V. Vittal, “Definition and classification of power system stability,” IEEE Trans. Power Syst., vol. 19, no. 3, pp. 1387–1401, Aug. 2004.</w:t>
      </w:r>
    </w:p>
    <w:p>
      <w:pPr>
        <w:spacing w:after="60" w:line="240"/>
        <w:ind w:left="480" w:hanging="480"/>
        <w:jc w:val="both"/>
      </w:pPr>
      <w:r>
        <w:rPr>
          <w:rFonts w:ascii="Times New Roman" w:cs="Times New Roman" w:eastAsia="Times New Roman" w:hAnsi="Times New Roman"/>
          <w:color w:val="000000"/>
          <w:sz w:val="17"/>
          <w:szCs w:val="17"/>
        </w:rPr>
        <w:t xml:space="preserve">[20] S. R. Samantaray, K. El-Arroudi, G. Joos, and I. Kamwa, “A fuzzy rule-based approach for islanding detection in distributed generation,” IEEE Trans. Power Del., vol. 25, no. 3, pp. 2067–2074, Jul. 2010.</w:t>
      </w:r>
    </w:p>
    <w:p>
      <w:pPr>
        <w:spacing w:after="60" w:line="240"/>
        <w:ind w:left="480" w:hanging="480"/>
        <w:jc w:val="both"/>
      </w:pPr>
      <w:r>
        <w:rPr>
          <w:rFonts w:ascii="Times New Roman" w:cs="Times New Roman" w:eastAsia="Times New Roman" w:hAnsi="Times New Roman"/>
          <w:color w:val="000000"/>
          <w:sz w:val="17"/>
          <w:szCs w:val="17"/>
        </w:rPr>
        <w:t xml:space="preserve">[21] K. Cho, B. van MerriÃ«nboer, C. Gulcehre, D. Bahdanau, F. Bougares, H. Schwenk, and Y. Bengio, “Learning phrase representations using RNN encoder-decoder for statistical machine translation,” in Proc. Empirical Methods Natural Lang. Process. (EMNLP), Doha, Qatar, 2014, pp. 1724–1734.</w:t>
      </w:r>
    </w:p>
    <w:p>
      <w:pPr>
        <w:spacing w:after="60" w:line="240"/>
        <w:ind w:left="480" w:hanging="480"/>
        <w:jc w:val="both"/>
      </w:pPr>
      <w:r>
        <w:rPr>
          <w:rFonts w:ascii="Times New Roman" w:cs="Times New Roman" w:eastAsia="Times New Roman" w:hAnsi="Times New Roman"/>
          <w:color w:val="000000"/>
          <w:sz w:val="17"/>
          <w:szCs w:val="17"/>
        </w:rPr>
        <w:t xml:space="preserve">[22] M. Schuster and K. K. Paliwal, “Bidirectional recurrent neural networks,” IEEE Trans. Signal Process., vol. 45, no. 11, pp. 2673–2681, Nov. 1997.</w:t>
      </w:r>
    </w:p>
    <w:p>
      <w:pPr>
        <w:spacing w:after="60" w:line="240"/>
        <w:ind w:left="480" w:hanging="480"/>
        <w:jc w:val="both"/>
      </w:pPr>
      <w:r>
        <w:rPr>
          <w:rFonts w:ascii="Times New Roman" w:cs="Times New Roman" w:eastAsia="Times New Roman" w:hAnsi="Times New Roman"/>
          <w:color w:val="000000"/>
          <w:sz w:val="17"/>
          <w:szCs w:val="17"/>
        </w:rPr>
        <w:t xml:space="preserve">[23] M. S. Sachdev, T. S. Sidhu, and D. S. Goyal, “A distance relay with adaptable reach,” IEEE Trans. Power Del., vol. 19, no. 2, pp. 597–605, Apr. 2004.</w:t>
      </w:r>
    </w:p>
    <w:p>
      <w:pPr>
        <w:spacing w:after="60" w:line="240"/>
        <w:ind w:left="480" w:hanging="480"/>
        <w:jc w:val="both"/>
      </w:pPr>
      <w:r>
        <w:rPr>
          <w:rFonts w:ascii="Times New Roman" w:cs="Times New Roman" w:eastAsia="Times New Roman" w:hAnsi="Times New Roman"/>
          <w:color w:val="000000"/>
          <w:sz w:val="17"/>
          <w:szCs w:val="17"/>
        </w:rPr>
        <w:t xml:space="preserve">[24] R. Zhang, Y. Xu, Z. Y. Dong, and K. P. Wong, “Post-disturbance transient stability assessment of power systems by deep learning,” in Proc. IEEE Power Energy Soc. Gen. Meeting, Denver, CO, USA, 2015, pp. 1–5.</w:t>
      </w:r>
    </w:p>
    <w:p>
      <w:pPr>
        <w:spacing w:after="60" w:line="240"/>
        <w:ind w:left="480" w:hanging="480"/>
        <w:jc w:val="both"/>
      </w:pPr>
      <w:r>
        <w:rPr>
          <w:rFonts w:ascii="Times New Roman" w:cs="Times New Roman" w:eastAsia="Times New Roman" w:hAnsi="Times New Roman"/>
          <w:color w:val="000000"/>
          <w:sz w:val="17"/>
          <w:szCs w:val="17"/>
        </w:rPr>
        <w:t xml:space="preserve">[25] J. Gao, S. G. Chavali, and A. Pahwa, “A machine learning based fault detection and classification technique for power distribution systems,” in Proc. IEEE Power Energy Soc. Gen. Meeting, National Harbor, MD, USA, 2014, pp. 1–5.</w:t>
      </w:r>
    </w:p>
    <w:p>
      <w:pPr>
        <w:spacing w:after="60" w:line="240"/>
        <w:ind w:left="480" w:hanging="480"/>
        <w:jc w:val="both"/>
      </w:pPr>
      <w:r>
        <w:rPr>
          <w:rFonts w:ascii="Times New Roman" w:cs="Times New Roman" w:eastAsia="Times New Roman" w:hAnsi="Times New Roman"/>
          <w:color w:val="000000"/>
          <w:sz w:val="17"/>
          <w:szCs w:val="17"/>
        </w:rPr>
        <w:t xml:space="preserve">[26] Y. LeCun, Y. Bengio, and G. Hinton, “Deep learning,” Nature, vol. 521, no. 7553, pp. 436–444, May 2015.</w:t>
      </w:r>
    </w:p>
    <w:p>
      <w:pPr>
        <w:spacing w:after="60" w:line="240"/>
        <w:ind w:left="480" w:hanging="480"/>
        <w:jc w:val="both"/>
      </w:pPr>
      <w:r>
        <w:rPr>
          <w:rFonts w:ascii="Times New Roman" w:cs="Times New Roman" w:eastAsia="Times New Roman" w:hAnsi="Times New Roman"/>
          <w:color w:val="000000"/>
          <w:sz w:val="17"/>
          <w:szCs w:val="17"/>
        </w:rPr>
        <w:t xml:space="preserve">[27] I. Goodfellow, Y. Bengio, and A. Courville, Deep Learning. Cambridge, MA, USA: MIT Press, 2016.</w:t>
      </w:r>
    </w:p>
    <w:p>
      <w:pPr>
        <w:spacing w:after="60" w:line="240"/>
        <w:ind w:left="480" w:hanging="480"/>
        <w:jc w:val="both"/>
      </w:pPr>
      <w:r>
        <w:rPr>
          <w:rFonts w:ascii="Times New Roman" w:cs="Times New Roman" w:eastAsia="Times New Roman" w:hAnsi="Times New Roman"/>
          <w:color w:val="000000"/>
          <w:sz w:val="17"/>
          <w:szCs w:val="17"/>
        </w:rPr>
        <w:t xml:space="preserve">[28] R. Caruana, “Multitask learning,” Mach. Learn., vol. 28, no. 1, pp. 41–75, Jul. 1997.</w:t>
      </w:r>
    </w:p>
    <w:p>
      <w:pPr>
        <w:spacing w:after="60" w:line="240"/>
        <w:ind w:left="480" w:hanging="480"/>
        <w:jc w:val="both"/>
      </w:pPr>
      <w:r>
        <w:rPr>
          <w:rFonts w:ascii="Times New Roman" w:cs="Times New Roman" w:eastAsia="Times New Roman" w:hAnsi="Times New Roman"/>
          <w:color w:val="000000"/>
          <w:sz w:val="17"/>
          <w:szCs w:val="17"/>
        </w:rPr>
        <w:t xml:space="preserve">[29] M. Abadi et al., “TensorFlow: A system for large-scale machine learning,” in Proc. 12th USENIX Symp. Operating Syst. Design Implementation (OSDI), Savannah, GA, USA, 2016, pp. 265–283.</w:t>
      </w:r>
    </w:p>
    <w:p>
      <w:pPr>
        <w:spacing w:after="60" w:line="240"/>
        <w:ind w:left="480" w:hanging="480"/>
        <w:jc w:val="both"/>
      </w:pPr>
      <w:r>
        <w:rPr>
          <w:rFonts w:ascii="Times New Roman" w:cs="Times New Roman" w:eastAsia="Times New Roman" w:hAnsi="Times New Roman"/>
          <w:color w:val="000000"/>
          <w:sz w:val="17"/>
          <w:szCs w:val="17"/>
        </w:rPr>
        <w:t xml:space="preserve">[30] M. Rastegari, V. Ordonez, J. Redmon, and A. Farhadi, “XNOR-Net: ImageNet classification using binary convolutional neural networks,” in Proc. Eur. Conf. Comput. Vis. (ECCV), Amsterdam, Netherlands, 2016, pp. 525–542.</w:t>
      </w:r>
    </w:p>
    <w:p>
      <w:pPr>
        <w:spacing w:after="60" w:line="240"/>
        <w:ind w:left="480" w:hanging="480"/>
        <w:jc w:val="both"/>
      </w:pPr>
      <w:r>
        <w:rPr>
          <w:rFonts w:ascii="Times New Roman" w:cs="Times New Roman" w:eastAsia="Times New Roman" w:hAnsi="Times New Roman"/>
          <w:color w:val="000000"/>
          <w:sz w:val="17"/>
          <w:szCs w:val="17"/>
        </w:rPr>
        <w:t xml:space="preserve">[31] R. D. Christie, “Power systems test case archive,” Univ. Washington, Seattle, WA, USA. [Online]. Available: https://www.ee.washington.edu/research/pstca/</w:t>
      </w:r>
    </w:p>
    <w:p>
      <w:pPr>
        <w:spacing w:after="60" w:line="240"/>
        <w:ind w:left="480" w:hanging="480"/>
        <w:jc w:val="both"/>
      </w:pPr>
      <w:r>
        <w:rPr>
          <w:rFonts w:ascii="Times New Roman" w:cs="Times New Roman" w:eastAsia="Times New Roman" w:hAnsi="Times New Roman"/>
          <w:color w:val="000000"/>
          <w:sz w:val="17"/>
          <w:szCs w:val="17"/>
        </w:rPr>
        <w:t xml:space="preserve">[32] B. Stott, J. Jardim, and O. Alsac, “DC power flow revisited,” IEEE Trans. Power Syst., vol. 24, no. 3, pp. 1290–1300, Aug. 2009.</w:t>
      </w:r>
    </w:p>
    <w:p>
      <w:pPr>
        <w:spacing w:after="60" w:line="240"/>
        <w:ind w:left="480" w:hanging="480"/>
        <w:jc w:val="both"/>
      </w:pPr>
      <w:r>
        <w:rPr>
          <w:rFonts w:ascii="Times New Roman" w:cs="Times New Roman" w:eastAsia="Times New Roman" w:hAnsi="Times New Roman"/>
          <w:color w:val="000000"/>
          <w:sz w:val="17"/>
          <w:szCs w:val="17"/>
        </w:rPr>
        <w:t xml:space="preserve">[33] P. M. Anderson and A. A. Fouad, Power System Control and Stability, 2nd ed. Hoboken, NJ, USA: IEEE Press/Wiley, 2003.</w:t>
      </w:r>
    </w:p>
    <w:p>
      <w:pPr>
        <w:spacing w:after="60" w:line="240"/>
        <w:ind w:left="480" w:hanging="480"/>
        <w:jc w:val="both"/>
      </w:pPr>
      <w:r>
        <w:rPr>
          <w:rFonts w:ascii="Times New Roman" w:cs="Times New Roman" w:eastAsia="Times New Roman" w:hAnsi="Times New Roman"/>
          <w:color w:val="000000"/>
          <w:sz w:val="17"/>
          <w:szCs w:val="17"/>
        </w:rPr>
        <w:t xml:space="preserve">[34] F. Pedregosa, G. Varoquaux, A. Gramfort, V. Michel, B. Thirion, O. Grisel, M. Blondel, P. Prettenhofer, R. Weiss, V. Dubourg, J. Vanderplas, A. Passos, D. Cournapeau, M. Brucher, M. Perrot, and E. Duchesnay, “Scikit-learn: Machine learning in Python,” J. Mach. Learn. Res., vol. 12, pp. 2825–2830, Oct. 2011.</w:t>
      </w:r>
    </w:p>
    <w:p>
      <w:pPr>
        <w:spacing w:after="60" w:line="240"/>
        <w:ind w:left="480" w:hanging="480"/>
        <w:jc w:val="both"/>
      </w:pPr>
      <w:r>
        <w:rPr>
          <w:rFonts w:ascii="Times New Roman" w:cs="Times New Roman" w:eastAsia="Times New Roman" w:hAnsi="Times New Roman"/>
          <w:color w:val="000000"/>
          <w:sz w:val="17"/>
          <w:szCs w:val="17"/>
        </w:rPr>
        <w:t xml:space="preserve">[35] D. M. W. Powers, “Evaluation: From precision, recall and F-measure to ROC, informedness, markedness and correlation,” J. Mach. Learn. Technol., vol. 2, no. 1, pp. 37–63, 2011.</w:t>
      </w:r>
    </w:p>
    <w:p>
      <w:pPr>
        <w:spacing w:after="60" w:line="240"/>
        <w:ind w:left="480" w:hanging="480"/>
        <w:jc w:val="both"/>
      </w:pPr>
      <w:r>
        <w:rPr>
          <w:rFonts w:ascii="Times New Roman" w:cs="Times New Roman" w:eastAsia="Times New Roman" w:hAnsi="Times New Roman"/>
          <w:color w:val="000000"/>
          <w:sz w:val="17"/>
          <w:szCs w:val="17"/>
        </w:rPr>
        <w:t xml:space="preserve">[36] NERC, “Reliability standards for the bulk electric systems of North America,” North Amer. Elect. Rel. Corp., Atlanta, GA, USA, 2023. [Online]. Available: https://www.nerc.com/pa/Stand/Pages/default.aspx</w:t>
      </w:r>
    </w:p>
    <w:p>
      <w:pPr>
        <w:spacing w:after="60" w:line="240"/>
        <w:ind w:left="480" w:hanging="480"/>
        <w:jc w:val="both"/>
      </w:pPr>
      <w:r>
        <w:rPr>
          <w:rFonts w:ascii="Times New Roman" w:cs="Times New Roman" w:eastAsia="Times New Roman" w:hAnsi="Times New Roman"/>
          <w:color w:val="000000"/>
          <w:sz w:val="17"/>
          <w:szCs w:val="17"/>
        </w:rPr>
        <w:t xml:space="preserve">[37] J. Shi, W. Yin, K. Wang, and S. Bu, “Distribution network fault location based on electromagnetic time reversal using time-domain reflectometry,” IEEE Trans. Power Del., vol. 37, no. 4, pp. 3006–3016, Aug. 2022.</w:t>
      </w:r>
    </w:p>
    <w:p>
      <w:pPr>
        <w:spacing w:after="60" w:line="240"/>
        <w:ind w:left="480" w:hanging="480"/>
        <w:jc w:val="both"/>
      </w:pPr>
      <w:r>
        <w:rPr>
          <w:rFonts w:ascii="Times New Roman" w:cs="Times New Roman" w:eastAsia="Times New Roman" w:hAnsi="Times New Roman"/>
          <w:color w:val="000000"/>
          <w:sz w:val="17"/>
          <w:szCs w:val="17"/>
        </w:rPr>
        <w:t xml:space="preserve">[38] Z. Wang, A. Scaglione, and R. J. Thomas, “Generating false data injection attacks on electricity market operations,” IEEE Trans. Smart Grid, vol. 10, no. 6, pp. 6447–6458, Nov. 2019.</w:t>
      </w:r>
    </w:p>
    <w:p>
      <w:pPr>
        <w:spacing w:after="60" w:line="240"/>
        <w:ind w:left="480" w:hanging="480"/>
        <w:jc w:val="both"/>
      </w:pPr>
      <w:r>
        <w:rPr>
          <w:rFonts w:ascii="Times New Roman" w:cs="Times New Roman" w:eastAsia="Times New Roman" w:hAnsi="Times New Roman"/>
          <w:color w:val="000000"/>
          <w:sz w:val="17"/>
          <w:szCs w:val="17"/>
        </w:rPr>
        <w:t xml:space="preserve">[39] S. Mashhadi Caspary, V. Krishnan, and H. V. Poor, “Data injection attacks on electricity markets by limited adversaries: Stochastic robustness evaluation and mitigation,” IEEE Trans. Smart Grid, vol. 12, no. 1, pp. 683–696, Jan. 2021.</w:t>
      </w:r>
    </w:p>
    <w:p>
      <w:pPr>
        <w:spacing w:after="60" w:line="240"/>
        <w:ind w:left="480" w:hanging="480"/>
        <w:jc w:val="both"/>
      </w:pPr>
      <w:r>
        <w:rPr>
          <w:rFonts w:ascii="Times New Roman" w:cs="Times New Roman" w:eastAsia="Times New Roman" w:hAnsi="Times New Roman"/>
          <w:color w:val="000000"/>
          <w:sz w:val="17"/>
          <w:szCs w:val="17"/>
        </w:rPr>
        <w:t xml:space="preserve">[40] D. Bertsimas and J. D. Dunn, “Optimal classification trees,” Mach. Learn., vol. 106, no. 7, pp. 1039–1082, Jul. 2017.</w:t>
      </w:r>
    </w:p>
    <w:p>
      <w:pPr>
        <w:spacing w:after="60" w:line="240"/>
        <w:ind w:left="480" w:hanging="480"/>
        <w:jc w:val="both"/>
      </w:pPr>
      <w:r>
        <w:rPr>
          <w:rFonts w:ascii="Times New Roman" w:cs="Times New Roman" w:eastAsia="Times New Roman" w:hAnsi="Times New Roman"/>
          <w:color w:val="000000"/>
          <w:sz w:val="17"/>
          <w:szCs w:val="17"/>
        </w:rPr>
        <w:t xml:space="preserve">[41] M. He, J. Zhang, and V. Vittal, “Robust online dynamic security assessment using adaptive ensemble decision-tree learning,” IEEE Trans. Power Syst., vol. 28, no. 4, pp. 4089–4100, Nov. 2013.</w:t>
      </w:r>
    </w:p>
    <w:p>
      <w:pPr>
        <w:spacing w:after="60" w:line="240"/>
        <w:ind w:left="480" w:hanging="480"/>
        <w:jc w:val="both"/>
      </w:pPr>
      <w:r>
        <w:rPr>
          <w:rFonts w:ascii="Times New Roman" w:cs="Times New Roman" w:eastAsia="Times New Roman" w:hAnsi="Times New Roman"/>
          <w:color w:val="000000"/>
          <w:sz w:val="17"/>
          <w:szCs w:val="17"/>
        </w:rPr>
        <w:t xml:space="preserve">[42] H. Liu, Y. Sun, and L. Liu, “Power system transient stability assessment based on CNN-LSTM,” Int. J. Electr. Power Energy Syst., vol. 130, p. 106944, Sep. 2021.</w:t>
      </w:r>
    </w:p>
    <w:p>
      <w:pPr>
        <w:spacing w:after="60" w:line="240"/>
        <w:ind w:left="480" w:hanging="480"/>
        <w:jc w:val="both"/>
      </w:pPr>
      <w:r>
        <w:rPr>
          <w:rFonts w:ascii="Times New Roman" w:cs="Times New Roman" w:eastAsia="Times New Roman" w:hAnsi="Times New Roman"/>
          <w:color w:val="000000"/>
          <w:sz w:val="17"/>
          <w:szCs w:val="17"/>
        </w:rPr>
        <w:t xml:space="preserve">[43] Y. Wang, Q. Chen, T. Hong, and C. Kang, “Review of smart meter data analytics: Applications, methodologies, and challenges,” IEEE Trans. Smart Grid, vol. 10, no. 3, pp. 2431–2443, May 2019.</w:t>
      </w:r>
    </w:p>
    <w:p>
      <w:pPr>
        <w:spacing w:after="60" w:line="240"/>
        <w:ind w:left="480" w:hanging="480"/>
        <w:jc w:val="both"/>
      </w:pPr>
      <w:r>
        <w:rPr>
          <w:rFonts w:ascii="Times New Roman" w:cs="Times New Roman" w:eastAsia="Times New Roman" w:hAnsi="Times New Roman"/>
          <w:color w:val="000000"/>
          <w:sz w:val="17"/>
          <w:szCs w:val="17"/>
        </w:rPr>
        <w:t xml:space="preserve">[44] R. D. Zimmerman, C. E. Murillo-SÃ¡nchez, and R. J. Thomas, “MATPOWER: Steady-state operations, planning, and analysis tools for power systems research and education,” IEEE Trans. Power Syst., vol. 26, no. 1, pp. 12–19, Feb. 2011.</w:t>
      </w:r>
    </w:p>
    <w:p>
      <w:pPr>
        <w:spacing w:after="60" w:line="240"/>
        <w:ind w:left="480" w:hanging="480"/>
        <w:jc w:val="both"/>
      </w:pPr>
      <w:r>
        <w:rPr>
          <w:rFonts w:ascii="Times New Roman" w:cs="Times New Roman" w:eastAsia="Times New Roman" w:hAnsi="Times New Roman"/>
          <w:color w:val="000000"/>
          <w:sz w:val="17"/>
          <w:szCs w:val="17"/>
        </w:rPr>
        <w:t xml:space="preserve">[45] A. Karpathy, J. Johnson, and L. Fei-Fei, “Visualizing and understanding recurrent networks,” in Proc. Int. Conf. Learn. Represent. (ICLR), San Juan, Puerto Rico, 2016, pp. 1–16.</w:t>
      </w:r>
    </w:p>
    <w:p>
      <w:pPr>
        <w:spacing w:after="60" w:line="240"/>
        <w:ind w:left="480" w:hanging="480"/>
        <w:jc w:val="both"/>
      </w:pPr>
      <w:r>
        <w:rPr>
          <w:rFonts w:ascii="Times New Roman" w:cs="Times New Roman" w:eastAsia="Times New Roman" w:hAnsi="Times New Roman"/>
          <w:color w:val="000000"/>
          <w:sz w:val="17"/>
          <w:szCs w:val="17"/>
        </w:rPr>
        <w:t xml:space="preserve">[46] V. Nair and G. E. Hinton, “Rectified linear units improve restricted Boltzmann machines,” in Proc. Int. Conf. Mach. Learn. (ICML), Haifa, Israel, 2010, pp. 807–814.</w:t>
      </w:r>
    </w:p>
    <w:p>
      <w:pPr>
        <w:spacing w:after="60" w:line="240"/>
        <w:ind w:left="480" w:hanging="480"/>
        <w:jc w:val="both"/>
      </w:pPr>
      <w:r>
        <w:rPr>
          <w:rFonts w:ascii="Times New Roman" w:cs="Times New Roman" w:eastAsia="Times New Roman" w:hAnsi="Times New Roman"/>
          <w:color w:val="000000"/>
          <w:sz w:val="17"/>
          <w:szCs w:val="17"/>
        </w:rPr>
        <w:t xml:space="preserve">[47] D. P. Kingma and J. Ba, “Adam: A method for stochastic optimization,” in Proc. Int. Conf. Learn. Represent. (ICLR), San Diego, CA, USA, 2015, pp. 1–15.</w:t>
      </w:r>
    </w:p>
    <w:p>
      <w:pPr>
        <w:spacing w:after="60" w:line="240"/>
        <w:ind w:left="480" w:hanging="480"/>
        <w:jc w:val="both"/>
      </w:pPr>
      <w:r>
        <w:rPr>
          <w:rFonts w:ascii="Times New Roman" w:cs="Times New Roman" w:eastAsia="Times New Roman" w:hAnsi="Times New Roman"/>
          <w:color w:val="000000"/>
          <w:sz w:val="17"/>
          <w:szCs w:val="17"/>
        </w:rPr>
        <w:t xml:space="preserve">[48] N. Srivastava, G. Hinton, A. Krizhevsky, I. Sutskever, and R. Salakhutdinov, “Dropout: A simple way to prevent neural networks from overfitting,” J. Mach. Learn. Res., vol. 15, no. 1, pp. 1929–1958, Jun. 2014.</w:t>
      </w:r>
    </w:p>
    <w:p>
      <w:pPr>
        <w:spacing w:after="60" w:line="240"/>
        <w:ind w:left="480" w:hanging="480"/>
        <w:jc w:val="both"/>
      </w:pPr>
      <w:r>
        <w:rPr>
          <w:rFonts w:ascii="Times New Roman" w:cs="Times New Roman" w:eastAsia="Times New Roman" w:hAnsi="Times New Roman"/>
          <w:color w:val="000000"/>
          <w:sz w:val="17"/>
          <w:szCs w:val="17"/>
        </w:rPr>
        <w:t xml:space="preserve">[49] A. Paszke, S. Gross, F. Massa, A. Lerer, J. Bradbury, G. Chanan, T. Killeen, Z. Lin, N. Gimelshein, L. Antiga, A. Desmaison, A. Kopf, E. Yang, Z. DeVito, M. Raison, A. Tejani, S. Chilamkurthy, B. Steiner, L. Fang, J. Bai, and S. Chintala, “PyTorch: An imperative style, high-performance deep learning library,” in Proc. Adv. Neural Inf. Process. Syst. (NeurIPS), Vancouver, BC, Canada, 2019, pp. 8024–8035.</w:t>
      </w:r>
    </w:p>
    <w:p>
      <w:pPr>
        <w:spacing w:after="60" w:line="240"/>
        <w:ind w:left="480" w:hanging="480"/>
        <w:jc w:val="both"/>
      </w:pPr>
      <w:r>
        <w:rPr>
          <w:rFonts w:ascii="Times New Roman" w:cs="Times New Roman" w:eastAsia="Times New Roman" w:hAnsi="Times New Roman"/>
          <w:color w:val="000000"/>
          <w:sz w:val="17"/>
          <w:szCs w:val="17"/>
        </w:rPr>
        <w:t xml:space="preserve">[50] Y. LeCun, L. Bottou, Y. Bengio, and P. Haffner, “Gradient-based learning applied to document recognition,” Proc. IEEE, vol. 86, no. 11, pp. 2278–2324, Nov. 1998.</w:t>
      </w:r>
    </w:p>
    <w:p>
      <w:pPr>
        <w:spacing w:after="200" w:before="400" w:line="276"/>
        <w:jc w:val="center"/>
      </w:pPr>
      <w:r>
        <w:rPr>
          <w:rFonts w:ascii="Times New Roman" w:cs="Times New Roman" w:eastAsia="Times New Roman" w:hAnsi="Times New Roman"/>
          <w:b/>
          <w:bCs/>
          <w:color w:val="000000"/>
          <w:sz w:val="22"/>
          <w:szCs w:val="22"/>
        </w:rPr>
        <w:t xml:space="preserve">APPENDIX A</w:t>
      </w:r>
    </w:p>
    <w:p>
      <w:pPr>
        <w:spacing w:after="120" w:line="276"/>
        <w:jc w:val="center"/>
      </w:pPr>
      <w:r>
        <w:rPr>
          <w:rFonts w:ascii="Times New Roman" w:cs="Times New Roman" w:eastAsia="Times New Roman" w:hAnsi="Times New Roman"/>
          <w:i/>
          <w:iCs/>
          <w:color w:val="000000"/>
          <w:sz w:val="20"/>
          <w:szCs w:val="20"/>
        </w:rPr>
        <w:t xml:space="preserve">PyTorch Model Implementation (Pseudo-Code)</w:t>
      </w:r>
    </w:p>
    <w:p>
      <w:pPr>
        <w:shd w:fill="F5F5F5" w:val="clear"/>
        <w:spacing w:after="0" w:line="220"/>
        <w:ind w:left="360"/>
      </w:pPr>
      <w:r>
        <w:rPr>
          <w:rFonts w:ascii="Courier New" w:cs="Courier New" w:eastAsia="Courier New" w:hAnsi="Courier New"/>
          <w:color w:val="333333"/>
          <w:sz w:val="16"/>
          <w:szCs w:val="16"/>
        </w:rPr>
        <w:t xml:space="preserve">import torch</w:t>
      </w:r>
    </w:p>
    <w:p>
      <w:pPr>
        <w:shd w:fill="F5F5F5" w:val="clear"/>
        <w:spacing w:after="0" w:line="220"/>
        <w:ind w:left="360"/>
      </w:pPr>
      <w:r>
        <w:rPr>
          <w:rFonts w:ascii="Courier New" w:cs="Courier New" w:eastAsia="Courier New" w:hAnsi="Courier New"/>
          <w:color w:val="333333"/>
          <w:sz w:val="16"/>
          <w:szCs w:val="16"/>
        </w:rPr>
        <w:t xml:space="preserve">import torch.nn as nn</w:t>
      </w:r>
    </w:p>
    <w:p>
      <w:pPr>
        <w:shd w:fill="F5F5F5" w:val="clear"/>
        <w:spacing w:after="0" w:line="220"/>
        <w:ind w:left="360"/>
      </w:pPr>
      <w:r>
        <w:rPr>
          <w:rFonts w:ascii="Courier New" w:cs="Courier New" w:eastAsia="Courier New" w:hAnsi="Courier New"/>
          <w:color w:val="333333"/>
          <w:sz w:val="16"/>
          <w:szCs w:val="16"/>
        </w:rPr>
        <w:t xml:space="preserve"> </w:t>
      </w:r>
    </w:p>
    <w:p>
      <w:pPr>
        <w:shd w:fill="F5F5F5" w:val="clear"/>
        <w:spacing w:after="0" w:line="220"/>
        <w:ind w:left="360"/>
      </w:pPr>
      <w:r>
        <w:rPr>
          <w:rFonts w:ascii="Courier New" w:cs="Courier New" w:eastAsia="Courier New" w:hAnsi="Courier New"/>
          <w:color w:val="333333"/>
          <w:sz w:val="16"/>
          <w:szCs w:val="16"/>
        </w:rPr>
        <w:t xml:space="preserve">class System1_CNNLSTM(nn.Module):</w:t>
      </w:r>
    </w:p>
    <w:p>
      <w:pPr>
        <w:shd w:fill="F5F5F5" w:val="clear"/>
        <w:spacing w:after="0" w:line="220"/>
        <w:ind w:left="360"/>
      </w:pPr>
      <w:r>
        <w:rPr>
          <w:rFonts w:ascii="Courier New" w:cs="Courier New" w:eastAsia="Courier New" w:hAnsi="Courier New"/>
          <w:color w:val="333333"/>
          <w:sz w:val="16"/>
          <w:szCs w:val="16"/>
        </w:rPr>
        <w:t xml:space="preserve">    def __init__(self, num_buses=39, num_channels=3, num_fault_types=7):</w:t>
      </w:r>
    </w:p>
    <w:p>
      <w:pPr>
        <w:shd w:fill="F5F5F5" w:val="clear"/>
        <w:spacing w:after="0" w:line="220"/>
        <w:ind w:left="360"/>
      </w:pPr>
      <w:r>
        <w:rPr>
          <w:rFonts w:ascii="Courier New" w:cs="Courier New" w:eastAsia="Courier New" w:hAnsi="Courier New"/>
          <w:color w:val="333333"/>
          <w:sz w:val="16"/>
          <w:szCs w:val="16"/>
        </w:rPr>
        <w:t xml:space="preserve">        super().__init__()</w:t>
      </w:r>
    </w:p>
    <w:p>
      <w:pPr>
        <w:shd w:fill="F5F5F5" w:val="clear"/>
        <w:spacing w:after="0" w:line="220"/>
        <w:ind w:left="360"/>
      </w:pPr>
      <w:r>
        <w:rPr>
          <w:rFonts w:ascii="Courier New" w:cs="Courier New" w:eastAsia="Courier New" w:hAnsi="Courier New"/>
          <w:color w:val="333333"/>
          <w:sz w:val="16"/>
          <w:szCs w:val="16"/>
        </w:rPr>
        <w:t xml:space="preserve">        # Spatial stream (CNN)</w:t>
      </w:r>
    </w:p>
    <w:p>
      <w:pPr>
        <w:shd w:fill="F5F5F5" w:val="clear"/>
        <w:spacing w:after="0" w:line="220"/>
        <w:ind w:left="360"/>
      </w:pPr>
      <w:r>
        <w:rPr>
          <w:rFonts w:ascii="Courier New" w:cs="Courier New" w:eastAsia="Courier New" w:hAnsi="Courier New"/>
          <w:color w:val="333333"/>
          <w:sz w:val="16"/>
          <w:szCs w:val="16"/>
        </w:rPr>
        <w:t xml:space="preserve">        self.conv1 = nn.Conv1d(num_buses*num_channels, 64,</w:t>
      </w:r>
    </w:p>
    <w:p>
      <w:pPr>
        <w:shd w:fill="F5F5F5" w:val="clear"/>
        <w:spacing w:after="0" w:line="220"/>
        <w:ind w:left="360"/>
      </w:pPr>
      <w:r>
        <w:rPr>
          <w:rFonts w:ascii="Courier New" w:cs="Courier New" w:eastAsia="Courier New" w:hAnsi="Courier New"/>
          <w:color w:val="333333"/>
          <w:sz w:val="16"/>
          <w:szCs w:val="16"/>
        </w:rPr>
        <w:t xml:space="preserve">                               kernel_size=3, padding=1)</w:t>
      </w:r>
    </w:p>
    <w:p>
      <w:pPr>
        <w:shd w:fill="F5F5F5" w:val="clear"/>
        <w:spacing w:after="0" w:line="220"/>
        <w:ind w:left="360"/>
      </w:pPr>
      <w:r>
        <w:rPr>
          <w:rFonts w:ascii="Courier New" w:cs="Courier New" w:eastAsia="Courier New" w:hAnsi="Courier New"/>
          <w:color w:val="333333"/>
          <w:sz w:val="16"/>
          <w:szCs w:val="16"/>
        </w:rPr>
        <w:t xml:space="preserve">        self.pool1 = nn.MaxPool1d(2)</w:t>
      </w:r>
    </w:p>
    <w:p>
      <w:pPr>
        <w:shd w:fill="F5F5F5" w:val="clear"/>
        <w:spacing w:after="0" w:line="220"/>
        <w:ind w:left="360"/>
      </w:pPr>
      <w:r>
        <w:rPr>
          <w:rFonts w:ascii="Courier New" w:cs="Courier New" w:eastAsia="Courier New" w:hAnsi="Courier New"/>
          <w:color w:val="333333"/>
          <w:sz w:val="16"/>
          <w:szCs w:val="16"/>
        </w:rPr>
        <w:t xml:space="preserve">        self.conv2 = nn.Conv1d(64, 128, kernel_size=3, padding=1)</w:t>
      </w:r>
    </w:p>
    <w:p>
      <w:pPr>
        <w:shd w:fill="F5F5F5" w:val="clear"/>
        <w:spacing w:after="0" w:line="220"/>
        <w:ind w:left="360"/>
      </w:pPr>
      <w:r>
        <w:rPr>
          <w:rFonts w:ascii="Courier New" w:cs="Courier New" w:eastAsia="Courier New" w:hAnsi="Courier New"/>
          <w:color w:val="333333"/>
          <w:sz w:val="16"/>
          <w:szCs w:val="16"/>
        </w:rPr>
        <w:t xml:space="preserve">        self.pool2 = nn.MaxPool1d(2)</w:t>
      </w:r>
    </w:p>
    <w:p>
      <w:pPr>
        <w:shd w:fill="F5F5F5" w:val="clear"/>
        <w:spacing w:after="0" w:line="220"/>
        <w:ind w:left="360"/>
      </w:pPr>
      <w:r>
        <w:rPr>
          <w:rFonts w:ascii="Courier New" w:cs="Courier New" w:eastAsia="Courier New" w:hAnsi="Courier New"/>
          <w:color w:val="333333"/>
          <w:sz w:val="16"/>
          <w:szCs w:val="16"/>
        </w:rPr>
        <w:t xml:space="preserve">        # Temporal stream (LSTM)</w:t>
      </w:r>
    </w:p>
    <w:p>
      <w:pPr>
        <w:shd w:fill="F5F5F5" w:val="clear"/>
        <w:spacing w:after="0" w:line="220"/>
        <w:ind w:left="360"/>
      </w:pPr>
      <w:r>
        <w:rPr>
          <w:rFonts w:ascii="Courier New" w:cs="Courier New" w:eastAsia="Courier New" w:hAnsi="Courier New"/>
          <w:color w:val="333333"/>
          <w:sz w:val="16"/>
          <w:szCs w:val="16"/>
        </w:rPr>
        <w:t xml:space="preserve">        self.lstm1 = nn.LSTM(128, 256, batch_first=True,</w:t>
      </w:r>
    </w:p>
    <w:p>
      <w:pPr>
        <w:shd w:fill="F5F5F5" w:val="clear"/>
        <w:spacing w:after="0" w:line="220"/>
        <w:ind w:left="360"/>
      </w:pPr>
      <w:r>
        <w:rPr>
          <w:rFonts w:ascii="Courier New" w:cs="Courier New" w:eastAsia="Courier New" w:hAnsi="Courier New"/>
          <w:color w:val="333333"/>
          <w:sz w:val="16"/>
          <w:szCs w:val="16"/>
        </w:rPr>
        <w:t xml:space="preserve">                              dropout=0.2)</w:t>
      </w:r>
    </w:p>
    <w:p>
      <w:pPr>
        <w:shd w:fill="F5F5F5" w:val="clear"/>
        <w:spacing w:after="0" w:line="220"/>
        <w:ind w:left="360"/>
      </w:pPr>
      <w:r>
        <w:rPr>
          <w:rFonts w:ascii="Courier New" w:cs="Courier New" w:eastAsia="Courier New" w:hAnsi="Courier New"/>
          <w:color w:val="333333"/>
          <w:sz w:val="16"/>
          <w:szCs w:val="16"/>
        </w:rPr>
        <w:t xml:space="preserve">        self.lstm2 = nn.LSTM(256, 256, batch_first=True,</w:t>
      </w:r>
    </w:p>
    <w:p>
      <w:pPr>
        <w:shd w:fill="F5F5F5" w:val="clear"/>
        <w:spacing w:after="0" w:line="220"/>
        <w:ind w:left="360"/>
      </w:pPr>
      <w:r>
        <w:rPr>
          <w:rFonts w:ascii="Courier New" w:cs="Courier New" w:eastAsia="Courier New" w:hAnsi="Courier New"/>
          <w:color w:val="333333"/>
          <w:sz w:val="16"/>
          <w:szCs w:val="16"/>
        </w:rPr>
        <w:t xml:space="preserve">                              dropout=0.2)</w:t>
      </w:r>
    </w:p>
    <w:p>
      <w:pPr>
        <w:shd w:fill="F5F5F5" w:val="clear"/>
        <w:spacing w:after="0" w:line="220"/>
        <w:ind w:left="360"/>
      </w:pPr>
      <w:r>
        <w:rPr>
          <w:rFonts w:ascii="Courier New" w:cs="Courier New" w:eastAsia="Courier New" w:hAnsi="Courier New"/>
          <w:color w:val="333333"/>
          <w:sz w:val="16"/>
          <w:szCs w:val="16"/>
        </w:rPr>
        <w:t xml:space="preserve">        # Classification heads</w:t>
      </w:r>
    </w:p>
    <w:p>
      <w:pPr>
        <w:shd w:fill="F5F5F5" w:val="clear"/>
        <w:spacing w:after="0" w:line="220"/>
        <w:ind w:left="360"/>
      </w:pPr>
      <w:r>
        <w:rPr>
          <w:rFonts w:ascii="Courier New" w:cs="Courier New" w:eastAsia="Courier New" w:hAnsi="Courier New"/>
          <w:color w:val="333333"/>
          <w:sz w:val="16"/>
          <w:szCs w:val="16"/>
        </w:rPr>
        <w:t xml:space="preserve">        self.fc_fault = nn.Sequential(</w:t>
      </w:r>
    </w:p>
    <w:p>
      <w:pPr>
        <w:shd w:fill="F5F5F5" w:val="clear"/>
        <w:spacing w:after="0" w:line="220"/>
        <w:ind w:left="360"/>
      </w:pPr>
      <w:r>
        <w:rPr>
          <w:rFonts w:ascii="Courier New" w:cs="Courier New" w:eastAsia="Courier New" w:hAnsi="Courier New"/>
          <w:color w:val="333333"/>
          <w:sz w:val="16"/>
          <w:szCs w:val="16"/>
        </w:rPr>
        <w:t xml:space="preserve">            nn.Linear(256, 128), nn.ReLU(), nn.Dropout(0.3),</w:t>
      </w:r>
    </w:p>
    <w:p>
      <w:pPr>
        <w:shd w:fill="F5F5F5" w:val="clear"/>
        <w:spacing w:after="0" w:line="220"/>
        <w:ind w:left="360"/>
      </w:pPr>
      <w:r>
        <w:rPr>
          <w:rFonts w:ascii="Courier New" w:cs="Courier New" w:eastAsia="Courier New" w:hAnsi="Courier New"/>
          <w:color w:val="333333"/>
          <w:sz w:val="16"/>
          <w:szCs w:val="16"/>
        </w:rPr>
        <w:t xml:space="preserve">            nn.Linear(128, num_fault_types)</w:t>
      </w:r>
    </w:p>
    <w:p>
      <w:pPr>
        <w:shd w:fill="F5F5F5" w:val="clear"/>
        <w:spacing w:after="0" w:line="220"/>
        <w:ind w:left="360"/>
      </w:pPr>
      <w:r>
        <w:rPr>
          <w:rFonts w:ascii="Courier New" w:cs="Courier New" w:eastAsia="Courier New" w:hAnsi="Courier New"/>
          <w:color w:val="333333"/>
          <w:sz w:val="16"/>
          <w:szCs w:val="16"/>
        </w:rPr>
        <w:t xml:space="preserve">        )</w:t>
      </w:r>
    </w:p>
    <w:p>
      <w:pPr>
        <w:shd w:fill="F5F5F5" w:val="clear"/>
        <w:spacing w:after="0" w:line="220"/>
        <w:ind w:left="360"/>
      </w:pPr>
      <w:r>
        <w:rPr>
          <w:rFonts w:ascii="Courier New" w:cs="Courier New" w:eastAsia="Courier New" w:hAnsi="Courier New"/>
          <w:color w:val="333333"/>
          <w:sz w:val="16"/>
          <w:szCs w:val="16"/>
        </w:rPr>
        <w:t xml:space="preserve">        self.fc_action = nn.Sequential(</w:t>
      </w:r>
    </w:p>
    <w:p>
      <w:pPr>
        <w:shd w:fill="F5F5F5" w:val="clear"/>
        <w:spacing w:after="0" w:line="220"/>
        <w:ind w:left="360"/>
      </w:pPr>
      <w:r>
        <w:rPr>
          <w:rFonts w:ascii="Courier New" w:cs="Courier New" w:eastAsia="Courier New" w:hAnsi="Courier New"/>
          <w:color w:val="333333"/>
          <w:sz w:val="16"/>
          <w:szCs w:val="16"/>
        </w:rPr>
        <w:t xml:space="preserve">            nn.Linear(256, 128), nn.ReLU(),</w:t>
      </w:r>
    </w:p>
    <w:p>
      <w:pPr>
        <w:shd w:fill="F5F5F5" w:val="clear"/>
        <w:spacing w:after="0" w:line="220"/>
        <w:ind w:left="360"/>
      </w:pPr>
      <w:r>
        <w:rPr>
          <w:rFonts w:ascii="Courier New" w:cs="Courier New" w:eastAsia="Courier New" w:hAnsi="Courier New"/>
          <w:color w:val="333333"/>
          <w:sz w:val="16"/>
          <w:szCs w:val="16"/>
        </w:rPr>
        <w:t xml:space="preserve">            nn.Linear(128, num_buses * 2)  # P, Q per bus</w:t>
      </w:r>
    </w:p>
    <w:p>
      <w:pPr>
        <w:shd w:fill="F5F5F5" w:val="clear"/>
        <w:spacing w:after="0" w:line="220"/>
        <w:ind w:left="360"/>
      </w:pPr>
      <w:r>
        <w:rPr>
          <w:rFonts w:ascii="Courier New" w:cs="Courier New" w:eastAsia="Courier New" w:hAnsi="Courier New"/>
          <w:color w:val="333333"/>
          <w:sz w:val="16"/>
          <w:szCs w:val="16"/>
        </w:rPr>
        <w:t xml:space="preserve">        )</w:t>
      </w:r>
    </w:p>
    <w:p>
      <w:pPr>
        <w:shd w:fill="F5F5F5" w:val="clear"/>
        <w:spacing w:after="0" w:line="220"/>
        <w:ind w:left="360"/>
      </w:pPr>
      <w:r>
        <w:rPr>
          <w:rFonts w:ascii="Courier New" w:cs="Courier New" w:eastAsia="Courier New" w:hAnsi="Courier New"/>
          <w:color w:val="333333"/>
          <w:sz w:val="16"/>
          <w:szCs w:val="16"/>
        </w:rPr>
        <w:t xml:space="preserve"> </w:t>
      </w:r>
    </w:p>
    <w:p>
      <w:pPr>
        <w:shd w:fill="F5F5F5" w:val="clear"/>
        <w:spacing w:after="0" w:line="220"/>
        <w:ind w:left="360"/>
      </w:pPr>
      <w:r>
        <w:rPr>
          <w:rFonts w:ascii="Courier New" w:cs="Courier New" w:eastAsia="Courier New" w:hAnsi="Courier New"/>
          <w:color w:val="333333"/>
          <w:sz w:val="16"/>
          <w:szCs w:val="16"/>
        </w:rPr>
        <w:t xml:space="preserve">    def forward(self, x):</w:t>
      </w:r>
    </w:p>
    <w:p>
      <w:pPr>
        <w:shd w:fill="F5F5F5" w:val="clear"/>
        <w:spacing w:after="0" w:line="220"/>
        <w:ind w:left="360"/>
      </w:pPr>
      <w:r>
        <w:rPr>
          <w:rFonts w:ascii="Courier New" w:cs="Courier New" w:eastAsia="Courier New" w:hAnsi="Courier New"/>
          <w:color w:val="333333"/>
          <w:sz w:val="16"/>
          <w:szCs w:val="16"/>
        </w:rPr>
        <w:t xml:space="preserve">        # x: (batch, seq_len, num_buses*num_channels)</w:t>
      </w:r>
    </w:p>
    <w:p>
      <w:pPr>
        <w:shd w:fill="F5F5F5" w:val="clear"/>
        <w:spacing w:after="0" w:line="220"/>
        <w:ind w:left="360"/>
      </w:pPr>
      <w:r>
        <w:rPr>
          <w:rFonts w:ascii="Courier New" w:cs="Courier New" w:eastAsia="Courier New" w:hAnsi="Courier New"/>
          <w:color w:val="333333"/>
          <w:sz w:val="16"/>
          <w:szCs w:val="16"/>
        </w:rPr>
        <w:t xml:space="preserve">        x = x.transpose(1, 2)  # (batch, features, seq)</w:t>
      </w:r>
    </w:p>
    <w:p>
      <w:pPr>
        <w:shd w:fill="F5F5F5" w:val="clear"/>
        <w:spacing w:after="0" w:line="220"/>
        <w:ind w:left="360"/>
      </w:pPr>
      <w:r>
        <w:rPr>
          <w:rFonts w:ascii="Courier New" w:cs="Courier New" w:eastAsia="Courier New" w:hAnsi="Courier New"/>
          <w:color w:val="333333"/>
          <w:sz w:val="16"/>
          <w:szCs w:val="16"/>
        </w:rPr>
        <w:t xml:space="preserve">        x = torch.relu(self.conv1(x))</w:t>
      </w:r>
    </w:p>
    <w:p>
      <w:pPr>
        <w:shd w:fill="F5F5F5" w:val="clear"/>
        <w:spacing w:after="0" w:line="220"/>
        <w:ind w:left="360"/>
      </w:pPr>
      <w:r>
        <w:rPr>
          <w:rFonts w:ascii="Courier New" w:cs="Courier New" w:eastAsia="Courier New" w:hAnsi="Courier New"/>
          <w:color w:val="333333"/>
          <w:sz w:val="16"/>
          <w:szCs w:val="16"/>
        </w:rPr>
        <w:t xml:space="preserve">        x = self.pool1(x)</w:t>
      </w:r>
    </w:p>
    <w:p>
      <w:pPr>
        <w:shd w:fill="F5F5F5" w:val="clear"/>
        <w:spacing w:after="0" w:line="220"/>
        <w:ind w:left="360"/>
      </w:pPr>
      <w:r>
        <w:rPr>
          <w:rFonts w:ascii="Courier New" w:cs="Courier New" w:eastAsia="Courier New" w:hAnsi="Courier New"/>
          <w:color w:val="333333"/>
          <w:sz w:val="16"/>
          <w:szCs w:val="16"/>
        </w:rPr>
        <w:t xml:space="preserve">        x = torch.relu(self.conv2(x))</w:t>
      </w:r>
    </w:p>
    <w:p>
      <w:pPr>
        <w:shd w:fill="F5F5F5" w:val="clear"/>
        <w:spacing w:after="0" w:line="220"/>
        <w:ind w:left="360"/>
      </w:pPr>
      <w:r>
        <w:rPr>
          <w:rFonts w:ascii="Courier New" w:cs="Courier New" w:eastAsia="Courier New" w:hAnsi="Courier New"/>
          <w:color w:val="333333"/>
          <w:sz w:val="16"/>
          <w:szCs w:val="16"/>
        </w:rPr>
        <w:t xml:space="preserve">        x = self.pool2(x)</w:t>
      </w:r>
    </w:p>
    <w:p>
      <w:pPr>
        <w:shd w:fill="F5F5F5" w:val="clear"/>
        <w:spacing w:after="0" w:line="220"/>
        <w:ind w:left="360"/>
      </w:pPr>
      <w:r>
        <w:rPr>
          <w:rFonts w:ascii="Courier New" w:cs="Courier New" w:eastAsia="Courier New" w:hAnsi="Courier New"/>
          <w:color w:val="333333"/>
          <w:sz w:val="16"/>
          <w:szCs w:val="16"/>
        </w:rPr>
        <w:t xml:space="preserve">        x = x.transpose(1, 2)  # (batch, seq, features)</w:t>
      </w:r>
    </w:p>
    <w:p>
      <w:pPr>
        <w:shd w:fill="F5F5F5" w:val="clear"/>
        <w:spacing w:after="0" w:line="220"/>
        <w:ind w:left="360"/>
      </w:pPr>
      <w:r>
        <w:rPr>
          <w:rFonts w:ascii="Courier New" w:cs="Courier New" w:eastAsia="Courier New" w:hAnsi="Courier New"/>
          <w:color w:val="333333"/>
          <w:sz w:val="16"/>
          <w:szCs w:val="16"/>
        </w:rPr>
        <w:t xml:space="preserve">        x, _ = self.lstm1(x)</w:t>
      </w:r>
    </w:p>
    <w:p>
      <w:pPr>
        <w:shd w:fill="F5F5F5" w:val="clear"/>
        <w:spacing w:after="0" w:line="220"/>
        <w:ind w:left="360"/>
      </w:pPr>
      <w:r>
        <w:rPr>
          <w:rFonts w:ascii="Courier New" w:cs="Courier New" w:eastAsia="Courier New" w:hAnsi="Courier New"/>
          <w:color w:val="333333"/>
          <w:sz w:val="16"/>
          <w:szCs w:val="16"/>
        </w:rPr>
        <w:t xml:space="preserve">        x, _ = self.lstm2(x)</w:t>
      </w:r>
    </w:p>
    <w:p>
      <w:pPr>
        <w:shd w:fill="F5F5F5" w:val="clear"/>
        <w:spacing w:after="0" w:line="220"/>
        <w:ind w:left="360"/>
      </w:pPr>
      <w:r>
        <w:rPr>
          <w:rFonts w:ascii="Courier New" w:cs="Courier New" w:eastAsia="Courier New" w:hAnsi="Courier New"/>
          <w:color w:val="333333"/>
          <w:sz w:val="16"/>
          <w:szCs w:val="16"/>
        </w:rPr>
        <w:t xml:space="preserve">        x = x[:, -1, :]  # Last timestep</w:t>
      </w:r>
    </w:p>
    <w:p>
      <w:pPr>
        <w:shd w:fill="F5F5F5" w:val="clear"/>
        <w:spacing w:after="0" w:line="220"/>
        <w:ind w:left="360"/>
      </w:pPr>
      <w:r>
        <w:rPr>
          <w:rFonts w:ascii="Courier New" w:cs="Courier New" w:eastAsia="Courier New" w:hAnsi="Courier New"/>
          <w:color w:val="333333"/>
          <w:sz w:val="16"/>
          <w:szCs w:val="16"/>
        </w:rPr>
        <w:t xml:space="preserve">        fault_logits = self.fc_fault(x)</w:t>
      </w:r>
    </w:p>
    <w:p>
      <w:pPr>
        <w:shd w:fill="F5F5F5" w:val="clear"/>
        <w:spacing w:after="0" w:line="220"/>
        <w:ind w:left="360"/>
      </w:pPr>
      <w:r>
        <w:rPr>
          <w:rFonts w:ascii="Courier New" w:cs="Courier New" w:eastAsia="Courier New" w:hAnsi="Courier New"/>
          <w:color w:val="333333"/>
          <w:sz w:val="16"/>
          <w:szCs w:val="16"/>
        </w:rPr>
        <w:t xml:space="preserve">        action = self.fc_action(x)</w:t>
      </w:r>
    </w:p>
    <w:p>
      <w:pPr>
        <w:shd w:fill="F5F5F5" w:val="clear"/>
        <w:spacing w:after="0" w:line="220"/>
        <w:ind w:left="360"/>
      </w:pPr>
      <w:r>
        <w:rPr>
          <w:rFonts w:ascii="Courier New" w:cs="Courier New" w:eastAsia="Courier New" w:hAnsi="Courier New"/>
          <w:color w:val="333333"/>
          <w:sz w:val="16"/>
          <w:szCs w:val="16"/>
        </w:rPr>
        <w:t xml:space="preserve">        return fault_logits, action</w:t>
      </w:r>
    </w:p>
    <w:p>
      <w:pPr>
        <w:spacing w:after="200"/>
      </w:pPr>
    </w:p>
    <w:p>
      <w:pPr>
        <w:spacing w:after="200" w:before="300" w:line="276"/>
        <w:jc w:val="center"/>
      </w:pPr>
      <w:r>
        <w:rPr>
          <w:rFonts w:ascii="Times New Roman" w:cs="Times New Roman" w:eastAsia="Times New Roman" w:hAnsi="Times New Roman"/>
          <w:b/>
          <w:bCs/>
          <w:color w:val="000000"/>
          <w:sz w:val="22"/>
          <w:szCs w:val="22"/>
        </w:rPr>
        <w:t xml:space="preserve">APPENDIX B</w:t>
      </w:r>
    </w:p>
    <w:p>
      <w:pPr>
        <w:spacing w:after="120" w:line="276"/>
        <w:jc w:val="center"/>
      </w:pPr>
      <w:r>
        <w:rPr>
          <w:rFonts w:ascii="Times New Roman" w:cs="Times New Roman" w:eastAsia="Times New Roman" w:hAnsi="Times New Roman"/>
          <w:i/>
          <w:iCs/>
          <w:color w:val="000000"/>
          <w:sz w:val="20"/>
          <w:szCs w:val="20"/>
        </w:rPr>
        <w:t xml:space="preserve">Hyperparameter Tuning Details</w:t>
      </w:r>
    </w:p>
    <w:p>
      <w:pPr>
        <w:spacing w:after="80" w:line="276"/>
      </w:pPr>
      <w:r>
        <w:rPr>
          <w:rFonts w:ascii="Times New Roman" w:cs="Times New Roman" w:eastAsia="Times New Roman" w:hAnsi="Times New Roman"/>
          <w:color w:val="000000"/>
          <w:sz w:val="20"/>
          <w:szCs w:val="20"/>
        </w:rPr>
        <w:t xml:space="preserve">Table VIII summarizes the hyperparameter search space and the optimal configuration determined via grid search on the IEEE 9-bus validation set.</w:t>
      </w:r>
    </w:p>
    <w:p>
      <w:pPr>
        <w:keepNext/>
        <w:spacing w:after="60" w:before="180" w:line="276"/>
        <w:jc w:val="center"/>
      </w:pPr>
      <w:r>
        <w:rPr>
          <w:rFonts w:ascii="Times New Roman" w:cs="Times New Roman" w:eastAsia="Times New Roman" w:hAnsi="Times New Roman"/>
          <w:b/>
          <w:bCs/>
          <w:color w:val="000000"/>
          <w:sz w:val="18"/>
          <w:szCs w:val="18"/>
        </w:rPr>
        <w:t xml:space="preserve">TABLE VIII</w:t>
      </w:r>
      <w:r>
        <w:rPr>
          <w:rFonts w:ascii="Times New Roman" w:cs="Times New Roman" w:eastAsia="Times New Roman" w:hAnsi="Times New Roman"/>
          <w:color w:val="000000"/>
          <w:sz w:val="18"/>
          <w:szCs w:val="18"/>
        </w:rPr>
        <w:t xml:space="preserve">
Hyperparameter Configuration for System-1</w:t>
      </w:r>
    </w:p>
    <w:tbl>
      <w:tblPr>
        <w:tblW w:type="pct" w:w="100%"/>
        <w:tblBorders>
          <w:top w:val="single" w:color="000000" w:sz="8"/>
          <w:left w:val="none"/>
          <w:bottom w:val="single" w:color="000000" w:sz="4"/>
          <w:right w:val="none"/>
          <w:insideH w:val="single" w:color="000000" w:sz="2"/>
          <w:insideV w:val="none"/>
        </w:tblBorders>
      </w:tblPr>
      <w:tblGrid>
        <w:gridCol w:w="100"/>
        <w:gridCol w:w="100"/>
      </w:tblGrid>
      <w:tr>
        <w:trPr>
          <w:cantSplit/>
          <w:tblHeader/>
        </w:trPr>
        <w:tc>
          <w:tcPr>
            <w:tcW w:type="pct" w:w="35%"/>
            <w:tcBorders>
              <w:top w:val="single" w:color="000000" w:sz="8"/>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color w:val="000000"/>
                <w:sz w:val="17"/>
                <w:szCs w:val="17"/>
              </w:rPr>
              <w:t xml:space="preserve">Hyperparameter</w:t>
            </w:r>
          </w:p>
        </w:tc>
        <w:tc>
          <w:tcPr>
            <w:tcW w:type="pct" w:w="65%"/>
            <w:tcBorders>
              <w:top w:val="single" w:color="000000" w:sz="8"/>
              <w:left w:val="none"/>
              <w:bottom w:val="single" w:color="000000" w:sz="4"/>
              <w:right w:val="none"/>
            </w:tcBorders>
            <w:tcMar>
              <w:top w:type="dxa" w:w="40"/>
              <w:left w:type="dxa" w:w="80"/>
              <w:bottom w:type="dxa" w:w="40"/>
              <w:right w:type="dxa" w:w="80"/>
            </w:tcMar>
          </w:tcPr>
          <w:p>
            <w:pPr>
              <w:jc w:val="center"/>
            </w:pPr>
            <w:r>
              <w:rPr>
                <w:rFonts w:ascii="Times New Roman" w:cs="Times New Roman" w:eastAsia="Times New Roman" w:hAnsi="Times New Roman"/>
                <w:b/>
                <w:bCs/>
                <w:color w:val="000000"/>
                <w:sz w:val="17"/>
                <w:szCs w:val="17"/>
              </w:rPr>
              <w:t xml:space="preserve">Selected Value</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Learning rate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0.001 → 0.0005 → 0.0001 (step decay)</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Batch size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64</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LSTM hidden units</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256 (per layer, 2 layers)</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CNN filters</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64 (first layer) → 128 (second layer)</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Dropout rate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0.2 (LSTM), 0.3 (FC layers)</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Kernel size</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3 (all conv layers)</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Window length</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256 samples (8.5 ms at 30 Hz)</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Training epochs</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50 (early stopping after 5 no-improve)</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Optimizer</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Adam (β₁=0.9, β₂=0.999)</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Loss weights</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λ_action=0.5, λ_L2=1e-5</w:t>
            </w:r>
          </w:p>
        </w:tc>
      </w:tr>
      <w:tr>
        <w:trPr>
          <w:cantSplit/>
        </w:trPr>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Input channels</w:t>
            </w:r>
          </w:p>
        </w:tc>
        <w:tc>
          <w:tcPr>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3 (|V|, |I|, f) per bus</w:t>
            </w:r>
          </w:p>
        </w:tc>
      </w:tr>
      <w:tr>
        <w:trPr>
          <w:cantSplit/>
        </w:trPr>
        <w:tc>
          <w:tcPr>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Augmentation</w:t>
            </w:r>
          </w:p>
        </w:tc>
        <w:tc>
          <w:tcPr>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color w:val="000000"/>
                <w:sz w:val="17"/>
                <w:szCs w:val="17"/>
              </w:rPr>
              <w:t xml:space="preserve">Temporal shift (±10 ms), noise (±1%), scale (±5%)</w:t>
            </w:r>
          </w:p>
        </w:tc>
      </w:tr>
    </w:tbl>
    <w:p>
      <w:pPr>
        <w:spacing w:after="200"/>
      </w:pPr>
    </w:p>
    <w:p>
      <w:pPr>
        <w:spacing w:after="200" w:before="300" w:line="276"/>
        <w:jc w:val="center"/>
      </w:pPr>
      <w:r>
        <w:rPr>
          <w:rFonts w:ascii="Times New Roman" w:cs="Times New Roman" w:eastAsia="Times New Roman" w:hAnsi="Times New Roman"/>
          <w:b/>
          <w:bCs/>
          <w:color w:val="000000"/>
          <w:sz w:val="22"/>
          <w:szCs w:val="22"/>
        </w:rPr>
        <w:t xml:space="preserve">APPENDIX C</w:t>
      </w:r>
    </w:p>
    <w:p>
      <w:pPr>
        <w:spacing w:after="120" w:line="276"/>
        <w:jc w:val="center"/>
      </w:pPr>
      <w:r>
        <w:rPr>
          <w:rFonts w:ascii="Times New Roman" w:cs="Times New Roman" w:eastAsia="Times New Roman" w:hAnsi="Times New Roman"/>
          <w:i/>
          <w:iCs/>
          <w:color w:val="000000"/>
          <w:sz w:val="20"/>
          <w:szCs w:val="20"/>
        </w:rPr>
        <w:t xml:space="preserve">MATLAB/Simulink Implementation Reference</w:t>
      </w:r>
    </w:p>
    <w:p>
      <w:pPr>
        <w:shd w:fill="F5F5F5" w:val="clear"/>
        <w:spacing w:after="0" w:line="220"/>
        <w:ind w:left="360"/>
      </w:pPr>
      <w:r>
        <w:rPr>
          <w:rFonts w:ascii="Courier New" w:cs="Courier New" w:eastAsia="Courier New" w:hAnsi="Courier New"/>
          <w:color w:val="333333"/>
          <w:sz w:val="16"/>
          <w:szCs w:val="16"/>
        </w:rPr>
        <w:t xml:space="preserve">% train_system1_matlab.m</w:t>
      </w:r>
    </w:p>
    <w:p>
      <w:pPr>
        <w:shd w:fill="F5F5F5" w:val="clear"/>
        <w:spacing w:after="0" w:line="220"/>
        <w:ind w:left="360"/>
      </w:pPr>
      <w:r>
        <w:rPr>
          <w:rFonts w:ascii="Courier New" w:cs="Courier New" w:eastAsia="Courier New" w:hAnsi="Courier New"/>
          <w:color w:val="333333"/>
          <w:sz w:val="16"/>
          <w:szCs w:val="16"/>
        </w:rPr>
        <w:t xml:space="preserve">clear all; close all; clc;</w:t>
      </w:r>
    </w:p>
    <w:p>
      <w:pPr>
        <w:shd w:fill="F5F5F5" w:val="clear"/>
        <w:spacing w:after="0" w:line="220"/>
        <w:ind w:left="360"/>
      </w:pPr>
      <w:r>
        <w:rPr>
          <w:rFonts w:ascii="Courier New" w:cs="Courier New" w:eastAsia="Courier New" w:hAnsi="Courier New"/>
          <w:color w:val="333333"/>
          <w:sz w:val="16"/>
          <w:szCs w:val="16"/>
        </w:rPr>
        <w:t xml:space="preserve">% Load IEEE 9-bus synthetic fault data</w:t>
      </w:r>
    </w:p>
    <w:p>
      <w:pPr>
        <w:shd w:fill="F5F5F5" w:val="clear"/>
        <w:spacing w:after="0" w:line="220"/>
        <w:ind w:left="360"/>
      </w:pPr>
      <w:r>
        <w:rPr>
          <w:rFonts w:ascii="Courier New" w:cs="Courier New" w:eastAsia="Courier New" w:hAnsi="Courier New"/>
          <w:color w:val="333333"/>
          <w:sz w:val="16"/>
          <w:szCs w:val="16"/>
        </w:rPr>
        <w:t xml:space="preserve">load('data/IEEE9_faults.mat', 'X_train', 'y_train', ...</w:t>
      </w:r>
    </w:p>
    <w:p>
      <w:pPr>
        <w:shd w:fill="F5F5F5" w:val="clear"/>
        <w:spacing w:after="0" w:line="220"/>
        <w:ind w:left="360"/>
      </w:pPr>
      <w:r>
        <w:rPr>
          <w:rFonts w:ascii="Courier New" w:cs="Courier New" w:eastAsia="Courier New" w:hAnsi="Courier New"/>
          <w:color w:val="333333"/>
          <w:sz w:val="16"/>
          <w:szCs w:val="16"/>
        </w:rPr>
        <w:t xml:space="preserve">     'X_val', 'y_val');</w:t>
      </w:r>
    </w:p>
    <w:p>
      <w:pPr>
        <w:shd w:fill="F5F5F5" w:val="clear"/>
        <w:spacing w:after="0" w:line="220"/>
        <w:ind w:left="360"/>
      </w:pPr>
      <w:r>
        <w:rPr>
          <w:rFonts w:ascii="Courier New" w:cs="Courier New" w:eastAsia="Courier New" w:hAnsi="Courier New"/>
          <w:color w:val="333333"/>
          <w:sz w:val="16"/>
          <w:szCs w:val="16"/>
        </w:rPr>
        <w:t xml:space="preserve">[N, T, C] = size(X_train);</w:t>
      </w:r>
    </w:p>
    <w:p>
      <w:pPr>
        <w:shd w:fill="F5F5F5" w:val="clear"/>
        <w:spacing w:after="0" w:line="220"/>
        <w:ind w:left="360"/>
      </w:pPr>
      <w:r>
        <w:rPr>
          <w:rFonts w:ascii="Courier New" w:cs="Courier New" w:eastAsia="Courier New" w:hAnsi="Courier New"/>
          <w:color w:val="333333"/>
          <w:sz w:val="16"/>
          <w:szCs w:val="16"/>
        </w:rPr>
        <w:t xml:space="preserve">% Normalize per-bus statistics</w:t>
      </w:r>
    </w:p>
    <w:p>
      <w:pPr>
        <w:shd w:fill="F5F5F5" w:val="clear"/>
        <w:spacing w:after="0" w:line="220"/>
        <w:ind w:left="360"/>
      </w:pPr>
      <w:r>
        <w:rPr>
          <w:rFonts w:ascii="Courier New" w:cs="Courier New" w:eastAsia="Courier New" w:hAnsi="Courier New"/>
          <w:color w:val="333333"/>
          <w:sz w:val="16"/>
          <w:szCs w:val="16"/>
        </w:rPr>
        <w:t xml:space="preserve">X_mean = mean(X_train, [1 2]);</w:t>
      </w:r>
    </w:p>
    <w:p>
      <w:pPr>
        <w:shd w:fill="F5F5F5" w:val="clear"/>
        <w:spacing w:after="0" w:line="220"/>
        <w:ind w:left="360"/>
      </w:pPr>
      <w:r>
        <w:rPr>
          <w:rFonts w:ascii="Courier New" w:cs="Courier New" w:eastAsia="Courier New" w:hAnsi="Courier New"/>
          <w:color w:val="333333"/>
          <w:sz w:val="16"/>
          <w:szCs w:val="16"/>
        </w:rPr>
        <w:t xml:space="preserve">X_std = std(X_train, [], [1 2]);</w:t>
      </w:r>
    </w:p>
    <w:p>
      <w:pPr>
        <w:shd w:fill="F5F5F5" w:val="clear"/>
        <w:spacing w:after="0" w:line="220"/>
        <w:ind w:left="360"/>
      </w:pPr>
      <w:r>
        <w:rPr>
          <w:rFonts w:ascii="Courier New" w:cs="Courier New" w:eastAsia="Courier New" w:hAnsi="Courier New"/>
          <w:color w:val="333333"/>
          <w:sz w:val="16"/>
          <w:szCs w:val="16"/>
        </w:rPr>
        <w:t xml:space="preserve">X_train = (X_train - X_mean) ./ X_std;</w:t>
      </w:r>
    </w:p>
    <w:p>
      <w:pPr>
        <w:shd w:fill="F5F5F5" w:val="clear"/>
        <w:spacing w:after="0" w:line="220"/>
        <w:ind w:left="360"/>
      </w:pPr>
      <w:r>
        <w:rPr>
          <w:rFonts w:ascii="Courier New" w:cs="Courier New" w:eastAsia="Courier New" w:hAnsi="Courier New"/>
          <w:color w:val="333333"/>
          <w:sz w:val="16"/>
          <w:szCs w:val="16"/>
        </w:rPr>
        <w:t xml:space="preserve">X_val = (X_val - X_mean) ./ X_std;</w:t>
      </w:r>
    </w:p>
    <w:p>
      <w:pPr>
        <w:shd w:fill="F5F5F5" w:val="clear"/>
        <w:spacing w:after="0" w:line="220"/>
        <w:ind w:left="360"/>
      </w:pPr>
      <w:r>
        <w:rPr>
          <w:rFonts w:ascii="Courier New" w:cs="Courier New" w:eastAsia="Courier New" w:hAnsi="Courier New"/>
          <w:color w:val="333333"/>
          <w:sz w:val="16"/>
          <w:szCs w:val="16"/>
        </w:rPr>
        <w:t xml:space="preserve">% Define network layers</w:t>
      </w:r>
    </w:p>
    <w:p>
      <w:pPr>
        <w:shd w:fill="F5F5F5" w:val="clear"/>
        <w:spacing w:after="0" w:line="220"/>
        <w:ind w:left="360"/>
      </w:pPr>
      <w:r>
        <w:rPr>
          <w:rFonts w:ascii="Courier New" w:cs="Courier New" w:eastAsia="Courier New" w:hAnsi="Courier New"/>
          <w:color w:val="333333"/>
          <w:sz w:val="16"/>
          <w:szCs w:val="16"/>
        </w:rPr>
        <w:t xml:space="preserve">layers = [</w:t>
      </w:r>
    </w:p>
    <w:p>
      <w:pPr>
        <w:shd w:fill="F5F5F5" w:val="clear"/>
        <w:spacing w:after="0" w:line="220"/>
        <w:ind w:left="360"/>
      </w:pPr>
      <w:r>
        <w:rPr>
          <w:rFonts w:ascii="Courier New" w:cs="Courier New" w:eastAsia="Courier New" w:hAnsi="Courier New"/>
          <w:color w:val="333333"/>
          <w:sz w:val="16"/>
          <w:szCs w:val="16"/>
        </w:rPr>
        <w:t xml:space="preserve">    sequenceInputLayer(C)</w:t>
      </w:r>
    </w:p>
    <w:p>
      <w:pPr>
        <w:shd w:fill="F5F5F5" w:val="clear"/>
        <w:spacing w:after="0" w:line="220"/>
        <w:ind w:left="360"/>
      </w:pPr>
      <w:r>
        <w:rPr>
          <w:rFonts w:ascii="Courier New" w:cs="Courier New" w:eastAsia="Courier New" w:hAnsi="Courier New"/>
          <w:color w:val="333333"/>
          <w:sz w:val="16"/>
          <w:szCs w:val="16"/>
        </w:rPr>
        <w:t xml:space="preserve">    convolution1dLayer(3, 64, 'Padding', 1)</w:t>
      </w:r>
    </w:p>
    <w:p>
      <w:pPr>
        <w:shd w:fill="F5F5F5" w:val="clear"/>
        <w:spacing w:after="0" w:line="220"/>
        <w:ind w:left="360"/>
      </w:pPr>
      <w:r>
        <w:rPr>
          <w:rFonts w:ascii="Courier New" w:cs="Courier New" w:eastAsia="Courier New" w:hAnsi="Courier New"/>
          <w:color w:val="333333"/>
          <w:sz w:val="16"/>
          <w:szCs w:val="16"/>
        </w:rPr>
        <w:t xml:space="preserve">    reluLayer</w:t>
      </w:r>
    </w:p>
    <w:p>
      <w:pPr>
        <w:shd w:fill="F5F5F5" w:val="clear"/>
        <w:spacing w:after="0" w:line="220"/>
        <w:ind w:left="360"/>
      </w:pPr>
      <w:r>
        <w:rPr>
          <w:rFonts w:ascii="Courier New" w:cs="Courier New" w:eastAsia="Courier New" w:hAnsi="Courier New"/>
          <w:color w:val="333333"/>
          <w:sz w:val="16"/>
          <w:szCs w:val="16"/>
        </w:rPr>
        <w:t xml:space="preserve">    maxPooling1dLayer(2)</w:t>
      </w:r>
    </w:p>
    <w:p>
      <w:pPr>
        <w:shd w:fill="F5F5F5" w:val="clear"/>
        <w:spacing w:after="0" w:line="220"/>
        <w:ind w:left="360"/>
      </w:pPr>
      <w:r>
        <w:rPr>
          <w:rFonts w:ascii="Courier New" w:cs="Courier New" w:eastAsia="Courier New" w:hAnsi="Courier New"/>
          <w:color w:val="333333"/>
          <w:sz w:val="16"/>
          <w:szCs w:val="16"/>
        </w:rPr>
        <w:t xml:space="preserve">    convolution1dLayer(3, 128, 'Padding', 1)</w:t>
      </w:r>
    </w:p>
    <w:p>
      <w:pPr>
        <w:shd w:fill="F5F5F5" w:val="clear"/>
        <w:spacing w:after="0" w:line="220"/>
        <w:ind w:left="360"/>
      </w:pPr>
      <w:r>
        <w:rPr>
          <w:rFonts w:ascii="Courier New" w:cs="Courier New" w:eastAsia="Courier New" w:hAnsi="Courier New"/>
          <w:color w:val="333333"/>
          <w:sz w:val="16"/>
          <w:szCs w:val="16"/>
        </w:rPr>
        <w:t xml:space="preserve">    reluLayer</w:t>
      </w:r>
    </w:p>
    <w:p>
      <w:pPr>
        <w:shd w:fill="F5F5F5" w:val="clear"/>
        <w:spacing w:after="0" w:line="220"/>
        <w:ind w:left="360"/>
      </w:pPr>
      <w:r>
        <w:rPr>
          <w:rFonts w:ascii="Courier New" w:cs="Courier New" w:eastAsia="Courier New" w:hAnsi="Courier New"/>
          <w:color w:val="333333"/>
          <w:sz w:val="16"/>
          <w:szCs w:val="16"/>
        </w:rPr>
        <w:t xml:space="preserve">    maxPooling1dLayer(2)</w:t>
      </w:r>
    </w:p>
    <w:p>
      <w:pPr>
        <w:shd w:fill="F5F5F5" w:val="clear"/>
        <w:spacing w:after="0" w:line="220"/>
        <w:ind w:left="360"/>
      </w:pPr>
      <w:r>
        <w:rPr>
          <w:rFonts w:ascii="Courier New" w:cs="Courier New" w:eastAsia="Courier New" w:hAnsi="Courier New"/>
          <w:color w:val="333333"/>
          <w:sz w:val="16"/>
          <w:szCs w:val="16"/>
        </w:rPr>
        <w:t xml:space="preserve">    lstmLayer(256, 'OutputMode', 'sequence')</w:t>
      </w:r>
    </w:p>
    <w:p>
      <w:pPr>
        <w:shd w:fill="F5F5F5" w:val="clear"/>
        <w:spacing w:after="0" w:line="220"/>
        <w:ind w:left="360"/>
      </w:pPr>
      <w:r>
        <w:rPr>
          <w:rFonts w:ascii="Courier New" w:cs="Courier New" w:eastAsia="Courier New" w:hAnsi="Courier New"/>
          <w:color w:val="333333"/>
          <w:sz w:val="16"/>
          <w:szCs w:val="16"/>
        </w:rPr>
        <w:t xml:space="preserve">    dropoutLayer(0.2)</w:t>
      </w:r>
    </w:p>
    <w:p>
      <w:pPr>
        <w:shd w:fill="F5F5F5" w:val="clear"/>
        <w:spacing w:after="0" w:line="220"/>
        <w:ind w:left="360"/>
      </w:pPr>
      <w:r>
        <w:rPr>
          <w:rFonts w:ascii="Courier New" w:cs="Courier New" w:eastAsia="Courier New" w:hAnsi="Courier New"/>
          <w:color w:val="333333"/>
          <w:sz w:val="16"/>
          <w:szCs w:val="16"/>
        </w:rPr>
        <w:t xml:space="preserve">    lstmLayer(256, 'OutputMode', 'last')</w:t>
      </w:r>
    </w:p>
    <w:p>
      <w:pPr>
        <w:shd w:fill="F5F5F5" w:val="clear"/>
        <w:spacing w:after="0" w:line="220"/>
        <w:ind w:left="360"/>
      </w:pPr>
      <w:r>
        <w:rPr>
          <w:rFonts w:ascii="Courier New" w:cs="Courier New" w:eastAsia="Courier New" w:hAnsi="Courier New"/>
          <w:color w:val="333333"/>
          <w:sz w:val="16"/>
          <w:szCs w:val="16"/>
        </w:rPr>
        <w:t xml:space="preserve">    dropoutLayer(0.2)</w:t>
      </w:r>
    </w:p>
    <w:p>
      <w:pPr>
        <w:shd w:fill="F5F5F5" w:val="clear"/>
        <w:spacing w:after="0" w:line="220"/>
        <w:ind w:left="360"/>
      </w:pPr>
      <w:r>
        <w:rPr>
          <w:rFonts w:ascii="Courier New" w:cs="Courier New" w:eastAsia="Courier New" w:hAnsi="Courier New"/>
          <w:color w:val="333333"/>
          <w:sz w:val="16"/>
          <w:szCs w:val="16"/>
        </w:rPr>
        <w:t xml:space="preserve">    fullyConnectedLayer(128)</w:t>
      </w:r>
    </w:p>
    <w:p>
      <w:pPr>
        <w:shd w:fill="F5F5F5" w:val="clear"/>
        <w:spacing w:after="0" w:line="220"/>
        <w:ind w:left="360"/>
      </w:pPr>
      <w:r>
        <w:rPr>
          <w:rFonts w:ascii="Courier New" w:cs="Courier New" w:eastAsia="Courier New" w:hAnsi="Courier New"/>
          <w:color w:val="333333"/>
          <w:sz w:val="16"/>
          <w:szCs w:val="16"/>
        </w:rPr>
        <w:t xml:space="preserve">    reluLayer</w:t>
      </w:r>
    </w:p>
    <w:p>
      <w:pPr>
        <w:shd w:fill="F5F5F5" w:val="clear"/>
        <w:spacing w:after="0" w:line="220"/>
        <w:ind w:left="360"/>
      </w:pPr>
      <w:r>
        <w:rPr>
          <w:rFonts w:ascii="Courier New" w:cs="Courier New" w:eastAsia="Courier New" w:hAnsi="Courier New"/>
          <w:color w:val="333333"/>
          <w:sz w:val="16"/>
          <w:szCs w:val="16"/>
        </w:rPr>
        <w:t xml:space="preserve">    dropoutLayer(0.3)</w:t>
      </w:r>
    </w:p>
    <w:p>
      <w:pPr>
        <w:shd w:fill="F5F5F5" w:val="clear"/>
        <w:spacing w:after="0" w:line="220"/>
        <w:ind w:left="360"/>
      </w:pPr>
      <w:r>
        <w:rPr>
          <w:rFonts w:ascii="Courier New" w:cs="Courier New" w:eastAsia="Courier New" w:hAnsi="Courier New"/>
          <w:color w:val="333333"/>
          <w:sz w:val="16"/>
          <w:szCs w:val="16"/>
        </w:rPr>
        <w:t xml:space="preserve">    fullyConnectedLayer(7)</w:t>
      </w:r>
    </w:p>
    <w:p>
      <w:pPr>
        <w:shd w:fill="F5F5F5" w:val="clear"/>
        <w:spacing w:after="0" w:line="220"/>
        <w:ind w:left="360"/>
      </w:pPr>
      <w:r>
        <w:rPr>
          <w:rFonts w:ascii="Courier New" w:cs="Courier New" w:eastAsia="Courier New" w:hAnsi="Courier New"/>
          <w:color w:val="333333"/>
          <w:sz w:val="16"/>
          <w:szCs w:val="16"/>
        </w:rPr>
        <w:t xml:space="preserve">    softmaxLayer</w:t>
      </w:r>
    </w:p>
    <w:p>
      <w:pPr>
        <w:shd w:fill="F5F5F5" w:val="clear"/>
        <w:spacing w:after="0" w:line="220"/>
        <w:ind w:left="360"/>
      </w:pPr>
      <w:r>
        <w:rPr>
          <w:rFonts w:ascii="Courier New" w:cs="Courier New" w:eastAsia="Courier New" w:hAnsi="Courier New"/>
          <w:color w:val="333333"/>
          <w:sz w:val="16"/>
          <w:szCs w:val="16"/>
        </w:rPr>
        <w:t xml:space="preserve">    classificationLayer</w:t>
      </w:r>
    </w:p>
    <w:p>
      <w:pPr>
        <w:shd w:fill="F5F5F5" w:val="clear"/>
        <w:spacing w:after="0" w:line="220"/>
        <w:ind w:left="360"/>
      </w:pPr>
      <w:r>
        <w:rPr>
          <w:rFonts w:ascii="Courier New" w:cs="Courier New" w:eastAsia="Courier New" w:hAnsi="Courier New"/>
          <w:color w:val="333333"/>
          <w:sz w:val="16"/>
          <w:szCs w:val="16"/>
        </w:rPr>
        <w:t xml:space="preserve">];</w:t>
      </w:r>
    </w:p>
    <w:p>
      <w:pPr>
        <w:shd w:fill="F5F5F5" w:val="clear"/>
        <w:spacing w:after="0" w:line="220"/>
        <w:ind w:left="360"/>
      </w:pPr>
      <w:r>
        <w:rPr>
          <w:rFonts w:ascii="Courier New" w:cs="Courier New" w:eastAsia="Courier New" w:hAnsi="Courier New"/>
          <w:color w:val="333333"/>
          <w:sz w:val="16"/>
          <w:szCs w:val="16"/>
        </w:rPr>
        <w:t xml:space="preserve">% Training options</w:t>
      </w:r>
    </w:p>
    <w:p>
      <w:pPr>
        <w:shd w:fill="F5F5F5" w:val="clear"/>
        <w:spacing w:after="0" w:line="220"/>
        <w:ind w:left="360"/>
      </w:pPr>
      <w:r>
        <w:rPr>
          <w:rFonts w:ascii="Courier New" w:cs="Courier New" w:eastAsia="Courier New" w:hAnsi="Courier New"/>
          <w:color w:val="333333"/>
          <w:sz w:val="16"/>
          <w:szCs w:val="16"/>
        </w:rPr>
        <w:t xml:space="preserve">options = trainingOptions('adam', ...</w:t>
      </w:r>
    </w:p>
    <w:p>
      <w:pPr>
        <w:shd w:fill="F5F5F5" w:val="clear"/>
        <w:spacing w:after="0" w:line="220"/>
        <w:ind w:left="360"/>
      </w:pPr>
      <w:r>
        <w:rPr>
          <w:rFonts w:ascii="Courier New" w:cs="Courier New" w:eastAsia="Courier New" w:hAnsi="Courier New"/>
          <w:color w:val="333333"/>
          <w:sz w:val="16"/>
          <w:szCs w:val="16"/>
        </w:rPr>
        <w:t xml:space="preserve">    'MaxEpochs', 50, ...</w:t>
      </w:r>
    </w:p>
    <w:p>
      <w:pPr>
        <w:shd w:fill="F5F5F5" w:val="clear"/>
        <w:spacing w:after="0" w:line="220"/>
        <w:ind w:left="360"/>
      </w:pPr>
      <w:r>
        <w:rPr>
          <w:rFonts w:ascii="Courier New" w:cs="Courier New" w:eastAsia="Courier New" w:hAnsi="Courier New"/>
          <w:color w:val="333333"/>
          <w:sz w:val="16"/>
          <w:szCs w:val="16"/>
        </w:rPr>
        <w:t xml:space="preserve">    'MiniBatchSize', 64, ...</w:t>
      </w:r>
    </w:p>
    <w:p>
      <w:pPr>
        <w:shd w:fill="F5F5F5" w:val="clear"/>
        <w:spacing w:after="0" w:line="220"/>
        <w:ind w:left="360"/>
      </w:pPr>
      <w:r>
        <w:rPr>
          <w:rFonts w:ascii="Courier New" w:cs="Courier New" w:eastAsia="Courier New" w:hAnsi="Courier New"/>
          <w:color w:val="333333"/>
          <w:sz w:val="16"/>
          <w:szCs w:val="16"/>
        </w:rPr>
        <w:t xml:space="preserve">    'ValidationData', {X_val, categorical(y_val)}, ...</w:t>
      </w:r>
    </w:p>
    <w:p>
      <w:pPr>
        <w:shd w:fill="F5F5F5" w:val="clear"/>
        <w:spacing w:after="0" w:line="220"/>
        <w:ind w:left="360"/>
      </w:pPr>
      <w:r>
        <w:rPr>
          <w:rFonts w:ascii="Courier New" w:cs="Courier New" w:eastAsia="Courier New" w:hAnsi="Courier New"/>
          <w:color w:val="333333"/>
          <w:sz w:val="16"/>
          <w:szCs w:val="16"/>
        </w:rPr>
        <w:t xml:space="preserve">    'Verbose', true, ...</w:t>
      </w:r>
    </w:p>
    <w:p>
      <w:pPr>
        <w:shd w:fill="F5F5F5" w:val="clear"/>
        <w:spacing w:after="0" w:line="220"/>
        <w:ind w:left="360"/>
      </w:pPr>
      <w:r>
        <w:rPr>
          <w:rFonts w:ascii="Courier New" w:cs="Courier New" w:eastAsia="Courier New" w:hAnsi="Courier New"/>
          <w:color w:val="333333"/>
          <w:sz w:val="16"/>
          <w:szCs w:val="16"/>
        </w:rPr>
        <w:t xml:space="preserve">    'Plots', 'training-progress');</w:t>
      </w:r>
    </w:p>
    <w:p>
      <w:pPr>
        <w:shd w:fill="F5F5F5" w:val="clear"/>
        <w:spacing w:after="0" w:line="220"/>
        <w:ind w:left="360"/>
      </w:pPr>
      <w:r>
        <w:rPr>
          <w:rFonts w:ascii="Courier New" w:cs="Courier New" w:eastAsia="Courier New" w:hAnsi="Courier New"/>
          <w:color w:val="333333"/>
          <w:sz w:val="16"/>
          <w:szCs w:val="16"/>
        </w:rPr>
        <w:t xml:space="preserve">% Train</w:t>
      </w:r>
    </w:p>
    <w:p>
      <w:pPr>
        <w:shd w:fill="F5F5F5" w:val="clear"/>
        <w:spacing w:after="0" w:line="220"/>
        <w:ind w:left="360"/>
      </w:pPr>
      <w:r>
        <w:rPr>
          <w:rFonts w:ascii="Courier New" w:cs="Courier New" w:eastAsia="Courier New" w:hAnsi="Courier New"/>
          <w:color w:val="333333"/>
          <w:sz w:val="16"/>
          <w:szCs w:val="16"/>
        </w:rPr>
        <w:t xml:space="preserve">net = trainNetwork(X_train, categorical(y_train), ...</w:t>
      </w:r>
    </w:p>
    <w:p>
      <w:pPr>
        <w:shd w:fill="F5F5F5" w:val="clear"/>
        <w:spacing w:after="0" w:line="220"/>
        <w:ind w:left="360"/>
      </w:pPr>
      <w:r>
        <w:rPr>
          <w:rFonts w:ascii="Courier New" w:cs="Courier New" w:eastAsia="Courier New" w:hAnsi="Courier New"/>
          <w:color w:val="333333"/>
          <w:sz w:val="16"/>
          <w:szCs w:val="16"/>
        </w:rPr>
        <w:t xml:space="preserve">                    layers, options);</w:t>
      </w:r>
    </w:p>
    <w:p>
      <w:pPr>
        <w:shd w:fill="F5F5F5" w:val="clear"/>
        <w:spacing w:after="0" w:line="220"/>
        <w:ind w:left="360"/>
      </w:pPr>
      <w:r>
        <w:rPr>
          <w:rFonts w:ascii="Courier New" w:cs="Courier New" w:eastAsia="Courier New" w:hAnsi="Courier New"/>
          <w:color w:val="333333"/>
          <w:sz w:val="16"/>
          <w:szCs w:val="16"/>
        </w:rPr>
        <w:t xml:space="preserve">save('models/system1_matlab.mat', 'net');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3333"/>
        <w:sz w:val="18"/>
        <w:szCs w:val="18"/>
      </w:rPr>
      <w:t xml:space="preserve">(</w:t>
    </w:r>
    <w:r>
      <w:rPr>
        <w:rFonts w:ascii="Times New Roman" w:cs="Times New Roman" w:eastAsia="Times New Roman" w:hAnsi="Times New Roman"/>
        <w:color w:val="333333"/>
        <w:sz w:val="18"/>
        <w:szCs w:val="18"/>
      </w:rPr>
      <w:fldChar w:fldCharType="begin"/>
      <w:instrText xml:space="preserve">PAGE</w:instrText>
      <w:fldChar w:fldCharType="separate"/>
      <w:fldChar w:fldCharType="end"/>
    </w:r>
    <w:r>
      <w:rPr>
        <w:rFonts w:ascii="Times New Roman" w:cs="Times New Roman" w:eastAsia="Times New Roman" w:hAnsi="Times New Roman"/>
        <w:color w:val="333333"/>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s="Times New Roman" w:eastAsia="Times New Roman" w:hAnsi="Times New Roman"/>
        <w:color w:val="333333"/>
        <w:sz w:val="16"/>
        <w:szCs w:val="16"/>
      </w:rPr>
      <w:t xml:space="preserve">IEEE TRANSACTIONS ON POWER DELIVERY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00" w:line="276"/>
      <w:jc w:val="center"/>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after="120" w:before="200" w:line="276"/>
    </w:pPr>
    <w:rPr>
      <w:rFonts w:ascii="Times New Roman" w:cs="Times New Roman" w:eastAsia="Times New Roman" w:hAnsi="Times New Roman"/>
      <w:b/>
      <w:bCs/>
      <w:color w:val="000000"/>
      <w:sz w:val="20"/>
      <w:szCs w:val="20"/>
    </w:rPr>
  </w:style>
  <w:style w:type="paragraph" w:styleId="Heading3">
    <w:name w:val="Heading 3"/>
    <w:basedOn w:val="Normal"/>
    <w:next w:val="Normal"/>
    <w:qFormat/>
    <w:pPr>
      <w:spacing w:after="80" w:before="160" w:line="276"/>
    </w:pPr>
    <w:rPr>
      <w:rFonts w:ascii="Times New Roman" w:cs="Times New Roman" w:eastAsia="Times New Roman" w:hAnsi="Times New Roman"/>
      <w:b/>
      <w:bCs/>
      <w:color w:val="000000"/>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2026-07-16T01:14:40.225Z</dcterms:created>
  <dcterms:modified xsi:type="dcterms:W3CDTF">2026-07-16T01:14:40.225Z</dcterms:modified>
</cp:coreProperties>
</file>

<file path=docProps/custom.xml><?xml version="1.0" encoding="utf-8"?>
<Properties xmlns="http://schemas.openxmlformats.org/officeDocument/2006/custom-properties" xmlns:vt="http://schemas.openxmlformats.org/officeDocument/2006/docPropsVTypes"/>
</file>