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Change Log</w:t>
      </w:r>
    </w:p>
    <w:p>
      <w:pPr>
        <w:pStyle w:val="Subtitle"/>
      </w:pPr>
      <w:r>
        <w:t>Event and Ticket Management Platform</w:t>
      </w:r>
    </w:p>
    <w:p>
      <w:pPr>
        <w:pStyle w:val="BodyText"/>
      </w:pPr>
      <w:r>
        <w:t>Author, Taha Khan.</w:t>
      </w:r>
    </w:p>
    <w:p>
      <w:pPr>
        <w:pStyle w:val="BodyText"/>
      </w:pPr>
      <w:r>
        <w:t>Date, 14 May 2026.</w:t>
      </w:r>
    </w:p>
    <w:p>
      <w:pPr>
        <w:pStyle w:val="BodyText"/>
      </w:pPr>
      <w:r>
        <w:t>Version, 1.0.</w:t>
      </w:r>
    </w:p>
    <w:p>
      <w:pPr>
        <w:pStyle w:val="BodyText"/>
      </w:pPr>
      <w:r>
        <w:t>Status, ready for review.</w:t>
      </w:r>
    </w:p>
    <w:p>
      <w:pPr>
        <w:pStyle w:val="BodyText"/>
      </w:pPr>
      <w:r>
        <w:t>Companion document to the Software Requirements Specification, version 1.0.</w:t>
      </w:r>
    </w:p>
    <w:p>
      <w:pPr>
        <w:pStyle w:val="Heading1"/>
      </w:pPr>
      <w:r>
        <w:t>Document control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7E6E6"/>
          </w:tcPr>
          <w:p>
            <w:r>
              <w:rPr>
                <w:b/>
              </w:rPr>
              <w:t>Version</w:t>
            </w:r>
          </w:p>
        </w:tc>
        <w:tc>
          <w:tcPr>
            <w:tcW w:type="dxa" w:w="2340"/>
            <w:shd w:val="clear" w:color="auto" w:fill="E7E6E6"/>
          </w:tcPr>
          <w:p>
            <w:r>
              <w:rPr>
                <w:b/>
              </w:rPr>
              <w:t>Date</w:t>
            </w:r>
          </w:p>
        </w:tc>
        <w:tc>
          <w:tcPr>
            <w:tcW w:type="dxa" w:w="2340"/>
            <w:shd w:val="clear" w:color="auto" w:fill="E7E6E6"/>
          </w:tcPr>
          <w:p>
            <w:r>
              <w:rPr>
                <w:b/>
              </w:rPr>
              <w:t>Author</w:t>
            </w:r>
          </w:p>
        </w:tc>
        <w:tc>
          <w:tcPr>
            <w:tcW w:type="dxa" w:w="2340"/>
            <w:shd w:val="clear" w:color="auto" w:fill="E7E6E6"/>
          </w:tcPr>
          <w:p>
            <w:r>
              <w:rPr>
                <w:b/>
              </w:rPr>
              <w:t>Nature of change</w:t>
            </w:r>
          </w:p>
        </w:tc>
      </w:tr>
      <w:tr>
        <w:tc>
          <w:tcPr>
            <w:tcW w:type="dxa" w:w="2340"/>
          </w:tcPr>
          <w:p>
            <w:r>
              <w:t>1.0</w:t>
            </w:r>
          </w:p>
        </w:tc>
        <w:tc>
          <w:tcPr>
            <w:tcW w:type="dxa" w:w="2340"/>
          </w:tcPr>
          <w:p>
            <w:r>
              <w:t>14 May 2026</w:t>
            </w:r>
          </w:p>
        </w:tc>
        <w:tc>
          <w:tcPr>
            <w:tcW w:type="dxa" w:w="2340"/>
          </w:tcPr>
          <w:p>
            <w:r>
              <w:t>Taha Khan</w:t>
            </w:r>
          </w:p>
        </w:tc>
        <w:tc>
          <w:tcPr>
            <w:tcW w:type="dxa" w:w="2340"/>
          </w:tcPr>
          <w:p>
            <w:r>
              <w:t>Initial issue covering CR-A, CR-B, CR-D</w:t>
            </w:r>
          </w:p>
        </w:tc>
      </w:tr>
    </w:tbl>
    <w:p>
      <w:pPr>
        <w:pStyle w:val="Heading1"/>
      </w:pPr>
      <w:r>
        <w:t>Table of contents</w:t>
      </w:r>
    </w:p>
    <w:p>
      <w:pPr>
        <w:pStyle w:val="BodyText"/>
      </w:pPr>
      <w:r>
        <w:t>Chapter 1. Background and rationale</w:t>
      </w:r>
    </w:p>
    <w:p>
      <w:pPr>
        <w:pStyle w:val="BodyText"/>
      </w:pPr>
      <w:r>
        <w:t>Chapter 2. Summary of the change batch</w:t>
      </w:r>
    </w:p>
    <w:p>
      <w:pPr>
        <w:pStyle w:val="BodyText"/>
      </w:pPr>
      <w:r>
        <w:t>Chapter 3. CR-A, organiser by application</w:t>
      </w:r>
    </w:p>
    <w:p>
      <w:pPr>
        <w:pStyle w:val="BodyText"/>
      </w:pPr>
      <w:r>
        <w:t>Chapter 4. CR-B, per user notification preferences</w:t>
      </w:r>
    </w:p>
    <w:p>
      <w:pPr>
        <w:pStyle w:val="BodyText"/>
      </w:pPr>
      <w:r>
        <w:t>Chapter 5. CR-D, currency and free events</w:t>
      </w:r>
    </w:p>
    <w:p>
      <w:pPr>
        <w:pStyle w:val="BodyText"/>
      </w:pPr>
      <w:r>
        <w:t>Chapter 6. Affected entities and schema deltas</w:t>
      </w:r>
    </w:p>
    <w:p>
      <w:pPr>
        <w:pStyle w:val="BodyText"/>
      </w:pPr>
      <w:r>
        <w:t>Chapter 7. Affected screens and routes</w:t>
      </w:r>
    </w:p>
    <w:p>
      <w:pPr>
        <w:pStyle w:val="BodyText"/>
      </w:pPr>
      <w:r>
        <w:t>Chapter 8. Affected API surface</w:t>
      </w:r>
    </w:p>
    <w:p>
      <w:pPr>
        <w:pStyle w:val="BodyText"/>
      </w:pPr>
      <w:r>
        <w:t>Chapter 9. Out of scope and future tier removal checklist</w:t>
      </w:r>
    </w:p>
    <w:p>
      <w:pPr>
        <w:pStyle w:val="BodyText"/>
      </w:pPr>
      <w:r>
        <w:t>Chapter 10. Verification record</w:t>
      </w:r>
    </w:p>
    <w:p>
      <w:pPr>
        <w:pStyle w:val="BodyText"/>
      </w:pPr>
      <w:r>
        <w:t>Appendix A. Mermaid diagram sources</w:t>
      </w:r>
    </w:p>
    <w:p>
      <w:pPr>
        <w:pStyle w:val="Heading1"/>
      </w:pPr>
      <w:r>
        <w:t>Chapter 1. Background and rationale</w:t>
      </w:r>
    </w:p>
    <w:p>
      <w:pPr>
        <w:pStyle w:val="Heading2"/>
      </w:pPr>
      <w:r>
        <w:t>1.1 Why this change batch was raised</w:t>
      </w:r>
    </w:p>
    <w:p>
      <w:pPr>
        <w:pStyle w:val="BodyText"/>
      </w:pPr>
      <w:r>
        <w:t>The first cut of the platform assumed paid events from day one. Organisers would list events at a chosen price, customers would pay through Stripe, and the platform would earn through the application fee. The plan held together as a technical design; it did not hold together as a launch plan.</w:t>
      </w:r>
    </w:p>
    <w:p>
      <w:pPr>
        <w:pStyle w:val="BodyText"/>
      </w:pPr>
      <w:r>
        <w:t>The product owner raised the concern in plain terms. No one will trust a new ticketing platform with their card details on day one; no one will pay an application fee to a brand they have never heard of; and no organiser will host a paid event on a venue with zero traffic. The way out is the same way out that every two sided marketplace has taken before us. Make the platform popular first, then charge.</w:t>
      </w:r>
    </w:p>
    <w:p>
      <w:pPr>
        <w:pStyle w:val="BodyText"/>
      </w:pPr>
      <w:r>
        <w:t>This change batch repositions the platform for that first phase. Every version one event is free for the customer; organisers are vetted by a human before they can post; and the customer can decide which emails they want to keep receiving. The paid events tier remains on the roadmap and the code path that will charge for it is already in place, sitting behind a single conditional branch.</w:t>
      </w:r>
    </w:p>
    <w:p>
      <w:pPr>
        <w:pStyle w:val="Heading2"/>
      </w:pPr>
      <w:r>
        <w:t>1.2 Business scenario in one paragraph</w:t>
      </w:r>
    </w:p>
    <w:p>
      <w:pPr>
        <w:pStyle w:val="BodyText"/>
      </w:pPr>
      <w:r>
        <w:t>EventHub launches as a free events promotion platform for virtual meetings, universities, and seminars. The customer signs up, browses, and books at no cost. The organiser is admitted by an administrator after submitting an application form along with a snapshot of their identity or payment receipt. The administrator reviews the snapshot and approves or rejects the application with a written reason. The platform earns trust through curation rather than through transactional revenue. When the audience is large enough to make paid events viable, the organiser side is unlocked by removing a single validation gate and re enabling two disabled form inputs.</w:t>
      </w:r>
    </w:p>
    <w:p>
      <w:pPr>
        <w:pStyle w:val="Heading2"/>
      </w:pPr>
      <w:r>
        <w:t>1.3 What the change batch deliberately does not do</w:t>
      </w:r>
    </w:p>
    <w:p>
      <w:pPr>
        <w:pStyle w:val="ListBullet"/>
      </w:pPr>
      <w:r>
        <w:t>Integrate a real payment gateway. The mock payment strategy remains in place. The Stripe wiring will be added when the paid events tier ships.</w:t>
      </w:r>
    </w:p>
    <w:p>
      <w:pPr>
        <w:pStyle w:val="ListBullet"/>
      </w:pPr>
      <w:r>
        <w:t>Allow paid events in the user interface. The ticket price input and the refund deadline input are rendered, but they are disabled with a small note that explains the reason. The currency selector is active because organisers should still pick the currency that will apply when paid events arrive.</w:t>
      </w:r>
    </w:p>
    <w:p>
      <w:pPr>
        <w:pStyle w:val="ListBullet"/>
      </w:pPr>
      <w:r>
        <w:t>Allow customers to apply again after a rejection. Version one rejects are final. The applicant may contact the administrator off platform.</w:t>
      </w:r>
    </w:p>
    <w:p>
      <w:pPr>
        <w:pStyle w:val="ListBullet"/>
      </w:pPr>
      <w:r>
        <w:t>Edit currency or refund deadline on an existing event. Those fields are set at creation time only.</w:t>
      </w:r>
    </w:p>
    <w:p>
      <w:pPr>
        <w:pStyle w:val="Heading1"/>
      </w:pPr>
      <w:r>
        <w:t>Chapter 2. Summary of the change batch</w:t>
      </w:r>
    </w:p>
    <w:p>
      <w:pPr>
        <w:pStyle w:val="BodyText"/>
      </w:pPr>
      <w:r>
        <w:t>Three change requests were bundled into a single batch because they share architectural scaffolding and were intended to ship together. The table below summarises each.</w:t>
      </w:r>
    </w:p>
    <w:p>
      <w:pPr>
        <w:pStyle w:val="BodyText"/>
      </w:pPr>
      <w:r>
        <w:t>Table 1. Change requests in this batch.</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Code</w:t>
            </w:r>
          </w:p>
        </w:tc>
        <w:tc>
          <w:tcPr>
            <w:tcW w:type="dxa" w:w="3120"/>
            <w:shd w:val="clear" w:color="auto" w:fill="E7E6E6"/>
          </w:tcPr>
          <w:p>
            <w:r>
              <w:rPr>
                <w:b/>
              </w:rPr>
              <w:t>Title</w:t>
            </w:r>
          </w:p>
        </w:tc>
        <w:tc>
          <w:tcPr>
            <w:tcW w:type="dxa" w:w="3120"/>
            <w:shd w:val="clear" w:color="auto" w:fill="E7E6E6"/>
          </w:tcPr>
          <w:p>
            <w:r>
              <w:rPr>
                <w:b/>
              </w:rPr>
              <w:t>Customer visible outcome</w:t>
            </w:r>
          </w:p>
        </w:tc>
      </w:tr>
      <w:tr>
        <w:tc>
          <w:tcPr>
            <w:tcW w:type="dxa" w:w="3120"/>
          </w:tcPr>
          <w:p>
            <w:r>
              <w:t>CR-A</w:t>
            </w:r>
          </w:p>
        </w:tc>
        <w:tc>
          <w:tcPr>
            <w:tcW w:type="dxa" w:w="3120"/>
          </w:tcPr>
          <w:p>
            <w:r>
              <w:t>Organiser by application</w:t>
            </w:r>
          </w:p>
        </w:tc>
        <w:tc>
          <w:tcPr>
            <w:tcW w:type="dxa" w:w="3120"/>
          </w:tcPr>
          <w:p>
            <w:r>
              <w:t>Public signup only creates customers; organisers are minted by administrator review of a payment snapshot.</w:t>
            </w:r>
          </w:p>
        </w:tc>
      </w:tr>
      <w:tr>
        <w:tc>
          <w:tcPr>
            <w:tcW w:type="dxa" w:w="3120"/>
          </w:tcPr>
          <w:p>
            <w:r>
              <w:t>CR-B</w:t>
            </w:r>
          </w:p>
        </w:tc>
        <w:tc>
          <w:tcPr>
            <w:tcW w:type="dxa" w:w="3120"/>
          </w:tcPr>
          <w:p>
            <w:r>
              <w:t>Per user notification preferences</w:t>
            </w:r>
          </w:p>
        </w:tc>
        <w:tc>
          <w:tcPr>
            <w:tcW w:type="dxa" w:w="3120"/>
          </w:tcPr>
          <w:p>
            <w:r>
              <w:t>Each customer can mute non critical emails from a dedicated settings page; account critical messages stay locked on.</w:t>
            </w:r>
          </w:p>
        </w:tc>
      </w:tr>
      <w:tr>
        <w:tc>
          <w:tcPr>
            <w:tcW w:type="dxa" w:w="3120"/>
          </w:tcPr>
          <w:p>
            <w:r>
              <w:t>CR-D</w:t>
            </w:r>
          </w:p>
        </w:tc>
        <w:tc>
          <w:tcPr>
            <w:tcW w:type="dxa" w:w="3120"/>
          </w:tcPr>
          <w:p>
            <w:r>
              <w:t>Currency and free events plumbing</w:t>
            </w:r>
          </w:p>
        </w:tc>
        <w:tc>
          <w:tcPr>
            <w:tcW w:type="dxa" w:w="3120"/>
          </w:tcPr>
          <w:p>
            <w:r>
              <w:t>Money is stored and rendered in currency aware minor units; the booking flow now branches between free and paid; paid events are gated off for version one.</w:t>
            </w:r>
          </w:p>
        </w:tc>
      </w:tr>
    </w:tbl>
    <w:p>
      <w:pPr>
        <w:pStyle w:val="BodyText"/>
      </w:pPr>
      <w:r>
        <w:t>Table 2. Engineering footprint, approximate.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Bucket</w:t>
            </w:r>
          </w:p>
        </w:tc>
        <w:tc>
          <w:tcPr>
            <w:tcW w:type="dxa" w:w="3120"/>
            <w:shd w:val="clear" w:color="auto" w:fill="E7E6E6"/>
          </w:tcPr>
          <w:p>
            <w:r>
              <w:rPr>
                <w:b/>
              </w:rPr>
              <w:t>New files</w:t>
            </w:r>
          </w:p>
        </w:tc>
        <w:tc>
          <w:tcPr>
            <w:tcW w:type="dxa" w:w="3120"/>
            <w:shd w:val="clear" w:color="auto" w:fill="E7E6E6"/>
          </w:tcPr>
          <w:p>
            <w:r>
              <w:rPr>
                <w:b/>
              </w:rPr>
              <w:t>Modified files</w:t>
            </w:r>
          </w:p>
        </w:tc>
      </w:tr>
      <w:tr>
        <w:tc>
          <w:tcPr>
            <w:tcW w:type="dxa" w:w="3120"/>
          </w:tcPr>
          <w:p>
            <w:r>
              <w:t>Models, repositories, factories</w:t>
            </w:r>
          </w:p>
        </w:tc>
        <w:tc>
          <w:tcPr>
            <w:tcW w:type="dxa" w:w="3120"/>
          </w:tcPr>
          <w:p>
            <w:r>
              <w:t>5</w:t>
            </w:r>
          </w:p>
        </w:tc>
        <w:tc>
          <w:tcPr>
            <w:tcW w:type="dxa" w:w="3120"/>
          </w:tcPr>
          <w:p>
            <w:r>
              <w:t>3</w:t>
            </w:r>
          </w:p>
        </w:tc>
      </w:tr>
      <w:tr>
        <w:tc>
          <w:tcPr>
            <w:tcW w:type="dxa" w:w="3120"/>
          </w:tcPr>
          <w:p>
            <w:r>
              <w:t>Services, handlers, routes, schemas</w:t>
            </w:r>
          </w:p>
        </w:tc>
        <w:tc>
          <w:tcPr>
            <w:tcW w:type="dxa" w:w="3120"/>
          </w:tcPr>
          <w:p>
            <w:r>
              <w:t>7</w:t>
            </w:r>
          </w:p>
        </w:tc>
        <w:tc>
          <w:tcPr>
            <w:tcW w:type="dxa" w:w="3120"/>
          </w:tcPr>
          <w:p>
            <w:r>
              <w:t>5</w:t>
            </w:r>
          </w:p>
        </w:tc>
      </w:tr>
      <w:tr>
        <w:tc>
          <w:tcPr>
            <w:tcW w:type="dxa" w:w="3120"/>
          </w:tcPr>
          <w:p>
            <w:r>
              <w:t>Configurations and utilities</w:t>
            </w:r>
          </w:p>
        </w:tc>
        <w:tc>
          <w:tcPr>
            <w:tcW w:type="dxa" w:w="3120"/>
          </w:tcPr>
          <w:p>
            <w:r>
              <w:t>3</w:t>
            </w:r>
          </w:p>
        </w:tc>
        <w:tc>
          <w:tcPr>
            <w:tcW w:type="dxa" w:w="3120"/>
          </w:tcPr>
          <w:p>
            <w:r>
              <w:t>3</w:t>
            </w:r>
          </w:p>
        </w:tc>
      </w:tr>
      <w:tr>
        <w:tc>
          <w:tcPr>
            <w:tcW w:type="dxa" w:w="3120"/>
          </w:tcPr>
          <w:p>
            <w:r>
              <w:t>Frontend pages, hooks, components, mappers</w:t>
            </w:r>
          </w:p>
        </w:tc>
        <w:tc>
          <w:tcPr>
            <w:tcW w:type="dxa" w:w="3120"/>
          </w:tcPr>
          <w:p>
            <w:r>
              <w:t>12</w:t>
            </w:r>
          </w:p>
        </w:tc>
        <w:tc>
          <w:tcPr>
            <w:tcW w:type="dxa" w:w="3120"/>
          </w:tcPr>
          <w:p>
            <w:r>
              <w:t>5</w:t>
            </w:r>
          </w:p>
        </w:tc>
      </w:tr>
      <w:tr>
        <w:tc>
          <w:tcPr>
            <w:tcW w:type="dxa" w:w="3120"/>
          </w:tcPr>
          <w:p>
            <w:r>
              <w:t>Tests</w:t>
            </w:r>
          </w:p>
        </w:tc>
        <w:tc>
          <w:tcPr>
            <w:tcW w:type="dxa" w:w="3120"/>
          </w:tcPr>
          <w:p>
            <w:r>
              <w:t>2</w:t>
            </w:r>
          </w:p>
        </w:tc>
        <w:tc>
          <w:tcPr>
            <w:tcW w:type="dxa" w:w="3120"/>
          </w:tcPr>
          <w:p>
            <w:r>
              <w:t>4</w:t>
            </w:r>
          </w:p>
        </w:tc>
      </w:tr>
      <w:tr>
        <w:tc>
          <w:tcPr>
            <w:tcW w:type="dxa" w:w="3120"/>
          </w:tcPr>
          <w:p>
            <w:r>
              <w:t>Environment and documentation</w:t>
            </w:r>
          </w:p>
        </w:tc>
        <w:tc>
          <w:tcPr>
            <w:tcW w:type="dxa" w:w="3120"/>
          </w:tcPr>
          <w:p>
            <w:r>
              <w:t>0</w:t>
            </w:r>
          </w:p>
        </w:tc>
        <w:tc>
          <w:tcPr>
            <w:tcW w:type="dxa" w:w="3120"/>
          </w:tcPr>
          <w:p>
            <w:r>
              <w:t>3</w:t>
            </w:r>
          </w:p>
        </w:tc>
      </w:tr>
      <w:tr>
        <w:tc>
          <w:tcPr>
            <w:tcW w:type="dxa" w:w="3120"/>
          </w:tcPr>
          <w:p>
            <w:r>
              <w:t>Total</w:t>
            </w:r>
          </w:p>
        </w:tc>
        <w:tc>
          <w:tcPr>
            <w:tcW w:type="dxa" w:w="3120"/>
          </w:tcPr>
          <w:p>
            <w:r>
              <w:t>29</w:t>
            </w:r>
          </w:p>
        </w:tc>
        <w:tc>
          <w:tcPr>
            <w:tcW w:type="dxa" w:w="3120"/>
          </w:tcPr>
          <w:p>
            <w:r>
              <w:t>23</w:t>
            </w:r>
          </w:p>
        </w:tc>
      </w:tr>
    </w:tbl>
    <w:p>
      <w:pPr>
        <w:pStyle w:val="Heading1"/>
      </w:pPr>
      <w:r>
        <w:t>Chapter 3. CR-A, organiser by application</w:t>
      </w:r>
    </w:p>
    <w:p>
      <w:pPr>
        <w:pStyle w:val="Heading2"/>
      </w:pPr>
      <w:r>
        <w:t>3.1 Customer scenario</w:t>
      </w:r>
    </w:p>
    <w:p>
      <w:pPr>
        <w:pStyle w:val="BodyText"/>
      </w:pPr>
      <w:r>
        <w:t>Sara wants to host a study circle on EventHub. She lands on the home page, clicks the Host Event button in the header, and is taken to the application form because the platform recognises her as a customer rather than an organiser. She fills in her business name, a short motivation, the currency and amount of the contribution she transferred to the platform, the transaction reference, and uploads a screenshot of the bank transfer slip. She submits the form and receives an email within seconds telling her the application is under review. Two days later an administrator approves her application; she receives a second email, follows the link, and lands on the organiser dashboard with a short onboarding popup that walks her through the next steps.</w:t>
      </w:r>
    </w:p>
    <w:p>
      <w:pPr>
        <w:pStyle w:val="Heading2"/>
      </w:pPr>
      <w:r>
        <w:t>3.2 Previous flow</w:t>
      </w:r>
    </w:p>
    <w:p>
      <w:pPr>
        <w:pStyle w:val="BodyText"/>
      </w:pPr>
      <w:r>
        <w:t>Before this change, the public registration form had a role dropdown with Customer and Organiser options. Anyone could pick Organiser and immediately gain access to event creation. There was no human review, no contribution requirement, and no email trail behind the role assignment.</w:t>
      </w:r>
    </w:p>
    <w:p>
      <w:pPr>
        <w:pStyle w:val="BodyText"/>
      </w:pPr>
      <w:r>
        <w:t>Figure 1. Previous signup to organiser flow.</w:t>
      </w:r>
    </w:p>
    <w:p>
      <w:pPr>
        <w:pStyle w:val="SourceCode"/>
      </w:pPr>
      <w:r>
        <w:rPr>
          <w:rFonts w:ascii="Consolas" w:hAnsi="Consolas"/>
          <w:sz w:val="18"/>
        </w:rPr>
        <w:t>```mermaid</w:t>
        <w:br/>
        <w:t>flowchart LR</w:t>
        <w:br/>
        <w:t xml:space="preserve">  A[Visitor opens signup] --&gt; B[Picks role customer or organiser]</w:t>
        <w:br/>
        <w:t xml:space="preserve">  B --&gt; C[Submits form]</w:t>
        <w:br/>
        <w:t xml:space="preserve">  C --&gt; D[User row created with chosen role]</w:t>
        <w:br/>
        <w:t xml:space="preserve">  D --&gt; E{Role}</w:t>
        <w:br/>
        <w:t xml:space="preserve">  E -- organiser --&gt; F[Goes straight to event creation]</w:t>
        <w:br/>
        <w:t xml:space="preserve">  E -- customer --&gt; G[Goes to home page]</w:t>
        <w:br/>
        <w:t>```</w:t>
      </w:r>
    </w:p>
    <w:p>
      <w:pPr>
        <w:pStyle w:val="Caption"/>
      </w:pPr>
      <w:r>
        <w:t>Description placeholder. The visitor chose their role on signup; the system trusted the choice and routed them accordingly.</w:t>
      </w:r>
    </w:p>
    <w:p>
      <w:pPr>
        <w:pStyle w:val="Heading2"/>
      </w:pPr>
      <w:r>
        <w:t>3.3 New flow</w:t>
      </w:r>
    </w:p>
    <w:p>
      <w:pPr>
        <w:pStyle w:val="BodyText"/>
      </w:pPr>
      <w:r>
        <w:t>Public signup now creates customers only. The role field is removed from the registration schema and is silently stripped if a client tries to send it. To become an organiser the customer submits an application that includes a payment snapshot. An administrator reviews the snapshot, approves or rejects with a reason, and the role transition runs inside a single transaction so the user row and the application row never disagree on the outcome.</w:t>
      </w:r>
    </w:p>
    <w:p>
      <w:pPr>
        <w:pStyle w:val="BodyText"/>
      </w:pPr>
      <w:r>
        <w:t>Figure 2. New signup and organiser application flow.</w:t>
      </w:r>
    </w:p>
    <w:p>
      <w:pPr>
        <w:pStyle w:val="SourceCode"/>
      </w:pPr>
      <w:r>
        <w:rPr>
          <w:rFonts w:ascii="Consolas" w:hAnsi="Consolas"/>
          <w:sz w:val="18"/>
        </w:rPr>
        <w:t>```mermaid</w:t>
        <w:br/>
        <w:t>flowchart TD</w:t>
        <w:br/>
        <w:t xml:space="preserve">  A[Visitor opens signup] --&gt; B[Submits form, customer only]</w:t>
        <w:br/>
        <w:t xml:space="preserve">  B --&gt; C[User row created, role customer]</w:t>
        <w:br/>
        <w:t xml:space="preserve">  C --&gt; D[Clicks Host Event button]</w:t>
        <w:br/>
        <w:t xml:space="preserve">  D --&gt; E[Lands on apply page]</w:t>
        <w:br/>
        <w:t xml:space="preserve">  E --&gt; F[Submits application with snapshot]</w:t>
        <w:br/>
        <w:t xml:space="preserve">  F --&gt; G[Email, organiser.application.submitted]</w:t>
        <w:br/>
        <w:t xml:space="preserve">  G --&gt; H{Administrator decision}</w:t>
        <w:br/>
        <w:t xml:space="preserve">  H -- approve --&gt; I[Transaction, role to organiser, status to approved]</w:t>
        <w:br/>
        <w:t xml:space="preserve">  I --&gt; J[Email, organiser.application.approved with onboarding link]</w:t>
        <w:br/>
        <w:t xml:space="preserve">  H -- reject --&gt; K[Status to rejected with reason]</w:t>
        <w:br/>
        <w:t xml:space="preserve">  K --&gt; L[Email, organiser.application.rejected with reason]</w:t>
        <w:br/>
        <w:t>```</w:t>
      </w:r>
    </w:p>
    <w:p>
      <w:pPr>
        <w:pStyle w:val="Caption"/>
      </w:pPr>
      <w:r>
        <w:t>Description placeholder. The application form is the only path to organiser status; the administrator decision drives both the role flip and the email.</w:t>
      </w:r>
    </w:p>
    <w:p>
      <w:pPr>
        <w:pStyle w:val="Heading2"/>
      </w:pPr>
      <w:r>
        <w:t>3.4 Smart Host Event button</w:t>
      </w:r>
    </w:p>
    <w:p>
      <w:pPr>
        <w:pStyle w:val="BodyText"/>
      </w:pPr>
      <w:r>
        <w:t>A single component renders the Host Event call to action across the navigation bar, the dashboard, and the empty states. The component reads the session through the useRole hook and chooses the destination at click time.</w:t>
      </w:r>
    </w:p>
    <w:p>
      <w:pPr>
        <w:pStyle w:val="BodyText"/>
      </w:pPr>
      <w:r>
        <w:t>Table 3. Host Event button routing.</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rPr>
              <w:t>Session state</w:t>
            </w:r>
          </w:p>
        </w:tc>
        <w:tc>
          <w:tcPr>
            <w:tcW w:type="dxa" w:w="4680"/>
            <w:shd w:val="clear" w:color="auto" w:fill="E7E6E6"/>
          </w:tcPr>
          <w:p>
            <w:r>
              <w:rPr>
                <w:b/>
              </w:rPr>
              <w:t>Destination</w:t>
            </w:r>
          </w:p>
        </w:tc>
      </w:tr>
      <w:tr>
        <w:tc>
          <w:tcPr>
            <w:tcW w:type="dxa" w:w="4680"/>
          </w:tcPr>
          <w:p>
            <w:r>
              <w:t>Signed out</w:t>
            </w:r>
          </w:p>
        </w:tc>
        <w:tc>
          <w:tcPr>
            <w:tcW w:type="dxa" w:w="4680"/>
          </w:tcPr>
          <w:p>
            <w:r>
              <w:t>/login</w:t>
            </w:r>
          </w:p>
        </w:tc>
      </w:tr>
      <w:tr>
        <w:tc>
          <w:tcPr>
            <w:tcW w:type="dxa" w:w="4680"/>
          </w:tcPr>
          <w:p>
            <w:r>
              <w:t>Signed in, role customer</w:t>
            </w:r>
          </w:p>
        </w:tc>
        <w:tc>
          <w:tcPr>
            <w:tcW w:type="dxa" w:w="4680"/>
          </w:tcPr>
          <w:p>
            <w:r>
              <w:t>/become-organizer</w:t>
            </w:r>
          </w:p>
        </w:tc>
      </w:tr>
      <w:tr>
        <w:tc>
          <w:tcPr>
            <w:tcW w:type="dxa" w:w="4680"/>
          </w:tcPr>
          <w:p>
            <w:r>
              <w:t>Signed in, role organiser</w:t>
            </w:r>
          </w:p>
        </w:tc>
        <w:tc>
          <w:tcPr>
            <w:tcW w:type="dxa" w:w="4680"/>
          </w:tcPr>
          <w:p>
            <w:r>
              <w:t>/events/new</w:t>
            </w:r>
          </w:p>
        </w:tc>
      </w:tr>
      <w:tr>
        <w:tc>
          <w:tcPr>
            <w:tcW w:type="dxa" w:w="4680"/>
          </w:tcPr>
          <w:p>
            <w:r>
              <w:t>Signed in, role administrator</w:t>
            </w:r>
          </w:p>
        </w:tc>
        <w:tc>
          <w:tcPr>
            <w:tcW w:type="dxa" w:w="4680"/>
          </w:tcPr>
          <w:p>
            <w:r>
              <w:t>/events/new</w:t>
            </w:r>
          </w:p>
        </w:tc>
      </w:tr>
    </w:tbl>
    <w:p>
      <w:pPr>
        <w:pStyle w:val="Heading2"/>
      </w:pPr>
      <w:r>
        <w:t>3.5 Multipart upload, not base64</w:t>
      </w:r>
    </w:p>
    <w:p>
      <w:pPr>
        <w:pStyle w:val="BodyText"/>
      </w:pPr>
      <w:r>
        <w:t>The payment snapshot is uploaded as multipart form data through the @fastify/multipart plugin. The handler streams the file directly to the backend uploads folder under a fresh UUID, validates the MIME type against an allow list of PNG, JPEG, and WebP, and stores only the relative path on the application row. The file is served back to the administrator dashboard through the @fastify/static plugin mounted at /uploads. No image bytes ever touch the database; no base64 string ever enters the network payload.</w:t>
      </w:r>
    </w:p>
    <w:p>
      <w:pPr>
        <w:pStyle w:val="Heading2"/>
      </w:pPr>
      <w:r>
        <w:t>3.6 Notification side effects</w:t>
      </w:r>
    </w:p>
    <w:p>
      <w:pPr>
        <w:pStyle w:val="BodyText"/>
      </w:pPr>
      <w:r>
        <w:t>Three new notification template keys were added.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7E6E6"/>
          </w:tcPr>
          <w:p>
            <w:r>
              <w:rPr>
                <w:b/>
              </w:rPr>
              <w:t>Key</w:t>
            </w:r>
          </w:p>
        </w:tc>
        <w:tc>
          <w:tcPr>
            <w:tcW w:type="dxa" w:w="2340"/>
            <w:shd w:val="clear" w:color="auto" w:fill="E7E6E6"/>
          </w:tcPr>
          <w:p>
            <w:r>
              <w:rPr>
                <w:b/>
              </w:rPr>
              <w:t>Trigger</w:t>
            </w:r>
          </w:p>
        </w:tc>
        <w:tc>
          <w:tcPr>
            <w:tcW w:type="dxa" w:w="2340"/>
            <w:shd w:val="clear" w:color="auto" w:fill="E7E6E6"/>
          </w:tcPr>
          <w:p>
            <w:r>
              <w:rPr>
                <w:b/>
              </w:rPr>
              <w:t>Recipient</w:t>
            </w:r>
          </w:p>
        </w:tc>
        <w:tc>
          <w:tcPr>
            <w:tcW w:type="dxa" w:w="2340"/>
            <w:shd w:val="clear" w:color="auto" w:fill="E7E6E6"/>
          </w:tcPr>
          <w:p>
            <w:r>
              <w:rPr>
                <w:b/>
              </w:rPr>
              <w:t>Mandatory</w:t>
            </w:r>
          </w:p>
        </w:tc>
      </w:tr>
      <w:tr>
        <w:tc>
          <w:tcPr>
            <w:tcW w:type="dxa" w:w="2340"/>
          </w:tcPr>
          <w:p>
            <w:r>
              <w:t>organizer.application.submitted</w:t>
            </w:r>
          </w:p>
        </w:tc>
        <w:tc>
          <w:tcPr>
            <w:tcW w:type="dxa" w:w="2340"/>
          </w:tcPr>
          <w:p>
            <w:r>
              <w:t>Customer submits the application form</w:t>
            </w:r>
          </w:p>
        </w:tc>
        <w:tc>
          <w:tcPr>
            <w:tcW w:type="dxa" w:w="2340"/>
          </w:tcPr>
          <w:p>
            <w:r>
              <w:t>Applicant</w:t>
            </w:r>
          </w:p>
        </w:tc>
        <w:tc>
          <w:tcPr>
            <w:tcW w:type="dxa" w:w="2340"/>
          </w:tcPr>
          <w:p>
            <w:r>
              <w:t>No</w:t>
            </w:r>
          </w:p>
        </w:tc>
      </w:tr>
      <w:tr>
        <w:tc>
          <w:tcPr>
            <w:tcW w:type="dxa" w:w="2340"/>
          </w:tcPr>
          <w:p>
            <w:r>
              <w:t>organizer.application.approved</w:t>
            </w:r>
          </w:p>
        </w:tc>
        <w:tc>
          <w:tcPr>
            <w:tcW w:type="dxa" w:w="2340"/>
          </w:tcPr>
          <w:p>
            <w:r>
              <w:t>Administrator approves the application</w:t>
            </w:r>
          </w:p>
        </w:tc>
        <w:tc>
          <w:tcPr>
            <w:tcW w:type="dxa" w:w="2340"/>
          </w:tcPr>
          <w:p>
            <w:r>
              <w:t>Applicant</w:t>
            </w:r>
          </w:p>
        </w:tc>
        <w:tc>
          <w:tcPr>
            <w:tcW w:type="dxa" w:w="2340"/>
          </w:tcPr>
          <w:p>
            <w:r>
              <w:t>Yes</w:t>
            </w:r>
          </w:p>
        </w:tc>
      </w:tr>
      <w:tr>
        <w:tc>
          <w:tcPr>
            <w:tcW w:type="dxa" w:w="2340"/>
          </w:tcPr>
          <w:p>
            <w:r>
              <w:t>organizer.application.rejected</w:t>
            </w:r>
          </w:p>
        </w:tc>
        <w:tc>
          <w:tcPr>
            <w:tcW w:type="dxa" w:w="2340"/>
          </w:tcPr>
          <w:p>
            <w:r>
              <w:t>Administrator rejects the application with a reason</w:t>
            </w:r>
          </w:p>
        </w:tc>
        <w:tc>
          <w:tcPr>
            <w:tcW w:type="dxa" w:w="2340"/>
          </w:tcPr>
          <w:p>
            <w:r>
              <w:t>Applicant</w:t>
            </w:r>
          </w:p>
        </w:tc>
        <w:tc>
          <w:tcPr>
            <w:tcW w:type="dxa" w:w="2340"/>
          </w:tcPr>
          <w:p>
            <w:r>
              <w:t>Yes</w:t>
            </w:r>
          </w:p>
        </w:tc>
      </w:tr>
    </w:tbl>
    <w:p>
      <w:pPr>
        <w:pStyle w:val="Heading1"/>
      </w:pPr>
      <w:r>
        <w:t>Chapter 4. CR-B, per user notification preferences</w:t>
      </w:r>
    </w:p>
    <w:p>
      <w:pPr>
        <w:pStyle w:val="Heading2"/>
      </w:pPr>
      <w:r>
        <w:t>4.1 Customer scenario</w:t>
      </w:r>
    </w:p>
    <w:p>
      <w:pPr>
        <w:pStyle w:val="BodyText"/>
      </w:pPr>
      <w:r>
        <w:t>Ali joined the waitlist for a popular conference last week and has started receiving a string of waitlist update emails that he does not want. He opens the navigation menu, picks Notification settings, sees the list of email types grouped by area, and toggles off the waitlist updates row. The next waitlist movement does not produce an email for him, while a booking cancellation still arrives because that row is locked and marked as account critical.</w:t>
      </w:r>
    </w:p>
    <w:p>
      <w:pPr>
        <w:pStyle w:val="Heading2"/>
      </w:pPr>
      <w:r>
        <w:t>4.2 Previous flow</w:t>
      </w:r>
    </w:p>
    <w:p>
      <w:pPr>
        <w:pStyle w:val="BodyText"/>
      </w:pPr>
      <w:r>
        <w:t>Before this change, every notification dispatched by the system was emailed to the recipient. There was no per user mute, no per type opt out, and no settings page. The only way for a customer to stop receiving emails was to unsubscribe at the channel level through their mail provider.</w:t>
      </w:r>
    </w:p>
    <w:p>
      <w:pPr>
        <w:pStyle w:val="Heading2"/>
      </w:pPr>
      <w:r>
        <w:t>4.3 New flow</w:t>
      </w:r>
    </w:p>
    <w:p>
      <w:pPr>
        <w:pStyle w:val="BodyText"/>
      </w:pPr>
      <w:r>
        <w:t>A new entity, NotificationPreference, records one row per customer and per type that they have explicitly muted. The dispatcher reads the row before sending and short circuits with a null return when the type is opt out able and the customer has muted it. A small set of types is marked mandatory and is exempt from the lookup.</w:t>
      </w:r>
    </w:p>
    <w:p>
      <w:pPr>
        <w:pStyle w:val="BodyText"/>
      </w:pPr>
      <w:r>
        <w:t>Figure 3. Notification dispatch with per user preferences.</w:t>
      </w:r>
    </w:p>
    <w:p>
      <w:pPr>
        <w:pStyle w:val="SourceCode"/>
      </w:pPr>
      <w:r>
        <w:rPr>
          <w:rFonts w:ascii="Consolas" w:hAnsi="Consolas"/>
          <w:sz w:val="18"/>
        </w:rPr>
        <w:t>```mermaid</w:t>
        <w:br/>
        <w:t>flowchart LR</w:t>
        <w:br/>
        <w:t xml:space="preserve">  A[Trigger site calls notify, user and type and payload] --&gt; B{Type in MANDATORY_TYPES}</w:t>
        <w:br/>
        <w:t xml:space="preserve">  B -- yes --&gt; D[Render template, write notification row, send through channel]</w:t>
        <w:br/>
        <w:t xml:space="preserve">  B -- no --&gt; C{notificationPreference.isMuted}</w:t>
        <w:br/>
        <w:t xml:space="preserve">  C -- true --&gt; E[Return null, no email, no row]</w:t>
        <w:br/>
        <w:t xml:space="preserve">  C -- false --&gt; D</w:t>
        <w:br/>
        <w:t>```</w:t>
      </w:r>
    </w:p>
    <w:p>
      <w:pPr>
        <w:pStyle w:val="Caption"/>
      </w:pPr>
      <w:r>
        <w:t>Description placeholder. A single three line conditional inside notify gates the dispatch; trigger sites stay unchanged.</w:t>
      </w:r>
    </w:p>
    <w:p>
      <w:pPr>
        <w:pStyle w:val="Heading2"/>
      </w:pPr>
      <w:r>
        <w:t>4.4 Mandatory types, locked from muting</w:t>
      </w:r>
    </w:p>
    <w:p>
      <w:pPr>
        <w:pStyle w:val="BodyText"/>
      </w:pPr>
      <w:r>
        <w:t>The set is small on purpose. It guards account critical messages that the user must see for the platform to behave correctly toward them.</w:t>
      </w:r>
    </w:p>
    <w:p>
      <w:pPr>
        <w:pStyle w:val="BodyText"/>
      </w:pPr>
      <w:r>
        <w:t>Table 4. Mandatory types.</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rPr>
              <w:t>Type</w:t>
            </w:r>
          </w:p>
        </w:tc>
        <w:tc>
          <w:tcPr>
            <w:tcW w:type="dxa" w:w="4680"/>
            <w:shd w:val="clear" w:color="auto" w:fill="E7E6E6"/>
          </w:tcPr>
          <w:p>
            <w:r>
              <w:rPr>
                <w:b/>
              </w:rPr>
              <w:t>Reason it is mandatory</w:t>
            </w:r>
          </w:p>
        </w:tc>
      </w:tr>
      <w:tr>
        <w:tc>
          <w:tcPr>
            <w:tcW w:type="dxa" w:w="4680"/>
          </w:tcPr>
          <w:p>
            <w:r>
              <w:t>organizer.application.approved</w:t>
            </w:r>
          </w:p>
        </w:tc>
        <w:tc>
          <w:tcPr>
            <w:tcW w:type="dxa" w:w="4680"/>
          </w:tcPr>
          <w:p>
            <w:r>
              <w:t>Tells the applicant that the role has changed</w:t>
            </w:r>
          </w:p>
        </w:tc>
      </w:tr>
      <w:tr>
        <w:tc>
          <w:tcPr>
            <w:tcW w:type="dxa" w:w="4680"/>
          </w:tcPr>
          <w:p>
            <w:r>
              <w:t>organizer.application.rejected</w:t>
            </w:r>
          </w:p>
        </w:tc>
        <w:tc>
          <w:tcPr>
            <w:tcW w:type="dxa" w:w="4680"/>
          </w:tcPr>
          <w:p>
            <w:r>
              <w:t>Carries the administrator reason for the decision</w:t>
            </w:r>
          </w:p>
        </w:tc>
      </w:tr>
      <w:tr>
        <w:tc>
          <w:tcPr>
            <w:tcW w:type="dxa" w:w="4680"/>
          </w:tcPr>
          <w:p>
            <w:r>
              <w:t>booking.cancelled</w:t>
            </w:r>
          </w:p>
        </w:tc>
        <w:tc>
          <w:tcPr>
            <w:tcW w:type="dxa" w:w="4680"/>
          </w:tcPr>
          <w:p>
            <w:r>
              <w:t>Confirms a refund or organiser cancellation</w:t>
            </w:r>
          </w:p>
        </w:tc>
      </w:tr>
    </w:tbl>
    <w:p>
      <w:pPr>
        <w:pStyle w:val="Heading2"/>
      </w:pPr>
      <w:r>
        <w:t>4.5 Endpoints</w:t>
      </w:r>
    </w:p>
    <w:p>
      <w:pPr>
        <w:pStyle w:val="BodyText"/>
      </w:pPr>
      <w:r>
        <w:t>Two endpoints expose the matrix to the settings page.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Method</w:t>
            </w:r>
          </w:p>
        </w:tc>
        <w:tc>
          <w:tcPr>
            <w:tcW w:type="dxa" w:w="3120"/>
            <w:shd w:val="clear" w:color="auto" w:fill="E7E6E6"/>
          </w:tcPr>
          <w:p>
            <w:r>
              <w:rPr>
                <w:b/>
              </w:rPr>
              <w:t>Path</w:t>
            </w:r>
          </w:p>
        </w:tc>
        <w:tc>
          <w:tcPr>
            <w:tcW w:type="dxa" w:w="3120"/>
            <w:shd w:val="clear" w:color="auto" w:fill="E7E6E6"/>
          </w:tcPr>
          <w:p>
            <w:r>
              <w:rPr>
                <w:b/>
              </w:rPr>
              <w:t>Behaviour</w:t>
            </w:r>
          </w:p>
        </w:tc>
      </w:tr>
      <w:tr>
        <w:tc>
          <w:tcPr>
            <w:tcW w:type="dxa" w:w="3120"/>
          </w:tcPr>
          <w:p>
            <w:r>
              <w:t>GET</w:t>
            </w:r>
          </w:p>
        </w:tc>
        <w:tc>
          <w:tcPr>
            <w:tcW w:type="dxa" w:w="3120"/>
          </w:tcPr>
          <w:p>
            <w:r>
              <w:t>/me/preferences</w:t>
            </w:r>
          </w:p>
        </w:tc>
        <w:tc>
          <w:tcPr>
            <w:tcW w:type="dxa" w:w="3120"/>
          </w:tcPr>
          <w:p>
            <w:r>
              <w:t>Returns the full matrix of types with a muted flag and a mandatory flag for each row</w:t>
            </w:r>
          </w:p>
        </w:tc>
      </w:tr>
      <w:tr>
        <w:tc>
          <w:tcPr>
            <w:tcW w:type="dxa" w:w="3120"/>
          </w:tcPr>
          <w:p>
            <w:r>
              <w:t>PUT</w:t>
            </w:r>
          </w:p>
        </w:tc>
        <w:tc>
          <w:tcPr>
            <w:tcW w:type="dxa" w:w="3120"/>
          </w:tcPr>
          <w:p>
            <w:r>
              <w:t>/me/preferences/:type</w:t>
            </w:r>
          </w:p>
        </w:tc>
        <w:tc>
          <w:tcPr>
            <w:tcW w:type="dxa" w:w="3120"/>
          </w:tcPr>
          <w:p>
            <w:r>
              <w:t>Upserts the preference row; rejects with 422 when the type is mandatory</w:t>
            </w:r>
          </w:p>
        </w:tc>
      </w:tr>
    </w:tbl>
    <w:p>
      <w:pPr>
        <w:pStyle w:val="Heading1"/>
      </w:pPr>
      <w:r>
        <w:t>Chapter 5. CR-D, currency and free events</w:t>
      </w:r>
    </w:p>
    <w:p>
      <w:pPr>
        <w:pStyle w:val="Heading2"/>
      </w:pPr>
      <w:r>
        <w:t>5.1 Customer and organiser scenario</w:t>
      </w:r>
    </w:p>
    <w:p>
      <w:pPr>
        <w:pStyle w:val="BodyText"/>
      </w:pPr>
      <w:r>
        <w:t>Hira opens the event creation form. She sees the ticket price input greyed out at zero with a small note that reads, paid events coming soon. She picks PKR from the currency dropdown for completeness, fills in the rest of the form, and adds a Google Meet link in the optional meeting link field. Her event is approved by the administrator and a customer books two tickets. The customer receives a confirmation email that says, cost free, no payment required, and contains the meeting link as a clickable line.</w:t>
      </w:r>
    </w:p>
    <w:p>
      <w:pPr>
        <w:pStyle w:val="Heading2"/>
      </w:pPr>
      <w:r>
        <w:t>5.2 Money model in minor units</w:t>
      </w:r>
    </w:p>
    <w:p>
      <w:pPr>
        <w:pStyle w:val="BodyText"/>
      </w:pPr>
      <w:r>
        <w:t>Before this change, money fields used decimal columns in major units. That choice made currency arithmetic fragile and locked the platform to a single currency at rendering time. The change moves to integer minor units with an adjacent ISO 4217 currency code. The formatting utility lives in one file on each side of the wire and is the only place that knows about currency symbols and decimal places.</w:t>
      </w:r>
    </w:p>
    <w:p>
      <w:pPr>
        <w:pStyle w:val="BodyText"/>
      </w:pPr>
      <w:r>
        <w:t>Table 5. Money field migration.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Entity</w:t>
            </w:r>
          </w:p>
        </w:tc>
        <w:tc>
          <w:tcPr>
            <w:tcW w:type="dxa" w:w="3120"/>
            <w:shd w:val="clear" w:color="auto" w:fill="E7E6E6"/>
          </w:tcPr>
          <w:p>
            <w:r>
              <w:rPr>
                <w:b/>
              </w:rPr>
              <w:t>Before</w:t>
            </w:r>
          </w:p>
        </w:tc>
        <w:tc>
          <w:tcPr>
            <w:tcW w:type="dxa" w:w="3120"/>
            <w:shd w:val="clear" w:color="auto" w:fill="E7E6E6"/>
          </w:tcPr>
          <w:p>
            <w:r>
              <w:rPr>
                <w:b/>
              </w:rPr>
              <w:t>After</w:t>
            </w:r>
          </w:p>
        </w:tc>
      </w:tr>
      <w:tr>
        <w:tc>
          <w:tcPr>
            <w:tcW w:type="dxa" w:w="3120"/>
          </w:tcPr>
          <w:p>
            <w:r>
              <w:t>Event</w:t>
            </w:r>
          </w:p>
        </w:tc>
        <w:tc>
          <w:tcPr>
            <w:tcW w:type="dxa" w:w="3120"/>
          </w:tcPr>
          <w:p>
            <w:r>
              <w:t>ticketPrice DECIMAL</w:t>
            </w:r>
          </w:p>
        </w:tc>
        <w:tc>
          <w:tcPr>
            <w:tcW w:type="dxa" w:w="3120"/>
          </w:tcPr>
          <w:p>
            <w:r>
              <w:t>ticketPriceMinor INTEGER plus currency STRING(3)</w:t>
            </w:r>
          </w:p>
        </w:tc>
      </w:tr>
      <w:tr>
        <w:tc>
          <w:tcPr>
            <w:tcW w:type="dxa" w:w="3120"/>
          </w:tcPr>
          <w:p>
            <w:r>
              <w:t>Booking</w:t>
            </w:r>
          </w:p>
        </w:tc>
        <w:tc>
          <w:tcPr>
            <w:tcW w:type="dxa" w:w="3120"/>
          </w:tcPr>
          <w:p>
            <w:r>
              <w:t>totalAmount DECIMAL</w:t>
            </w:r>
          </w:p>
        </w:tc>
        <w:tc>
          <w:tcPr>
            <w:tcW w:type="dxa" w:w="3120"/>
          </w:tcPr>
          <w:p>
            <w:r>
              <w:t>totalAmountMinor INTEGER plus currency STRING(3) copied from event at booking time</w:t>
            </w:r>
          </w:p>
        </w:tc>
      </w:tr>
      <w:tr>
        <w:tc>
          <w:tcPr>
            <w:tcW w:type="dxa" w:w="3120"/>
          </w:tcPr>
          <w:p>
            <w:r>
              <w:t>OrganizerApplication</w:t>
            </w:r>
          </w:p>
        </w:tc>
        <w:tc>
          <w:tcPr>
            <w:tcW w:type="dxa" w:w="3120"/>
          </w:tcPr>
          <w:p>
            <w:r>
              <w:t>n/a, new entity</w:t>
            </w:r>
          </w:p>
        </w:tc>
        <w:tc>
          <w:tcPr>
            <w:tcW w:type="dxa" w:w="3120"/>
          </w:tcPr>
          <w:p>
            <w:r>
              <w:t>paymentAmountMinor INTEGER plus currency STRING(3)</w:t>
            </w:r>
          </w:p>
        </w:tc>
      </w:tr>
      <w:tr>
        <w:tc>
          <w:tcPr>
            <w:tcW w:type="dxa" w:w="3120"/>
          </w:tcPr>
          <w:p>
            <w:r>
              <w:t>Configuration</w:t>
            </w:r>
          </w:p>
        </w:tc>
        <w:tc>
          <w:tcPr>
            <w:tcW w:type="dxa" w:w="3120"/>
          </w:tcPr>
          <w:p>
            <w:r>
              <w:t>APPLICATION_FEE_AMOUNT in cents</w:t>
            </w:r>
          </w:p>
        </w:tc>
        <w:tc>
          <w:tcPr>
            <w:tcW w:type="dxa" w:w="3120"/>
          </w:tcPr>
          <w:p>
            <w:r>
              <w:t>APPLICATION_FEE_AMOUNT_MINOR and APPLICATION_FEE_CURRENCY</w:t>
            </w:r>
          </w:p>
        </w:tc>
      </w:tr>
    </w:tbl>
    <w:p>
      <w:pPr>
        <w:pStyle w:val="Heading2"/>
      </w:pPr>
      <w:r>
        <w:t>5.3 The conditional booking branch</w:t>
      </w:r>
    </w:p>
    <w:p>
      <w:pPr>
        <w:pStyle w:val="BodyText"/>
      </w:pPr>
      <w:r>
        <w:t>The booking service used to call the payment strategy unconditionally. It now branches on the event price. For version one every event carries a ticket price of zero, so the charge call is never executed in production. The branch is exercised under test by stubbing a paid event through a direct repository update and asserting that the mock payment strategy received exactly one charge call with the expected amount.</w:t>
      </w:r>
    </w:p>
    <w:p>
      <w:pPr>
        <w:pStyle w:val="BodyText"/>
      </w:pPr>
      <w:r>
        <w:t>Figure 4. Booking flow with conditional payment.</w:t>
      </w:r>
    </w:p>
    <w:p>
      <w:pPr>
        <w:pStyle w:val="SourceCode"/>
      </w:pPr>
      <w:r>
        <w:rPr>
          <w:rFonts w:ascii="Consolas" w:hAnsi="Consolas"/>
          <w:sz w:val="18"/>
        </w:rPr>
        <w:t>```mermaid</w:t>
        <w:br/>
        <w:t>flowchart TD</w:t>
        <w:br/>
        <w:t xml:space="preserve">  A[Booking request, eventId and quantity] --&gt; B[Decrement remaining inside transaction]</w:t>
        <w:br/>
        <w:t xml:space="preserve">  B --&gt; C[Insert booking row, copy currency from event]</w:t>
        <w:br/>
        <w:t xml:space="preserve">  C --&gt; D[Create ticket rows with QR identifiers]</w:t>
        <w:br/>
        <w:t xml:space="preserve">  D --&gt; E[Clear matching waitlist hold]</w:t>
        <w:br/>
        <w:t xml:space="preserve">  E --&gt; F{event.ticketPriceMinor greater than zero}</w:t>
        <w:br/>
        <w:t xml:space="preserve">  F -- yes --&gt; G[resolvePaymentStrategy.charge, amount, currency, metadata]</w:t>
        <w:br/>
        <w:t xml:space="preserve">  F -- no --&gt; H[Skip payment, version one path]</w:t>
        <w:br/>
        <w:t xml:space="preserve">  G --&gt; I[Commit transaction]</w:t>
        <w:br/>
        <w:t xml:space="preserve">  H --&gt; I</w:t>
        <w:br/>
        <w:t xml:space="preserve">  I --&gt; J[Send booking.confirmed email, free or paid copy]</w:t>
        <w:br/>
        <w:t>```</w:t>
      </w:r>
    </w:p>
    <w:p>
      <w:pPr>
        <w:pStyle w:val="Caption"/>
      </w:pPr>
      <w:r>
        <w:t>Description placeholder. Version one always falls through the no branch; the yes branch is wired and tested so the paid tier is a one line gate removal.</w:t>
      </w:r>
    </w:p>
    <w:p>
      <w:pPr>
        <w:pStyle w:val="Heading2"/>
      </w:pPr>
      <w:r>
        <w:t>5.4 The free events gate</w:t>
      </w:r>
    </w:p>
    <w:p>
      <w:pPr>
        <w:pStyle w:val="BodyText"/>
      </w:pPr>
      <w:r>
        <w:t>Version one only accepts free events. The event service rejects any creation request with a non zero ticket price.</w:t>
      </w:r>
    </w:p>
    <w:p>
      <w:pPr>
        <w:pStyle w:val="SourceCode"/>
      </w:pPr>
      <w:r>
        <w:rPr>
          <w:rFonts w:ascii="Consolas" w:hAnsi="Consolas"/>
          <w:sz w:val="18"/>
        </w:rPr>
        <w:t>if (data.ticketPriceMinor &amp;&amp; data.ticketPriceMinor !== 0) {</w:t>
        <w:br/>
        <w:t xml:space="preserve">  throw new AppError('Paid events are not yet supported.', 422);</w:t>
        <w:br/>
        <w:t>}</w:t>
      </w:r>
    </w:p>
    <w:p>
      <w:pPr>
        <w:pStyle w:val="BodyText"/>
      </w:pPr>
      <w:r>
        <w:t>The gate is the one and only enforcement point. Removing it, together with two disabled attributes on the event creation form, is how the paid events tier becomes live.</w:t>
      </w:r>
    </w:p>
    <w:p>
      <w:pPr>
        <w:pStyle w:val="Heading2"/>
      </w:pPr>
      <w:r>
        <w:t>5.5 Free or paid email template</w:t>
      </w:r>
    </w:p>
    <w:p>
      <w:pPr>
        <w:pStyle w:val="BodyText"/>
      </w:pPr>
      <w:r>
        <w:t>The booking.confirmed template uses the same body for free and paid bookings. A ternary on totalAmountMinor swaps the line between, cost free, no payment required, and, total due, currency formatted amount. The paid line never renders in version one because the gate prevents the data shape it depends on.</w:t>
      </w:r>
    </w:p>
    <w:p>
      <w:pPr>
        <w:pStyle w:val="Heading2"/>
      </w:pPr>
      <w:r>
        <w:t>5.6 Optional meeting link</w:t>
      </w:r>
    </w:p>
    <w:p>
      <w:pPr>
        <w:pStyle w:val="BodyText"/>
      </w:pPr>
      <w:r>
        <w:t>An event now carries an optional meetingUrl. When present, the link appears in the booking confirmation email as a clickable line and on the slim event payload returned by the bookings list. The field is validated against an https prefix; values that do not match are rejected by the schema.</w:t>
      </w:r>
    </w:p>
    <w:p>
      <w:pPr>
        <w:pStyle w:val="Heading1"/>
      </w:pPr>
      <w:r>
        <w:t>Chapter 6. Affected entities and schema deltas</w:t>
      </w:r>
    </w:p>
    <w:p>
      <w:pPr>
        <w:pStyle w:val="BodyText"/>
      </w:pPr>
      <w:r>
        <w:t>Table 6. Entity changes.</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rPr>
              <w:t>Entity</w:t>
            </w:r>
          </w:p>
        </w:tc>
        <w:tc>
          <w:tcPr>
            <w:tcW w:type="dxa" w:w="4680"/>
            <w:shd w:val="clear" w:color="auto" w:fill="E7E6E6"/>
          </w:tcPr>
          <w:p>
            <w:r>
              <w:rPr>
                <w:b/>
              </w:rPr>
              <w:t>Change</w:t>
            </w:r>
          </w:p>
        </w:tc>
      </w:tr>
      <w:tr>
        <w:tc>
          <w:tcPr>
            <w:tcW w:type="dxa" w:w="4680"/>
          </w:tcPr>
          <w:p>
            <w:r>
              <w:t>Event</w:t>
            </w:r>
          </w:p>
        </w:tc>
        <w:tc>
          <w:tcPr>
            <w:tcW w:type="dxa" w:w="4680"/>
          </w:tcPr>
          <w:p>
            <w:r>
              <w:t>ticketPriceMinor INTEGER default 0, currency STRING(3) default 'PKR', meetingUrl TEXT nullable</w:t>
            </w:r>
          </w:p>
        </w:tc>
      </w:tr>
      <w:tr>
        <w:tc>
          <w:tcPr>
            <w:tcW w:type="dxa" w:w="4680"/>
          </w:tcPr>
          <w:p>
            <w:r>
              <w:t>Booking</w:t>
            </w:r>
          </w:p>
        </w:tc>
        <w:tc>
          <w:tcPr>
            <w:tcW w:type="dxa" w:w="4680"/>
          </w:tcPr>
          <w:p>
            <w:r>
              <w:t>totalAmountMinor INTEGER, currency STRING(3) default 'PKR'</w:t>
            </w:r>
          </w:p>
        </w:tc>
      </w:tr>
      <w:tr>
        <w:tc>
          <w:tcPr>
            <w:tcW w:type="dxa" w:w="4680"/>
          </w:tcPr>
          <w:p>
            <w:r>
              <w:t>OrganizerApplication</w:t>
            </w:r>
          </w:p>
        </w:tc>
        <w:tc>
          <w:tcPr>
            <w:tcW w:type="dxa" w:w="4680"/>
          </w:tcPr>
          <w:p>
            <w:r>
              <w:t>new entity, see Chapter 3</w:t>
            </w:r>
          </w:p>
        </w:tc>
      </w:tr>
      <w:tr>
        <w:tc>
          <w:tcPr>
            <w:tcW w:type="dxa" w:w="4680"/>
          </w:tcPr>
          <w:p>
            <w:r>
              <w:t>NotificationPreference</w:t>
            </w:r>
          </w:p>
        </w:tc>
        <w:tc>
          <w:tcPr>
            <w:tcW w:type="dxa" w:w="4680"/>
          </w:tcPr>
          <w:p>
            <w:r>
              <w:t>new entity, see Chapter 4</w:t>
            </w:r>
          </w:p>
        </w:tc>
      </w:tr>
      <w:tr>
        <w:tc>
          <w:tcPr>
            <w:tcW w:type="dxa" w:w="4680"/>
          </w:tcPr>
          <w:p>
            <w:r>
              <w:t>User</w:t>
            </w:r>
          </w:p>
        </w:tc>
        <w:tc>
          <w:tcPr>
            <w:tcW w:type="dxa" w:w="4680"/>
          </w:tcPr>
          <w:p>
            <w:r>
              <w:t>no schema change; the role column transitions from customer to organiser through the application approval path</w:t>
            </w:r>
          </w:p>
        </w:tc>
      </w:tr>
    </w:tbl>
    <w:p>
      <w:pPr>
        <w:pStyle w:val="BodyText"/>
      </w:pPr>
      <w:r>
        <w:t>Table 7. New entity fields.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Field</w:t>
            </w:r>
          </w:p>
        </w:tc>
        <w:tc>
          <w:tcPr>
            <w:tcW w:type="dxa" w:w="3120"/>
            <w:shd w:val="clear" w:color="auto" w:fill="E7E6E6"/>
          </w:tcPr>
          <w:p>
            <w:r>
              <w:rPr>
                <w:b/>
              </w:rPr>
              <w:t>Type</w:t>
            </w:r>
          </w:p>
        </w:tc>
        <w:tc>
          <w:tcPr>
            <w:tcW w:type="dxa" w:w="3120"/>
            <w:shd w:val="clear" w:color="auto" w:fill="E7E6E6"/>
          </w:tcPr>
          <w:p>
            <w:r>
              <w:rPr>
                <w:b/>
              </w:rPr>
              <w:t>Notes</w:t>
            </w:r>
          </w:p>
        </w:tc>
      </w:tr>
      <w:tr>
        <w:tc>
          <w:tcPr>
            <w:tcW w:type="dxa" w:w="3120"/>
          </w:tcPr>
          <w:p>
            <w:r>
              <w:t>id</w:t>
            </w:r>
          </w:p>
        </w:tc>
        <w:tc>
          <w:tcPr>
            <w:tcW w:type="dxa" w:w="3120"/>
          </w:tcPr>
          <w:p>
            <w:r>
              <w:t>UUID</w:t>
            </w:r>
          </w:p>
        </w:tc>
        <w:tc>
          <w:tcPr>
            <w:tcW w:type="dxa" w:w="3120"/>
          </w:tcPr>
          <w:p>
            <w:r>
              <w:t>primary key</w:t>
            </w:r>
          </w:p>
        </w:tc>
      </w:tr>
      <w:tr>
        <w:tc>
          <w:tcPr>
            <w:tcW w:type="dxa" w:w="3120"/>
          </w:tcPr>
          <w:p>
            <w:r>
              <w:t>userId</w:t>
            </w:r>
          </w:p>
        </w:tc>
        <w:tc>
          <w:tcPr>
            <w:tcW w:type="dxa" w:w="3120"/>
          </w:tcPr>
          <w:p>
            <w:r>
              <w:t>UUID</w:t>
            </w:r>
          </w:p>
        </w:tc>
        <w:tc>
          <w:tcPr>
            <w:tcW w:type="dxa" w:w="3120"/>
          </w:tcPr>
          <w:p>
            <w:r>
              <w:t>references user.id</w:t>
            </w:r>
          </w:p>
        </w:tc>
      </w:tr>
      <w:tr>
        <w:tc>
          <w:tcPr>
            <w:tcW w:type="dxa" w:w="3120"/>
          </w:tcPr>
          <w:p>
            <w:r>
              <w:t>businessName</w:t>
            </w:r>
          </w:p>
        </w:tc>
        <w:tc>
          <w:tcPr>
            <w:tcW w:type="dxa" w:w="3120"/>
          </w:tcPr>
          <w:p>
            <w:r>
              <w:t>STRING(120)</w:t>
            </w:r>
          </w:p>
        </w:tc>
        <w:tc>
          <w:tcPr>
            <w:tcW w:type="dxa" w:w="3120"/>
          </w:tcPr>
          <w:p>
            <w:r>
              <w:t>applicant name or business name</w:t>
            </w:r>
          </w:p>
        </w:tc>
      </w:tr>
      <w:tr>
        <w:tc>
          <w:tcPr>
            <w:tcW w:type="dxa" w:w="3120"/>
          </w:tcPr>
          <w:p>
            <w:r>
              <w:t>motivation</w:t>
            </w:r>
          </w:p>
        </w:tc>
        <w:tc>
          <w:tcPr>
            <w:tcW w:type="dxa" w:w="3120"/>
          </w:tcPr>
          <w:p>
            <w:r>
              <w:t>TEXT</w:t>
            </w:r>
          </w:p>
        </w:tc>
        <w:tc>
          <w:tcPr>
            <w:tcW w:type="dxa" w:w="3120"/>
          </w:tcPr>
          <w:p>
            <w:r>
              <w:t>short free text from the applicant</w:t>
            </w:r>
          </w:p>
        </w:tc>
      </w:tr>
      <w:tr>
        <w:tc>
          <w:tcPr>
            <w:tcW w:type="dxa" w:w="3120"/>
          </w:tcPr>
          <w:p>
            <w:r>
              <w:t>paymentSnapshotPath</w:t>
            </w:r>
          </w:p>
        </w:tc>
        <w:tc>
          <w:tcPr>
            <w:tcW w:type="dxa" w:w="3120"/>
          </w:tcPr>
          <w:p>
            <w:r>
              <w:t>STRING(255)</w:t>
            </w:r>
          </w:p>
        </w:tc>
        <w:tc>
          <w:tcPr>
            <w:tcW w:type="dxa" w:w="3120"/>
          </w:tcPr>
          <w:p>
            <w:r>
              <w:t>relative path under /uploads/snapshots</w:t>
            </w:r>
          </w:p>
        </w:tc>
      </w:tr>
      <w:tr>
        <w:tc>
          <w:tcPr>
            <w:tcW w:type="dxa" w:w="3120"/>
          </w:tcPr>
          <w:p>
            <w:r>
              <w:t>paymentAmountMinor</w:t>
            </w:r>
          </w:p>
        </w:tc>
        <w:tc>
          <w:tcPr>
            <w:tcW w:type="dxa" w:w="3120"/>
          </w:tcPr>
          <w:p>
            <w:r>
              <w:t>INTEGER</w:t>
            </w:r>
          </w:p>
        </w:tc>
        <w:tc>
          <w:tcPr>
            <w:tcW w:type="dxa" w:w="3120"/>
          </w:tcPr>
          <w:p>
            <w:r>
              <w:t>amount transferred, in minor units</w:t>
            </w:r>
          </w:p>
        </w:tc>
      </w:tr>
      <w:tr>
        <w:tc>
          <w:tcPr>
            <w:tcW w:type="dxa" w:w="3120"/>
          </w:tcPr>
          <w:p>
            <w:r>
              <w:t>currency</w:t>
            </w:r>
          </w:p>
        </w:tc>
        <w:tc>
          <w:tcPr>
            <w:tcW w:type="dxa" w:w="3120"/>
          </w:tcPr>
          <w:p>
            <w:r>
              <w:t>STRING(3)</w:t>
            </w:r>
          </w:p>
        </w:tc>
        <w:tc>
          <w:tcPr>
            <w:tcW w:type="dxa" w:w="3120"/>
          </w:tcPr>
          <w:p>
            <w:r>
              <w:t>ISO 4217 code</w:t>
            </w:r>
          </w:p>
        </w:tc>
      </w:tr>
      <w:tr>
        <w:tc>
          <w:tcPr>
            <w:tcW w:type="dxa" w:w="3120"/>
          </w:tcPr>
          <w:p>
            <w:r>
              <w:t>paymentReference</w:t>
            </w:r>
          </w:p>
        </w:tc>
        <w:tc>
          <w:tcPr>
            <w:tcW w:type="dxa" w:w="3120"/>
          </w:tcPr>
          <w:p>
            <w:r>
              <w:t>STRING(64)</w:t>
            </w:r>
          </w:p>
        </w:tc>
        <w:tc>
          <w:tcPr>
            <w:tcW w:type="dxa" w:w="3120"/>
          </w:tcPr>
          <w:p>
            <w:r>
              <w:t>transaction reference number</w:t>
            </w:r>
          </w:p>
        </w:tc>
      </w:tr>
      <w:tr>
        <w:tc>
          <w:tcPr>
            <w:tcW w:type="dxa" w:w="3120"/>
          </w:tcPr>
          <w:p>
            <w:r>
              <w:t>status</w:t>
            </w:r>
          </w:p>
        </w:tc>
        <w:tc>
          <w:tcPr>
            <w:tcW w:type="dxa" w:w="3120"/>
          </w:tcPr>
          <w:p>
            <w:r>
              <w:t>ENUM</w:t>
            </w:r>
          </w:p>
        </w:tc>
        <w:tc>
          <w:tcPr>
            <w:tcW w:type="dxa" w:w="3120"/>
          </w:tcPr>
          <w:p>
            <w:r>
              <w:t>pending, approved, rejected; default pending</w:t>
            </w:r>
          </w:p>
        </w:tc>
      </w:tr>
      <w:tr>
        <w:tc>
          <w:tcPr>
            <w:tcW w:type="dxa" w:w="3120"/>
          </w:tcPr>
          <w:p>
            <w:r>
              <w:t>reviewedBy</w:t>
            </w:r>
          </w:p>
        </w:tc>
        <w:tc>
          <w:tcPr>
            <w:tcW w:type="dxa" w:w="3120"/>
          </w:tcPr>
          <w:p>
            <w:r>
              <w:t>UUID</w:t>
            </w:r>
          </w:p>
        </w:tc>
        <w:tc>
          <w:tcPr>
            <w:tcW w:type="dxa" w:w="3120"/>
          </w:tcPr>
          <w:p>
            <w:r>
              <w:t>administrator id, nullable until reviewed</w:t>
            </w:r>
          </w:p>
        </w:tc>
      </w:tr>
      <w:tr>
        <w:tc>
          <w:tcPr>
            <w:tcW w:type="dxa" w:w="3120"/>
          </w:tcPr>
          <w:p>
            <w:r>
              <w:t>reviewedAt</w:t>
            </w:r>
          </w:p>
        </w:tc>
        <w:tc>
          <w:tcPr>
            <w:tcW w:type="dxa" w:w="3120"/>
          </w:tcPr>
          <w:p>
            <w:r>
              <w:t>DATE</w:t>
            </w:r>
          </w:p>
        </w:tc>
        <w:tc>
          <w:tcPr>
            <w:tcW w:type="dxa" w:w="3120"/>
          </w:tcPr>
          <w:p>
            <w:r>
              <w:t>nullable until reviewed</w:t>
            </w:r>
          </w:p>
        </w:tc>
      </w:tr>
      <w:tr>
        <w:tc>
          <w:tcPr>
            <w:tcW w:type="dxa" w:w="3120"/>
          </w:tcPr>
          <w:p>
            <w:r>
              <w:t>rejectionReason</w:t>
            </w:r>
          </w:p>
        </w:tc>
        <w:tc>
          <w:tcPr>
            <w:tcW w:type="dxa" w:w="3120"/>
          </w:tcPr>
          <w:p>
            <w:r>
              <w:t>TEXT</w:t>
            </w:r>
          </w:p>
        </w:tc>
        <w:tc>
          <w:tcPr>
            <w:tcW w:type="dxa" w:w="3120"/>
          </w:tcPr>
          <w:p>
            <w:r>
              <w:t>nullable, populated on reject only</w:t>
            </w:r>
          </w:p>
        </w:tc>
      </w:tr>
      <w:tr>
        <w:tc>
          <w:tcPr>
            <w:tcW w:type="dxa" w:w="3120"/>
          </w:tcPr>
          <w:p>
            <w:r>
              <w:t>submittedAt</w:t>
            </w:r>
          </w:p>
        </w:tc>
        <w:tc>
          <w:tcPr>
            <w:tcW w:type="dxa" w:w="3120"/>
          </w:tcPr>
          <w:p>
            <w:r>
              <w:t>DATE</w:t>
            </w:r>
          </w:p>
        </w:tc>
        <w:tc>
          <w:tcPr>
            <w:tcW w:type="dxa" w:w="3120"/>
          </w:tcPr>
          <w:p>
            <w:r>
              <w:t>set at create time</w:t>
            </w:r>
          </w:p>
        </w:tc>
      </w:tr>
    </w:tbl>
    <w:p>
      <w:pPr>
        <w:pStyle w:val="BodyText"/>
      </w:pPr>
      <w:r>
        <w:t>OrganizerApplication carries a service level invariant of at most one pending row per userId. The check runs in the submit service before insertion and is asserted by a duplicate submission test.</w:t>
      </w:r>
    </w:p>
    <w:p>
      <w:pPr>
        <w:pStyle w:val="Heading1"/>
      </w:pPr>
      <w:r>
        <w:t>Chapter 7. Affected screens and routes</w:t>
      </w:r>
    </w:p>
    <w:p>
      <w:pPr>
        <w:pStyle w:val="BodyText"/>
      </w:pPr>
      <w:r>
        <w:t>Table 8. Frontend routes added or modified.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Route</w:t>
            </w:r>
          </w:p>
        </w:tc>
        <w:tc>
          <w:tcPr>
            <w:tcW w:type="dxa" w:w="3120"/>
            <w:shd w:val="clear" w:color="auto" w:fill="E7E6E6"/>
          </w:tcPr>
          <w:p>
            <w:r>
              <w:rPr>
                <w:b/>
              </w:rPr>
              <w:t>Guard</w:t>
            </w:r>
          </w:p>
        </w:tc>
        <w:tc>
          <w:tcPr>
            <w:tcW w:type="dxa" w:w="3120"/>
            <w:shd w:val="clear" w:color="auto" w:fill="E7E6E6"/>
          </w:tcPr>
          <w:p>
            <w:r>
              <w:rPr>
                <w:b/>
              </w:rPr>
              <w:t>Status</w:t>
            </w:r>
          </w:p>
        </w:tc>
      </w:tr>
      <w:tr>
        <w:tc>
          <w:tcPr>
            <w:tcW w:type="dxa" w:w="3120"/>
          </w:tcPr>
          <w:p>
            <w:r>
              <w:t>/become-organizer</w:t>
            </w:r>
          </w:p>
        </w:tc>
        <w:tc>
          <w:tcPr>
            <w:tcW w:type="dxa" w:w="3120"/>
          </w:tcPr>
          <w:p>
            <w:r>
              <w:t>AuthGuard and RoleGuard customer</w:t>
            </w:r>
          </w:p>
        </w:tc>
        <w:tc>
          <w:tcPr>
            <w:tcW w:type="dxa" w:w="3120"/>
          </w:tcPr>
          <w:p>
            <w:r>
              <w:t>new</w:t>
            </w:r>
          </w:p>
        </w:tc>
      </w:tr>
      <w:tr>
        <w:tc>
          <w:tcPr>
            <w:tcW w:type="dxa" w:w="3120"/>
          </w:tcPr>
          <w:p>
            <w:r>
              <w:t>/admin/organizer-applications</w:t>
            </w:r>
          </w:p>
        </w:tc>
        <w:tc>
          <w:tcPr>
            <w:tcW w:type="dxa" w:w="3120"/>
          </w:tcPr>
          <w:p>
            <w:r>
              <w:t>AuthGuard and RoleGuard admin</w:t>
            </w:r>
          </w:p>
        </w:tc>
        <w:tc>
          <w:tcPr>
            <w:tcW w:type="dxa" w:w="3120"/>
          </w:tcPr>
          <w:p>
            <w:r>
              <w:t>new</w:t>
            </w:r>
          </w:p>
        </w:tc>
      </w:tr>
      <w:tr>
        <w:tc>
          <w:tcPr>
            <w:tcW w:type="dxa" w:w="3120"/>
          </w:tcPr>
          <w:p>
            <w:r>
              <w:t>/settings/notifications</w:t>
            </w:r>
          </w:p>
        </w:tc>
        <w:tc>
          <w:tcPr>
            <w:tcW w:type="dxa" w:w="3120"/>
          </w:tcPr>
          <w:p>
            <w:r>
              <w:t>AuthGuard</w:t>
            </w:r>
          </w:p>
        </w:tc>
        <w:tc>
          <w:tcPr>
            <w:tcW w:type="dxa" w:w="3120"/>
          </w:tcPr>
          <w:p>
            <w:r>
              <w:t>new</w:t>
            </w:r>
          </w:p>
        </w:tc>
      </w:tr>
      <w:tr>
        <w:tc>
          <w:tcPr>
            <w:tcW w:type="dxa" w:w="3120"/>
          </w:tcPr>
          <w:p>
            <w:r>
              <w:t>/events/new</w:t>
            </w:r>
          </w:p>
        </w:tc>
        <w:tc>
          <w:tcPr>
            <w:tcW w:type="dxa" w:w="3120"/>
          </w:tcPr>
          <w:p>
            <w:r>
              <w:t>AuthGuard and RoleGuard organiser</w:t>
            </w:r>
          </w:p>
        </w:tc>
        <w:tc>
          <w:tcPr>
            <w:tcW w:type="dxa" w:w="3120"/>
          </w:tcPr>
          <w:p>
            <w:r>
              <w:t>unchanged</w:t>
            </w:r>
          </w:p>
        </w:tc>
      </w:tr>
      <w:tr>
        <w:tc>
          <w:tcPr>
            <w:tcW w:type="dxa" w:w="3120"/>
          </w:tcPr>
          <w:p>
            <w:r>
              <w:t>/organizer</w:t>
            </w:r>
          </w:p>
        </w:tc>
        <w:tc>
          <w:tcPr>
            <w:tcW w:type="dxa" w:w="3120"/>
          </w:tcPr>
          <w:p>
            <w:r>
              <w:t>AuthGuard and RoleGuard organiser</w:t>
            </w:r>
          </w:p>
        </w:tc>
        <w:tc>
          <w:tcPr>
            <w:tcW w:type="dxa" w:w="3120"/>
          </w:tcPr>
          <w:p>
            <w:r>
              <w:t>modified, reads ?onboarded=1 to open the onboarding popup</w:t>
            </w:r>
          </w:p>
        </w:tc>
      </w:tr>
      <w:tr>
        <w:tc>
          <w:tcPr>
            <w:tcW w:type="dxa" w:w="3120"/>
          </w:tcPr>
          <w:p>
            <w:r>
              <w:t>/login</w:t>
            </w:r>
          </w:p>
        </w:tc>
        <w:tc>
          <w:tcPr>
            <w:tcW w:type="dxa" w:w="3120"/>
          </w:tcPr>
          <w:p>
            <w:r>
              <w:t>public</w:t>
            </w:r>
          </w:p>
        </w:tc>
        <w:tc>
          <w:tcPr>
            <w:tcW w:type="dxa" w:w="3120"/>
          </w:tcPr>
          <w:p>
            <w:r>
              <w:t>modified, role dropdown removed</w:t>
            </w:r>
          </w:p>
        </w:tc>
      </w:tr>
    </w:tbl>
    <w:p>
      <w:pPr>
        <w:pStyle w:val="BodyText"/>
      </w:pPr>
      <w:r>
        <w:t>The Host Event call to action in the navigation bar is now driven by the smart button component described in section 3.4. The dashboard surfaces a Become an organiser card when the user has no application or has been rejected, and a pending banner when an application is awaiting review.</w:t>
      </w:r>
    </w:p>
    <w:p>
      <w:pPr>
        <w:pStyle w:val="Heading1"/>
      </w:pPr>
      <w:r>
        <w:t>Chapter 8. Affected API surface</w:t>
      </w:r>
    </w:p>
    <w:p>
      <w:pPr>
        <w:pStyle w:val="BodyText"/>
      </w:pPr>
      <w:r>
        <w:t>Table 9. New endpoints.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Method</w:t>
            </w:r>
          </w:p>
        </w:tc>
        <w:tc>
          <w:tcPr>
            <w:tcW w:type="dxa" w:w="3120"/>
            <w:shd w:val="clear" w:color="auto" w:fill="E7E6E6"/>
          </w:tcPr>
          <w:p>
            <w:r>
              <w:rPr>
                <w:b/>
              </w:rPr>
              <w:t>Path</w:t>
            </w:r>
          </w:p>
        </w:tc>
        <w:tc>
          <w:tcPr>
            <w:tcW w:type="dxa" w:w="3120"/>
            <w:shd w:val="clear" w:color="auto" w:fill="E7E6E6"/>
          </w:tcPr>
          <w:p>
            <w:r>
              <w:rPr>
                <w:b/>
              </w:rPr>
              <w:t>Purpose</w:t>
            </w:r>
          </w:p>
        </w:tc>
      </w:tr>
      <w:tr>
        <w:tc>
          <w:tcPr>
            <w:tcW w:type="dxa" w:w="3120"/>
          </w:tcPr>
          <w:p>
            <w:r>
              <w:t>POST</w:t>
            </w:r>
          </w:p>
        </w:tc>
        <w:tc>
          <w:tcPr>
            <w:tcW w:type="dxa" w:w="3120"/>
          </w:tcPr>
          <w:p>
            <w:r>
              <w:t>/organizer-applications</w:t>
            </w:r>
          </w:p>
        </w:tc>
        <w:tc>
          <w:tcPr>
            <w:tcW w:type="dxa" w:w="3120"/>
          </w:tcPr>
          <w:p>
            <w:r>
              <w:t>Submit an application with multipart payload</w:t>
            </w:r>
          </w:p>
        </w:tc>
      </w:tr>
      <w:tr>
        <w:tc>
          <w:tcPr>
            <w:tcW w:type="dxa" w:w="3120"/>
          </w:tcPr>
          <w:p>
            <w:r>
              <w:t>GET</w:t>
            </w:r>
          </w:p>
        </w:tc>
        <w:tc>
          <w:tcPr>
            <w:tcW w:type="dxa" w:w="3120"/>
          </w:tcPr>
          <w:p>
            <w:r>
              <w:t>/organizer-applications/mine</w:t>
            </w:r>
          </w:p>
        </w:tc>
        <w:tc>
          <w:tcPr>
            <w:tcW w:type="dxa" w:w="3120"/>
          </w:tcPr>
          <w:p>
            <w:r>
              <w:t>Return the current applicant's latest application</w:t>
            </w:r>
          </w:p>
        </w:tc>
      </w:tr>
      <w:tr>
        <w:tc>
          <w:tcPr>
            <w:tcW w:type="dxa" w:w="3120"/>
          </w:tcPr>
          <w:p>
            <w:r>
              <w:t>GET</w:t>
            </w:r>
          </w:p>
        </w:tc>
        <w:tc>
          <w:tcPr>
            <w:tcW w:type="dxa" w:w="3120"/>
          </w:tcPr>
          <w:p>
            <w:r>
              <w:t>/admin/organizer-applications</w:t>
            </w:r>
          </w:p>
        </w:tc>
        <w:tc>
          <w:tcPr>
            <w:tcW w:type="dxa" w:w="3120"/>
          </w:tcPr>
          <w:p>
            <w:r>
              <w:t>List pending applications for the administrator queue</w:t>
            </w:r>
          </w:p>
        </w:tc>
      </w:tr>
      <w:tr>
        <w:tc>
          <w:tcPr>
            <w:tcW w:type="dxa" w:w="3120"/>
          </w:tcPr>
          <w:p>
            <w:r>
              <w:t>POST</w:t>
            </w:r>
          </w:p>
        </w:tc>
        <w:tc>
          <w:tcPr>
            <w:tcW w:type="dxa" w:w="3120"/>
          </w:tcPr>
          <w:p>
            <w:r>
              <w:t>/admin/organizer-applications/:id/approve</w:t>
            </w:r>
          </w:p>
        </w:tc>
        <w:tc>
          <w:tcPr>
            <w:tcW w:type="dxa" w:w="3120"/>
          </w:tcPr>
          <w:p>
            <w:r>
              <w:t>Approve, flip role, send email</w:t>
            </w:r>
          </w:p>
        </w:tc>
      </w:tr>
      <w:tr>
        <w:tc>
          <w:tcPr>
            <w:tcW w:type="dxa" w:w="3120"/>
          </w:tcPr>
          <w:p>
            <w:r>
              <w:t>POST</w:t>
            </w:r>
          </w:p>
        </w:tc>
        <w:tc>
          <w:tcPr>
            <w:tcW w:type="dxa" w:w="3120"/>
          </w:tcPr>
          <w:p>
            <w:r>
              <w:t>/admin/organizer-applications/:id/reject</w:t>
            </w:r>
          </w:p>
        </w:tc>
        <w:tc>
          <w:tcPr>
            <w:tcW w:type="dxa" w:w="3120"/>
          </w:tcPr>
          <w:p>
            <w:r>
              <w:t>Reject with a reason, send email</w:t>
            </w:r>
          </w:p>
        </w:tc>
      </w:tr>
      <w:tr>
        <w:tc>
          <w:tcPr>
            <w:tcW w:type="dxa" w:w="3120"/>
          </w:tcPr>
          <w:p>
            <w:r>
              <w:t>GET</w:t>
            </w:r>
          </w:p>
        </w:tc>
        <w:tc>
          <w:tcPr>
            <w:tcW w:type="dxa" w:w="3120"/>
          </w:tcPr>
          <w:p>
            <w:r>
              <w:t>/me/preferences</w:t>
            </w:r>
          </w:p>
        </w:tc>
        <w:tc>
          <w:tcPr>
            <w:tcW w:type="dxa" w:w="3120"/>
          </w:tcPr>
          <w:p>
            <w:r>
              <w:t>Return the preference matrix for the requesting user</w:t>
            </w:r>
          </w:p>
        </w:tc>
      </w:tr>
      <w:tr>
        <w:tc>
          <w:tcPr>
            <w:tcW w:type="dxa" w:w="3120"/>
          </w:tcPr>
          <w:p>
            <w:r>
              <w:t>PUT</w:t>
            </w:r>
          </w:p>
        </w:tc>
        <w:tc>
          <w:tcPr>
            <w:tcW w:type="dxa" w:w="3120"/>
          </w:tcPr>
          <w:p>
            <w:r>
              <w:t>/me/preferences/:type</w:t>
            </w:r>
          </w:p>
        </w:tc>
        <w:tc>
          <w:tcPr>
            <w:tcW w:type="dxa" w:w="3120"/>
          </w:tcPr>
          <w:p>
            <w:r>
              <w:t>Set the muted flag for a type, reject mandatory types</w:t>
            </w:r>
          </w:p>
        </w:tc>
      </w:tr>
    </w:tbl>
    <w:p>
      <w:pPr>
        <w:pStyle w:val="BodyText"/>
      </w:pPr>
      <w:r>
        <w:t>Table 10. Modified endpoints.</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r>
              <w:rPr>
                <w:b/>
              </w:rPr>
              <w:t>Method and path</w:t>
            </w:r>
          </w:p>
        </w:tc>
        <w:tc>
          <w:tcPr>
            <w:tcW w:type="dxa" w:w="4680"/>
            <w:shd w:val="clear" w:color="auto" w:fill="E7E6E6"/>
          </w:tcPr>
          <w:p>
            <w:r>
              <w:rPr>
                <w:b/>
              </w:rPr>
              <w:t>Change</w:t>
            </w:r>
          </w:p>
        </w:tc>
      </w:tr>
      <w:tr>
        <w:tc>
          <w:tcPr>
            <w:tcW w:type="dxa" w:w="4680"/>
          </w:tcPr>
          <w:p>
            <w:r>
              <w:t>POST /auth/register</w:t>
            </w:r>
          </w:p>
        </w:tc>
        <w:tc>
          <w:tcPr>
            <w:tcW w:type="dxa" w:w="4680"/>
          </w:tcPr>
          <w:p>
            <w:r>
              <w:t>role property removed from the schema; silently stripped if sent; all new accounts are customers</w:t>
            </w:r>
          </w:p>
        </w:tc>
      </w:tr>
      <w:tr>
        <w:tc>
          <w:tcPr>
            <w:tcW w:type="dxa" w:w="4680"/>
          </w:tcPr>
          <w:p>
            <w:r>
              <w:t>POST /events</w:t>
            </w:r>
          </w:p>
        </w:tc>
        <w:tc>
          <w:tcPr>
            <w:tcW w:type="dxa" w:w="4680"/>
          </w:tcPr>
          <w:p>
            <w:r>
              <w:t>rejects ticketPriceMinor greater than zero with 422; accepts currency, meetingUrl</w:t>
            </w:r>
          </w:p>
        </w:tc>
      </w:tr>
      <w:tr>
        <w:tc>
          <w:tcPr>
            <w:tcW w:type="dxa" w:w="4680"/>
          </w:tcPr>
          <w:p>
            <w:r>
              <w:t>POST /bookings</w:t>
            </w:r>
          </w:p>
        </w:tc>
        <w:tc>
          <w:tcPr>
            <w:tcW w:type="dxa" w:w="4680"/>
          </w:tcPr>
          <w:p>
            <w:r>
              <w:t>response carries totalAmountMinor and currency; event payload carries meetingUrl</w:t>
            </w:r>
          </w:p>
        </w:tc>
      </w:tr>
      <w:tr>
        <w:tc>
          <w:tcPr>
            <w:tcW w:type="dxa" w:w="4680"/>
          </w:tcPr>
          <w:p>
            <w:r>
              <w:t>GET /bookings/my</w:t>
            </w:r>
          </w:p>
        </w:tc>
        <w:tc>
          <w:tcPr>
            <w:tcW w:type="dxa" w:w="4680"/>
          </w:tcPr>
          <w:p>
            <w:r>
              <w:t>slim event payload carries meetingUrl, ticketPriceMinor, currency</w:t>
            </w:r>
          </w:p>
        </w:tc>
      </w:tr>
    </w:tbl>
    <w:p>
      <w:pPr>
        <w:pStyle w:val="Heading1"/>
      </w:pPr>
      <w:r>
        <w:t>Chapter 9. Out of scope and future tier removal checklist</w:t>
      </w:r>
    </w:p>
    <w:p>
      <w:pPr>
        <w:pStyle w:val="BodyText"/>
      </w:pPr>
      <w:r>
        <w:t>The paid events tier is intentionally inert in version one but is one short diff away. The checklist below records the exact removal steps so the path is unambiguous when leadership signals that the audience is ready.</w:t>
      </w:r>
    </w:p>
    <w:p>
      <w:pPr>
        <w:pStyle w:val="BodyText"/>
      </w:pPr>
      <w:r>
        <w:t>Table 11. Paid events tier removal checklist.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Step</w:t>
            </w:r>
          </w:p>
        </w:tc>
        <w:tc>
          <w:tcPr>
            <w:tcW w:type="dxa" w:w="3120"/>
            <w:shd w:val="clear" w:color="auto" w:fill="E7E6E6"/>
          </w:tcPr>
          <w:p>
            <w:r>
              <w:rPr>
                <w:b/>
              </w:rPr>
              <w:t>Action</w:t>
            </w:r>
          </w:p>
        </w:tc>
        <w:tc>
          <w:tcPr>
            <w:tcW w:type="dxa" w:w="3120"/>
            <w:shd w:val="clear" w:color="auto" w:fill="E7E6E6"/>
          </w:tcPr>
          <w:p>
            <w:r>
              <w:rPr>
                <w:b/>
              </w:rPr>
              <w:t>Location</w:t>
            </w:r>
          </w:p>
        </w:tc>
      </w:tr>
      <w:tr>
        <w:tc>
          <w:tcPr>
            <w:tcW w:type="dxa" w:w="3120"/>
          </w:tcPr>
          <w:p>
            <w:r>
              <w:t>1</w:t>
            </w:r>
          </w:p>
        </w:tc>
        <w:tc>
          <w:tcPr>
            <w:tcW w:type="dxa" w:w="3120"/>
          </w:tcPr>
          <w:p>
            <w:r>
              <w:t>Delete the two line paid events gate</w:t>
            </w:r>
          </w:p>
        </w:tc>
        <w:tc>
          <w:tcPr>
            <w:tcW w:type="dxa" w:w="3120"/>
          </w:tcPr>
          <w:p>
            <w:r>
              <w:t>backend/src/services/event.service.js, create function</w:t>
            </w:r>
          </w:p>
        </w:tc>
      </w:tr>
      <w:tr>
        <w:tc>
          <w:tcPr>
            <w:tcW w:type="dxa" w:w="3120"/>
          </w:tcPr>
          <w:p>
            <w:r>
              <w:t>2</w:t>
            </w:r>
          </w:p>
        </w:tc>
        <w:tc>
          <w:tcPr>
            <w:tcW w:type="dxa" w:w="3120"/>
          </w:tcPr>
          <w:p>
            <w:r>
              <w:t>Remove the disabled attribute and the two coming soon notes</w:t>
            </w:r>
          </w:p>
        </w:tc>
        <w:tc>
          <w:tcPr>
            <w:tcW w:type="dxa" w:w="3120"/>
          </w:tcPr>
          <w:p>
            <w:r>
              <w:t>frontend/src/pages/EventCreation.jsx, ticket price and refund deadline inputs</w:t>
            </w:r>
          </w:p>
        </w:tc>
      </w:tr>
      <w:tr>
        <w:tc>
          <w:tcPr>
            <w:tcW w:type="dxa" w:w="3120"/>
          </w:tcPr>
          <w:p>
            <w:r>
              <w:t>3</w:t>
            </w:r>
          </w:p>
        </w:tc>
        <w:tc>
          <w:tcPr>
            <w:tcW w:type="dxa" w:w="3120"/>
          </w:tcPr>
          <w:p>
            <w:r>
              <w:t>Implement stripe.strategy.js with the charge interface; register it; set PAYMENT_GATEWAY to stripe and STRIPE_SECRET_KEY in env</w:t>
            </w:r>
          </w:p>
        </w:tc>
        <w:tc>
          <w:tcPr>
            <w:tcW w:type="dxa" w:w="3120"/>
          </w:tcPr>
          <w:p>
            <w:r>
              <w:t>backend/src/strategies/payment/</w:t>
            </w:r>
          </w:p>
        </w:tc>
      </w:tr>
      <w:tr>
        <w:tc>
          <w:tcPr>
            <w:tcW w:type="dxa" w:w="3120"/>
          </w:tcPr>
          <w:p>
            <w:r>
              <w:t>4</w:t>
            </w:r>
          </w:p>
        </w:tc>
        <w:tc>
          <w:tcPr>
            <w:tcW w:type="dxa" w:w="3120"/>
          </w:tcPr>
          <w:p>
            <w:r>
              <w:t>Optional, add payment.captured template key for a separate receipt email</w:t>
            </w:r>
          </w:p>
        </w:tc>
        <w:tc>
          <w:tcPr>
            <w:tcW w:type="dxa" w:w="3120"/>
          </w:tcPr>
          <w:p>
            <w:r>
              <w:t>backend/src/configs/templates.config.js</w:t>
            </w:r>
          </w:p>
        </w:tc>
      </w:tr>
      <w:tr>
        <w:tc>
          <w:tcPr>
            <w:tcW w:type="dxa" w:w="3120"/>
          </w:tcPr>
          <w:p>
            <w:r>
              <w:t>5</w:t>
            </w:r>
          </w:p>
        </w:tc>
        <w:tc>
          <w:tcPr>
            <w:tcW w:type="dxa" w:w="3120"/>
          </w:tcPr>
          <w:p>
            <w:r>
              <w:t>Promote the existing stubbed paid branch test to a live Stripe test mode flow</w:t>
            </w:r>
          </w:p>
        </w:tc>
        <w:tc>
          <w:tcPr>
            <w:tcW w:type="dxa" w:w="3120"/>
          </w:tcPr>
          <w:p>
            <w:r>
              <w:t>backend/tests/bookings.test.js</w:t>
            </w:r>
          </w:p>
        </w:tc>
      </w:tr>
    </w:tbl>
    <w:p>
      <w:pPr>
        <w:pStyle w:val="BodyText"/>
      </w:pPr>
      <w:r>
        <w:t>The expected diff is small. Around five deleted lines on the backend, three attribute removals on the frontend, one new strategy file, and one environment variable flip. No model migration, no template system change, no notification pipeline change, and no frontend mapper change.</w:t>
      </w:r>
    </w:p>
    <w:p>
      <w:pPr>
        <w:pStyle w:val="Heading1"/>
      </w:pPr>
      <w:r>
        <w:t>Chapter 10. Verification record</w:t>
      </w:r>
    </w:p>
    <w:p>
      <w:pPr>
        <w:pStyle w:val="Heading2"/>
      </w:pPr>
      <w:r>
        <w:t>10.1 Unit test totals</w:t>
      </w:r>
    </w:p>
    <w:p>
      <w:pPr>
        <w:pStyle w:val="BodyText"/>
      </w:pPr>
      <w:r>
        <w:t>The backend suite runs at 228 assertions across seven files, all passing at the time of this issue.</w:t>
      </w:r>
    </w:p>
    <w:p>
      <w:pPr>
        <w:pStyle w:val="BodyText"/>
      </w:pPr>
      <w:r>
        <w:t>Table 12. Test files and assertion counts.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7E6E6"/>
          </w:tcPr>
          <w:p>
            <w:r>
              <w:rPr>
                <w:b/>
              </w:rPr>
              <w:t>File</w:t>
            </w:r>
          </w:p>
        </w:tc>
        <w:tc>
          <w:tcPr>
            <w:tcW w:type="dxa" w:w="3120"/>
            <w:shd w:val="clear" w:color="auto" w:fill="E7E6E6"/>
          </w:tcPr>
          <w:p>
            <w:r>
              <w:rPr>
                <w:b/>
              </w:rPr>
              <w:t>Assertions</w:t>
            </w:r>
          </w:p>
        </w:tc>
        <w:tc>
          <w:tcPr>
            <w:tcW w:type="dxa" w:w="3120"/>
            <w:shd w:val="clear" w:color="auto" w:fill="E7E6E6"/>
          </w:tcPr>
          <w:p>
            <w:r>
              <w:rPr>
                <w:b/>
              </w:rPr>
              <w:t>Focus</w:t>
            </w:r>
          </w:p>
        </w:tc>
      </w:tr>
      <w:tr>
        <w:tc>
          <w:tcPr>
            <w:tcW w:type="dxa" w:w="3120"/>
          </w:tcPr>
          <w:p>
            <w:r>
              <w:t>auth.test.js</w:t>
            </w:r>
          </w:p>
        </w:tc>
        <w:tc>
          <w:tcPr>
            <w:tcW w:type="dxa" w:w="3120"/>
          </w:tcPr>
          <w:p>
            <w:r>
              <w:t>17</w:t>
            </w:r>
          </w:p>
        </w:tc>
        <w:tc>
          <w:tcPr>
            <w:tcW w:type="dxa" w:w="3120"/>
          </w:tcPr>
          <w:p>
            <w:r>
              <w:t>customer only signup; role strip; profile</w:t>
            </w:r>
          </w:p>
        </w:tc>
      </w:tr>
      <w:tr>
        <w:tc>
          <w:tcPr>
            <w:tcW w:type="dxa" w:w="3120"/>
          </w:tcPr>
          <w:p>
            <w:r>
              <w:t>bookings.test.js</w:t>
            </w:r>
          </w:p>
        </w:tc>
        <w:tc>
          <w:tcPr>
            <w:tcW w:type="dxa" w:w="3120"/>
          </w:tcPr>
          <w:p>
            <w:r>
              <w:t>32</w:t>
            </w:r>
          </w:p>
        </w:tc>
        <w:tc>
          <w:tcPr>
            <w:tcW w:type="dxa" w:w="3120"/>
          </w:tcPr>
          <w:p>
            <w:r>
              <w:t>free booking, stubbed paid branch, currency carry</w:t>
            </w:r>
          </w:p>
        </w:tc>
      </w:tr>
      <w:tr>
        <w:tc>
          <w:tcPr>
            <w:tcW w:type="dxa" w:w="3120"/>
          </w:tcPr>
          <w:p>
            <w:r>
              <w:t>booking-cancellation.test.js</w:t>
            </w:r>
          </w:p>
        </w:tc>
        <w:tc>
          <w:tcPr>
            <w:tcW w:type="dxa" w:w="3120"/>
          </w:tcPr>
          <w:p>
            <w:r>
              <w:t>24</w:t>
            </w:r>
          </w:p>
        </w:tc>
        <w:tc>
          <w:tcPr>
            <w:tcW w:type="dxa" w:w="3120"/>
          </w:tcPr>
          <w:p>
            <w:r>
              <w:t>refund window, mass refund, status writes</w:t>
            </w:r>
          </w:p>
        </w:tc>
      </w:tr>
      <w:tr>
        <w:tc>
          <w:tcPr>
            <w:tcW w:type="dxa" w:w="3120"/>
          </w:tcPr>
          <w:p>
            <w:r>
              <w:t>events.test.js</w:t>
            </w:r>
          </w:p>
        </w:tc>
        <w:tc>
          <w:tcPr>
            <w:tcW w:type="dxa" w:w="3120"/>
          </w:tcPr>
          <w:p>
            <w:r>
              <w:t>28</w:t>
            </w:r>
          </w:p>
        </w:tc>
        <w:tc>
          <w:tcPr>
            <w:tcW w:type="dxa" w:w="3120"/>
          </w:tcPr>
          <w:p>
            <w:r>
              <w:t>paid events gate, currency, meeting link validation</w:t>
            </w:r>
          </w:p>
        </w:tc>
      </w:tr>
      <w:tr>
        <w:tc>
          <w:tcPr>
            <w:tcW w:type="dxa" w:w="3120"/>
          </w:tcPr>
          <w:p>
            <w:r>
              <w:t>notifications.test.js</w:t>
            </w:r>
          </w:p>
        </w:tc>
        <w:tc>
          <w:tcPr>
            <w:tcW w:type="dxa" w:w="3120"/>
          </w:tcPr>
          <w:p>
            <w:r>
              <w:t>73</w:t>
            </w:r>
          </w:p>
        </w:tc>
        <w:tc>
          <w:tcPr>
            <w:tcW w:type="dxa" w:w="3120"/>
          </w:tcPr>
          <w:p>
            <w:r>
              <w:t>templates, channel, mute, mandatory bypass</w:t>
            </w:r>
          </w:p>
        </w:tc>
      </w:tr>
      <w:tr>
        <w:tc>
          <w:tcPr>
            <w:tcW w:type="dxa" w:w="3120"/>
          </w:tcPr>
          <w:p>
            <w:r>
              <w:t>organizer-applications.test.js</w:t>
            </w:r>
          </w:p>
        </w:tc>
        <w:tc>
          <w:tcPr>
            <w:tcW w:type="dxa" w:w="3120"/>
          </w:tcPr>
          <w:p>
            <w:r>
              <w:t>29</w:t>
            </w:r>
          </w:p>
        </w:tc>
        <w:tc>
          <w:tcPr>
            <w:tcW w:type="dxa" w:w="3120"/>
          </w:tcPr>
          <w:p>
            <w:r>
              <w:t>submit, approve, reject, duplicate, non image</w:t>
            </w:r>
          </w:p>
        </w:tc>
      </w:tr>
      <w:tr>
        <w:tc>
          <w:tcPr>
            <w:tcW w:type="dxa" w:w="3120"/>
          </w:tcPr>
          <w:p>
            <w:r>
              <w:t>waitlist.test.js</w:t>
            </w:r>
          </w:p>
        </w:tc>
        <w:tc>
          <w:tcPr>
            <w:tcW w:type="dxa" w:w="3120"/>
          </w:tcPr>
          <w:p>
            <w:r>
              <w:t>25</w:t>
            </w:r>
          </w:p>
        </w:tc>
        <w:tc>
          <w:tcPr>
            <w:tcW w:type="dxa" w:w="3120"/>
          </w:tcPr>
          <w:p>
            <w:r>
              <w:t>join, promote, expire, sweep</w:t>
            </w:r>
          </w:p>
        </w:tc>
      </w:tr>
    </w:tbl>
    <w:p>
      <w:pPr>
        <w:pStyle w:val="Heading2"/>
      </w:pPr>
      <w:r>
        <w:t>10.2 Live mail delivery</w:t>
      </w:r>
    </w:p>
    <w:p>
      <w:pPr>
        <w:pStyle w:val="BodyText"/>
      </w:pPr>
      <w:r>
        <w:t>The end to end script at tests/abd-live-e2e.sh exercises the full chain against the live Gmail SMTP credentials configured in the development environment. Each run produces four delivered emails into the applicant and booker inboxes, namely organizer.application.submitted, organizer.application.approved, event.approved, and booking.confirmed. The last carries the cost free line and the meeting link.</w:t>
      </w:r>
    </w:p>
    <w:p>
      <w:pPr>
        <w:pStyle w:val="Heading2"/>
      </w:pPr>
      <w:r>
        <w:t>10.3 Frontend smoke check</w:t>
      </w:r>
    </w:p>
    <w:p>
      <w:pPr>
        <w:pStyle w:val="ListBullet"/>
      </w:pPr>
      <w:r>
        <w:t>Event creation form shows the ticket price input disabled at zero with the coming soon note; the currency dropdown is active; the refund deadline is disabled with its own note; the meeting link input is active.</w:t>
      </w:r>
    </w:p>
    <w:p>
      <w:pPr>
        <w:pStyle w:val="ListBullet"/>
      </w:pPr>
      <w:r>
        <w:t>Signup page no longer carries a role selector; the login page shows a short hint that organisers are admitted by application.</w:t>
      </w:r>
    </w:p>
    <w:p>
      <w:pPr>
        <w:pStyle w:val="ListBullet"/>
      </w:pPr>
      <w:r>
        <w:t>Host Event button in the navigation bar routes per the table in section 3.4.</w:t>
      </w:r>
    </w:p>
    <w:p>
      <w:pPr>
        <w:pStyle w:val="ListBullet"/>
      </w:pPr>
      <w:r>
        <w:t>Notification settings page renders mandatory rows as locked with a lock icon and renders opt out able rows with a working toggle.</w:t>
      </w:r>
    </w:p>
    <w:p>
      <w:pPr>
        <w:pStyle w:val="Heading1"/>
      </w:pPr>
      <w:r>
        <w:t>Appendix A. Mermaid diagram sources</w:t>
      </w:r>
    </w:p>
    <w:p>
      <w:pPr>
        <w:pStyle w:val="BodyText"/>
      </w:pPr>
      <w:r>
        <w:t>The mermaid blocks embedded in the body of this document are reproduced here as a single block for ease of copying.</w:t>
      </w:r>
    </w:p>
    <w:p>
      <w:pPr>
        <w:pStyle w:val="BodyText"/>
      </w:pPr>
      <w:r>
        <w:t>A.1 Figure 1 source.</w:t>
      </w:r>
    </w:p>
    <w:p>
      <w:pPr>
        <w:pStyle w:val="SourceCode"/>
      </w:pPr>
      <w:r>
        <w:rPr>
          <w:rFonts w:ascii="Consolas" w:hAnsi="Consolas"/>
          <w:sz w:val="18"/>
        </w:rPr>
        <w:t>flowchart LR</w:t>
        <w:br/>
        <w:t xml:space="preserve">  A[Visitor opens signup] --&gt; B[Picks role customer or organiser]</w:t>
        <w:br/>
        <w:t xml:space="preserve">  B --&gt; C[Submits form]</w:t>
        <w:br/>
        <w:t xml:space="preserve">  C --&gt; D[User row created with chosen role]</w:t>
        <w:br/>
        <w:t xml:space="preserve">  D --&gt; E{Role}</w:t>
        <w:br/>
        <w:t xml:space="preserve">  E -- organiser --&gt; F[Goes straight to event creation]</w:t>
        <w:br/>
        <w:t xml:space="preserve">  E -- customer --&gt; G[Goes to home page]</w:t>
        <w:br/>
      </w:r>
    </w:p>
    <w:p>
      <w:pPr>
        <w:pStyle w:val="BodyText"/>
      </w:pPr>
      <w:r>
        <w:t>A.2 Figure 2 source.</w:t>
      </w:r>
    </w:p>
    <w:p>
      <w:pPr>
        <w:pStyle w:val="SourceCode"/>
      </w:pPr>
      <w:r>
        <w:rPr>
          <w:rFonts w:ascii="Consolas" w:hAnsi="Consolas"/>
          <w:sz w:val="18"/>
        </w:rPr>
        <w:t>flowchart TD</w:t>
        <w:br/>
        <w:t xml:space="preserve">  A[Visitor opens signup] --&gt; B[Submits form, customer only]</w:t>
        <w:br/>
        <w:t xml:space="preserve">  B --&gt; C[User row created, role customer]</w:t>
        <w:br/>
        <w:t xml:space="preserve">  C --&gt; D[Clicks Host Event button]</w:t>
        <w:br/>
        <w:t xml:space="preserve">  D --&gt; E[Lands on apply page]</w:t>
        <w:br/>
        <w:t xml:space="preserve">  E --&gt; F[Submits application with snapshot]</w:t>
        <w:br/>
        <w:t xml:space="preserve">  F --&gt; G[Email, organiser.application.submitted]</w:t>
        <w:br/>
        <w:t xml:space="preserve">  G --&gt; H{Administrator decision}</w:t>
        <w:br/>
        <w:t xml:space="preserve">  H -- approve --&gt; I[Transaction, role to organiser, status to approved]</w:t>
        <w:br/>
        <w:t xml:space="preserve">  I --&gt; J[Email, organiser.application.approved with onboarding link]</w:t>
        <w:br/>
        <w:t xml:space="preserve">  H -- reject --&gt; K[Status to rejected with reason]</w:t>
        <w:br/>
        <w:t xml:space="preserve">  K --&gt; L[Email, organiser.application.rejected with reason]</w:t>
        <w:br/>
      </w:r>
    </w:p>
    <w:p>
      <w:pPr>
        <w:pStyle w:val="BodyText"/>
      </w:pPr>
      <w:r>
        <w:t>A.3 Figure 3 source.</w:t>
      </w:r>
    </w:p>
    <w:p>
      <w:pPr>
        <w:pStyle w:val="SourceCode"/>
      </w:pPr>
      <w:r>
        <w:rPr>
          <w:rFonts w:ascii="Consolas" w:hAnsi="Consolas"/>
          <w:sz w:val="18"/>
        </w:rPr>
        <w:t>flowchart LR</w:t>
        <w:br/>
        <w:t xml:space="preserve">  A[Trigger site calls notify, user and type and payload] --&gt; B{Type in MANDATORY_TYPES}</w:t>
        <w:br/>
        <w:t xml:space="preserve">  B -- yes --&gt; D[Render template, write notification row, send through channel]</w:t>
        <w:br/>
        <w:t xml:space="preserve">  B -- no --&gt; C{notificationPreference.isMuted}</w:t>
        <w:br/>
        <w:t xml:space="preserve">  C -- true --&gt; E[Return null, no email, no row]</w:t>
        <w:br/>
        <w:t xml:space="preserve">  C -- false --&gt; D</w:t>
        <w:br/>
      </w:r>
    </w:p>
    <w:p>
      <w:pPr>
        <w:pStyle w:val="BodyText"/>
      </w:pPr>
      <w:r>
        <w:t>A.4 Figure 4 source.</w:t>
      </w:r>
    </w:p>
    <w:p>
      <w:pPr>
        <w:pStyle w:val="SourceCode"/>
      </w:pPr>
      <w:r>
        <w:rPr>
          <w:rFonts w:ascii="Consolas" w:hAnsi="Consolas"/>
          <w:sz w:val="18"/>
        </w:rPr>
        <w:t>flowchart TD</w:t>
        <w:br/>
        <w:t xml:space="preserve">  A[Booking request, eventId and quantity] --&gt; B[Decrement remaining inside transaction]</w:t>
        <w:br/>
        <w:t xml:space="preserve">  B --&gt; C[Insert booking row, copy currency from event]</w:t>
        <w:br/>
        <w:t xml:space="preserve">  C --&gt; D[Create ticket rows with QR identifiers]</w:t>
        <w:br/>
        <w:t xml:space="preserve">  D --&gt; E[Clear matching waitlist hold]</w:t>
        <w:br/>
        <w:t xml:space="preserve">  E --&gt; F{event.ticketPriceMinor greater than zero}</w:t>
        <w:br/>
        <w:t xml:space="preserve">  F -- yes --&gt; G[resolvePaymentStrategy.charge, amount, currency, metadata]</w:t>
        <w:br/>
        <w:t xml:space="preserve">  F -- no --&gt; H[Skip payment, version one path]</w:t>
        <w:br/>
        <w:t xml:space="preserve">  G --&gt; I[Commit transaction]</w:t>
        <w:br/>
        <w:t xml:space="preserve">  H --&gt; I</w:t>
        <w:br/>
        <w:t xml:space="preserve">  I --&gt; J[Send booking.confirmed email, free or paid copy]</w:t>
        <w:br/>
      </w:r>
    </w:p>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pageBreakBefore w:val="0"/>
      <w:spacing w:after="120" w:before="0" w:line="276" w:lineRule="auto"/>
    </w:pPr>
    <w:rPr>
      <w:rFonts w:ascii="Calibri" w:cs="Calibri" w:eastAsia="Calibri" w:hAnsi="Calibri"/>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360" w:line="276" w:lineRule="auto"/>
      <w:outlineLvl w:val="0"/>
    </w:pPr>
    <w:rPr>
      <w:rFonts w:ascii="Calibri" w:asciiTheme="majorHAnsi" w:cs="Calibri" w:cstheme="majorBidi" w:eastAsia="Calibri" w:eastAsiaTheme="majorEastAsia" w:hAnsi="Calibri"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pageBreakBefore w:val="0"/>
      <w:spacing w:after="160" w:before="280" w:line="276" w:lineRule="auto"/>
      <w:outlineLvl w:val="1"/>
    </w:pPr>
    <w:rPr>
      <w:rFonts w:ascii="Calibri" w:asciiTheme="majorHAnsi" w:cs="Calibri" w:cstheme="majorBidi" w:eastAsia="Calibri" w:eastAsiaTheme="majorEastAsia" w:hAnsi="Calibri"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120" w:before="200" w:line="276" w:lineRule="auto"/>
      <w:outlineLvl w:val="2"/>
    </w:pPr>
    <w:rPr>
      <w:rFonts w:ascii="Calibri" w:asciiTheme="majorHAnsi" w:cs="Calibri" w:cstheme="majorBidi" w:eastAsia="Calibri" w:eastAsiaTheme="majorEastAsia" w:hAnsi="Calibri"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pageBreakBefore w:val="0"/>
      <w:spacing w:after="80" w:before="160" w:line="276" w:lineRule="auto"/>
      <w:outlineLvl w:val="3"/>
    </w:pPr>
    <w:rPr>
      <w:rFonts w:ascii="Calibri" w:asciiTheme="majorHAnsi" w:cs="Calibri" w:cstheme="majorBidi" w:eastAsia="Calibr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ageBreakBefore w:val="0"/>
      <w:pBdr>
        <w:bottom w:color="4F81BD" w:space="4" w:sz="8" w:themeColor="accent1" w:val="single"/>
      </w:pBdr>
      <w:spacing w:after="360" w:before="480" w:line="276" w:lineRule="auto"/>
      <w:contextualSpacing/>
    </w:pPr>
    <w:rPr>
      <w:rFonts w:ascii="Calibri" w:asciiTheme="majorHAnsi" w:cs="Calibri" w:cstheme="majorBidi" w:eastAsia="Calibri" w:eastAsiaTheme="majorEastAsia" w:hAnsi="Calibri" w:hAnsiTheme="majorHAnsi"/>
      <w:b/>
      <w:i w:val="0"/>
      <w:color w:val="000000"/>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pageBreakBefore w:val="0"/>
      <w:numPr>
        <w:ilvl w:val="1"/>
      </w:numPr>
      <w:spacing w:after="240" w:before="0" w:line="276" w:lineRule="auto"/>
    </w:pPr>
    <w:rPr>
      <w:rFonts w:ascii="Calibri" w:asciiTheme="majorHAnsi" w:cs="Calibri" w:cstheme="majorBidi" w:eastAsia="Calibri" w:eastAsiaTheme="majorEastAsia" w:hAnsi="Calibri" w:hAnsiTheme="majorHAnsi"/>
      <w:b w:val="0"/>
      <w:i/>
      <w:iCs/>
      <w:color w:val="50505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pageBreakBefore w:val="0"/>
      <w:spacing w:after="120" w:before="0" w:line="276" w:lineRule="auto"/>
    </w:pPr>
    <w:rPr>
      <w:rFonts w:ascii="Calibri" w:cs="Calibri" w:eastAsia="Calibri" w:hAnsi="Calibri"/>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pageBreakBefore w:val="0"/>
      <w:spacing w:after="120" w:before="120" w:line="276" w:lineRule="auto"/>
    </w:pPr>
    <w:rPr>
      <w:rFonts w:ascii="Calibri" w:cs="Calibri" w:eastAsia="Calibri" w:hAnsi="Calibri"/>
      <w:b w:val="0"/>
      <w:bCs/>
      <w:i/>
      <w:color w:val="3C3C3C"/>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cs="Calibri" w:eastAsia="Calibri" w:hAnsi="Calibri"/>
      <w:b w:val="0"/>
      <w:i w:val="0"/>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Taha Khan</dc:creator>
  <cp:keywords/>
  <dcterms:created xsi:type="dcterms:W3CDTF">2026-05-14T10:52:13Z</dcterms:created>
  <dcterms:modified xsi:type="dcterms:W3CDTF">2026-05-14T10:52:13Z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May 2026</vt:lpwstr>
  </property>
  <property fmtid="{D5CDD505-2E9C-101B-9397-08002B2CF9AE}" pid="3" name="subtitle">
    <vt:lpwstr>Event and Ticket Management Platform</vt:lpwstr>
  </property>
</Properties>
</file>