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t>US patients eligible for a one-time Parkinson's therapy: base-case model</w:t>
      </w:r>
    </w:p>
    <w:p>
      <w:r>
        <w:rPr>
          <w:i/>
        </w:rPr>
        <w:t>Class level, single scenario, FY2026–45. Inputs are either published statistics [n] or labelled judgments (★). October 25, 2026.</w:t>
      </w:r>
    </w:p>
    <w:p>
      <w:pPr>
        <w:pStyle w:val="Heading2"/>
        <w:keepNext/>
        <w:keepLines/>
      </w:pPr>
      <w:r>
        <w:t>Method</w:t>
      </w:r>
    </w:p>
    <w:p>
      <w:r>
        <w:rPr>
          <w:b/>
        </w:rPr>
        <w:t>Starting prevalence.</w:t>
      </w:r>
      <w:r>
        <w:t xml:space="preserve"> The model starts from the Parkinson's Foundation prevalence project, which estimates at least 930,000 Americans aged 45 or over with Parkinson's disease (PD) in 2020 and 1,238,000 in 2030 [1].</w:t>
      </w:r>
    </w:p>
    <w:p>
      <w:pPr>
        <w:pStyle w:val="ListBullet"/>
      </w:pPr>
      <w:r>
        <w:t>I interpolate log-linearly between these two points. That implies growth of 2.9% a year and about 1.10 million patients in FY2026.</w:t>
      </w:r>
    </w:p>
    <w:p>
      <w:pPr>
        <w:pStyle w:val="ListBullet"/>
      </w:pPr>
      <w:r>
        <w:t>The authors call their figures minimum estimates, because they rely on diagnosed, recorded cases [1].</w:t>
      </w:r>
    </w:p>
    <w:p>
      <w:pPr>
        <w:pStyle w:val="ListBullet"/>
      </w:pPr>
      <w:r>
        <w:t>The Parkinson's Foundation quotes the same 1.2 million for 2030 [2].</w:t>
      </w:r>
    </w:p>
    <w:p>
      <w:r>
        <w:rPr>
          <w:b/>
        </w:rPr>
        <w:t>Medical eligibility.</w:t>
      </w:r>
      <w:r>
        <w:t xml:space="preserve"> Eligibility follows the DBS label: levodopa-responsive PD of at least four years' duration, with motor complications, no dementia and fit for surgery. There is no age cap.</w:t>
      </w:r>
    </w:p>
    <w:p>
      <w:pPr>
        <w:pStyle w:val="ListBullet"/>
      </w:pPr>
      <w:r>
        <w:rPr>
          <w:b/>
        </w:rPr>
        <w:t>Duration.</w:t>
      </w:r>
      <w:r>
        <w:t xml:space="preserve"> Survival in PD falls by about 5% for each year of follow-up [3]. With prevalence growing 2.9% a year, about 73% of prevalent patients were diagnosed four or more years ago. As a check, the Foundation's roughly 90,000 new diagnoses a year [2] against 1.1 million prevalent cases implies an average of about 12 years lived with the diagnosis, which gives a similar share.</w:t>
      </w:r>
    </w:p>
    <w:p>
      <w:pPr>
        <w:pStyle w:val="ListBullet"/>
      </w:pPr>
      <w:r>
        <w:rPr>
          <w:b/>
        </w:rPr>
        <w:t>Dementia.</w:t>
      </w:r>
      <w:r>
        <w:t xml:space="preserve"> A systematic review puts the point prevalence of dementia in PD at 24.5% across all studies and 31.1% in the highest-quality ones [4]; I use 28%. I do not multiply dementia and duration as if they were independent. Dementia is rare in the first years after diagnosis, so I subtract it from the four-year group. That leaves 45% of all patients who have had PD for at least four years and do not have dementia.</w:t>
      </w:r>
    </w:p>
    <w:p>
      <w:pPr>
        <w:pStyle w:val="ListBullet"/>
      </w:pPr>
      <w:r>
        <w:rPr>
          <w:b/>
        </w:rPr>
        <w:t>Motor complications.</w:t>
      </w:r>
      <w:r>
        <w:t xml:space="preserve"> I assume half of that group have them. This is a judgment anchored to two cohorts:</w:t>
      </w:r>
    </w:p>
    <w:p>
      <w:pPr>
        <w:pStyle w:val="ListBullet2"/>
      </w:pPr>
      <w:r>
        <w:t>In 3,343 UK patients, off periods affected 35% at 4–6 years and 59% at 8–10 years [5].</w:t>
      </w:r>
    </w:p>
    <w:p>
      <w:pPr>
        <w:pStyle w:val="ListBullet2"/>
      </w:pPr>
      <w:r>
        <w:t>A population-based incident cohort found motor fluctuations in 54% by five years [6].</w:t>
      </w:r>
    </w:p>
    <w:p>
      <w:pPr>
        <w:pStyle w:val="ListBullet"/>
      </w:pPr>
      <w:r>
        <w:rPr>
          <w:b/>
        </w:rPr>
        <w:t>Diagnosis.</w:t>
      </w:r>
      <w:r>
        <w:t xml:space="preserve"> About 81% are taken to have true, levodopa-responsive idiopathic PD. This is the pooled accuracy of clinical diagnosis against pathology [7]. It is a proxy, not a measured response rate.</w:t>
      </w:r>
    </w:p>
    <w:p>
      <w:pPr>
        <w:pStyle w:val="ListBullet"/>
      </w:pPr>
      <w:r>
        <w:rPr>
          <w:b/>
        </w:rPr>
        <w:t>Fitness.</w:t>
      </w:r>
      <w:r>
        <w:t xml:space="preserve"> I assume 90% are fit for neurosurgery. This is a judgment; I found no population figure.</w:t>
      </w:r>
    </w:p>
    <w:p>
      <w:r>
        <w:rPr>
          <w:b/>
        </w:rPr>
        <w:t>Patients already treated.</w:t>
      </w:r>
      <w:r>
        <w:t xml:space="preserve"> About 3,990 PD patients receive DBS each year [8]. Those still alive are removed from the starting pool as annual DBS volume ÷ the leave rate m (42,000). This is a rough steady-state approximation.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type="dxa" w:w="2635"/>
          </w:tcPr>
          <w:p>
            <w:pPr>
              <w:keepNext/>
              <w:keepLines/>
            </w:pPr>
            <w:r>
              <w:rPr>
                <w:b/>
                <w:sz w:val="16"/>
              </w:rPr>
              <w:t>Step (FY2026)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b/>
                <w:sz w:val="16"/>
              </w:rPr>
              <w:t>Factor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b/>
                <w:sz w:val="16"/>
              </w:rPr>
              <w:t>Patients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b/>
                <w:sz w:val="16"/>
              </w:rPr>
              <w:t>Basis</w:t>
            </w:r>
          </w:p>
        </w:tc>
      </w:tr>
      <w:tr>
        <w:trPr>
          <w:cantSplit/>
        </w:trPr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US PD prevalence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—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1,104,000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Published [1], interpolated</w:t>
            </w:r>
          </w:p>
        </w:tc>
      </w:tr>
      <w:tr>
        <w:trPr>
          <w:cantSplit/>
        </w:trPr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Diagnosed ≥4 years and no dementia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0.73 − 0.28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496,000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Published [3][4], calculated</w:t>
            </w:r>
          </w:p>
        </w:tc>
      </w:tr>
      <w:tr>
        <w:trPr>
          <w:cantSplit/>
        </w:trPr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Motor complications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×0.50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248,000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Judgment anchored to [5][6]</w:t>
            </w:r>
          </w:p>
        </w:tc>
      </w:tr>
      <w:tr>
        <w:trPr>
          <w:cantSplit/>
        </w:trPr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Levodopa-responsive idiopathic PD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×0.81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200,000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Published proxy [7]</w:t>
            </w:r>
          </w:p>
        </w:tc>
      </w:tr>
      <w:tr>
        <w:trPr>
          <w:cantSplit/>
        </w:trPr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Fit for surgery = medically eligible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×0.90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180,000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Judgment</w:t>
            </w:r>
          </w:p>
        </w:tc>
      </w:tr>
      <w:tr>
        <w:trPr>
          <w:cantSplit/>
        </w:trPr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Less patients already treated with DBS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÷ m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−42,000</w:t>
            </w:r>
          </w:p>
        </w:tc>
        <w:tc>
          <w:tcPr>
            <w:tcW w:type="dxa" w:w="2635"/>
          </w:tcPr>
          <w:p>
            <w:pPr>
              <w:keepNext/>
              <w:keepLines/>
            </w:pPr>
            <w:r>
              <w:rPr>
                <w:sz w:val="16"/>
              </w:rPr>
              <w:t>Calculated [8]</w:t>
            </w:r>
          </w:p>
        </w:tc>
      </w:tr>
      <w:tr>
        <w:trPr>
          <w:cantSplit/>
        </w:trPr>
        <w:tc>
          <w:tcPr>
            <w:tcW w:type="dxa" w:w="2635"/>
          </w:tcPr>
          <w:p>
            <w:r>
              <w:rPr>
                <w:b/>
                <w:sz w:val="16"/>
              </w:rPr>
              <w:t>Untreated eligible pool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>
            <w:r>
              <w:rPr>
                <w:b/>
                <w:sz w:val="16"/>
              </w:rPr>
              <w:t>138,000</w:t>
            </w:r>
          </w:p>
        </w:tc>
        <w:tc>
          <w:tcPr>
            <w:tcW w:type="dxa" w:w="2635"/>
          </w:tcPr>
          <w:p/>
        </w:tc>
      </w:tr>
    </w:tbl>
    <w:p/>
    <w:p>
      <w:r>
        <w:rPr>
          <w:b/>
        </w:rPr>
        <w:t>Checks on the eligible share.</w:t>
      </w:r>
      <w:r>
        <w:t xml:space="preserve"> Medically eligible patients make up 16% of PD, which agrees with the two published figures near 15%:</w:t>
      </w:r>
    </w:p>
    <w:p>
      <w:pPr>
        <w:pStyle w:val="ListBullet"/>
      </w:pPr>
      <w:r>
        <w:t>Aspen Neuroscience's filing says roughly half of about 300,000 drug-refractory US patients may be eligible for cell-replacement surgery, about 15% of PD [9].</w:t>
      </w:r>
    </w:p>
    <w:p>
      <w:pPr>
        <w:pStyle w:val="ListBullet"/>
      </w:pPr>
      <w:r>
        <w:t>A German conference abstract cites 10–15% [10].</w:t>
      </w:r>
    </w:p>
    <w:p>
      <w:r>
        <w:t>Neither states its criteria, so both confirm a share, not a level. Clinic studies give a lower bound:</w:t>
      </w:r>
    </w:p>
    <w:p>
      <w:pPr>
        <w:pStyle w:val="ListBullet"/>
      </w:pPr>
      <w:r>
        <w:t>4.5% under flexible criteria in Italian movement-disorder clinics [11].</w:t>
      </w:r>
    </w:p>
    <w:p>
      <w:pPr>
        <w:pStyle w:val="ListBullet"/>
      </w:pPr>
      <w:r>
        <w:t>6.6% eligible for referral to any device-aided therapy in a Dutch general hospital [12].</w:t>
      </w:r>
    </w:p>
    <w:p>
      <w:r>
        <w:t>Those studies use stricter, more clinical criteria (including age and severity), so a label-based pool should sit above them.</w:t>
      </w:r>
    </w:p>
    <w:p>
      <w:r>
        <w:rPr>
          <w:b/>
        </w:rPr>
        <w:t>Flows.</w:t>
      </w:r>
      <w:r>
        <w:t xml:space="preserve"> Each year, closing pool = opening pool + entrants − leavers − treated.</w:t>
      </w:r>
    </w:p>
    <w:p>
      <w:pPr>
        <w:pStyle w:val="ListBullet"/>
      </w:pPr>
      <w:r>
        <w:rPr>
          <w:b/>
        </w:rPr>
        <w:t>Leavers.</w:t>
      </w:r>
      <w:r>
        <w:t xml:space="preserve"> A share m of the pool leaves each year through death (5% a year [3]) or new dementia (4.45 per 100 person-years [13]). So m = 0.095, and patients stay eligible for about ten years on average.</w:t>
      </w:r>
    </w:p>
    <w:p>
      <w:pPr>
        <w:pStyle w:val="ListBullet"/>
      </w:pPr>
      <w:r>
        <w:rPr>
          <w:b/>
        </w:rPr>
        <w:t>Entrants.</w:t>
      </w:r>
      <w:r>
        <w:t xml:space="preserve"> I set first-year entrants so that the pool, with only DBS treatment, would grow at the same 2.9% as prevalence: (m + g) × pool + DBS = 21,000 in FY2026. They then grow at 2.9% a year.</w:t>
      </w:r>
    </w:p>
    <w:p>
      <w:pPr>
        <w:pStyle w:val="ListBullet"/>
      </w:pPr>
      <w:r>
        <w:rPr>
          <w:b/>
        </w:rPr>
        <w:t>Pool growth.</w:t>
      </w:r>
      <w:r>
        <w:t xml:space="preserve"> Entrants exceed leavers, so the pool grows unless treatment absorbs the gap.</w:t>
      </w:r>
    </w:p>
    <w:p>
      <w:pPr>
        <w:pStyle w:val="ListBullet"/>
      </w:pPr>
      <w:r>
        <w:rPr>
          <w:b/>
        </w:rPr>
        <w:t>Treated.</w:t>
      </w:r>
      <w:r>
        <w:t xml:space="preserve"> Before launch in FY2029, treatment is DBS only, held flat at 3,990. From launch, 6% of the opening pool is treated each year ★.</w:t>
      </w:r>
    </w:p>
    <w:p>
      <w:pPr>
        <w:keepNext/>
        <w:keepLines/>
      </w:pPr>
      <w:r>
        <w:rPr>
          <w:b/>
        </w:rPr>
        <w:t>Why 6% a year.</w:t>
      </w:r>
      <w:r>
        <w:t xml:space="preserve"> The 6% is a judgment anchored on the rate at which eligible patients receive DBS today, not on a published willingness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type="dxa" w:w="3513"/>
          </w:tcPr>
          <w:p>
            <w:pPr>
              <w:keepNext/>
              <w:keepLines/>
            </w:pPr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b/>
                <w:sz w:val="16"/>
              </w:rPr>
              <w:t>Calculation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b/>
                <w:sz w:val="16"/>
              </w:rPr>
              <w:t>Rate</w:t>
            </w:r>
          </w:p>
        </w:tc>
      </w:tr>
      <w:tr>
        <w:trPr>
          <w:cantSplit/>
        </w:trPr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DBS today, against the untreated eligible pool at the start of FY2026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3,990 [8] ÷ 137,800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2.9% a year</w:t>
            </w:r>
          </w:p>
        </w:tc>
      </w:tr>
      <w:tr>
        <w:trPr>
          <w:cantSplit/>
        </w:trPr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Same, against the pool just before launch (start of FY2028)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3,990 ÷ 146,000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2.7% a year</w:t>
            </w:r>
          </w:p>
        </w:tc>
      </w:tr>
      <w:tr>
        <w:trPr>
          <w:cantSplit/>
        </w:trPr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Same, against all medically eligible patients, including those already treated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3,990 ÷ 179,800</w:t>
            </w:r>
          </w:p>
        </w:tc>
        <w:tc>
          <w:tcPr>
            <w:tcW w:type="dxa" w:w="3513"/>
          </w:tcPr>
          <w:p>
            <w:pPr>
              <w:keepNext/>
              <w:keepLines/>
            </w:pPr>
            <w:r>
              <w:rPr>
                <w:sz w:val="16"/>
              </w:rPr>
              <w:t>2.2% a year</w:t>
            </w:r>
          </w:p>
        </w:tc>
      </w:tr>
      <w:tr>
        <w:trPr>
          <w:cantSplit/>
        </w:trPr>
        <w:tc>
          <w:tcPr>
            <w:tcW w:type="dxa" w:w="3513"/>
          </w:tcPr>
          <w:p>
            <w:r>
              <w:rPr>
                <w:b/>
                <w:sz w:val="16"/>
              </w:rPr>
              <w:t>Assumed one-time therapy uptake from launch</w:t>
            </w:r>
            <w:r>
              <w:rPr>
                <w:sz w:val="16"/>
              </w:rPr>
              <w:t xml:space="preserve"> ★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about twice 2.9%</w:t>
            </w:r>
          </w:p>
        </w:tc>
        <w:tc>
          <w:tcPr>
            <w:tcW w:type="dxa" w:w="3513"/>
          </w:tcPr>
          <w:p>
            <w:r>
              <w:rPr>
                <w:b/>
                <w:sz w:val="16"/>
              </w:rPr>
              <w:t>6% a year</w:t>
            </w:r>
          </w:p>
        </w:tc>
      </w:tr>
    </w:tbl>
    <w:p/>
    <w:p>
      <w:r>
        <w:t>The 2.9% is measured against the same quantity to which the 6% is applied: the untreated eligible pool (medically eligible patients less those already treated with DBS). The judgment is that many more eligible patients would choose a one-time, potentially disease-modifying therapy than choose DBS, which is symptomatic hardware surgery with an implanted stimulator, so uptake would be about double today's DBS rate. No published study measures that preference; the doubling is our assumption.</w:t>
      </w:r>
    </w:p>
    <w:p>
      <w:pPr>
        <w:pStyle w:val="Heading2"/>
        <w:keepNext/>
        <w:keepLines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cantSplit/>
          <w:tblHeader/>
        </w:trPr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FY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2026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2029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2030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2032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2035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2040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b/>
                <w:sz w:val="16"/>
              </w:rPr>
              <w:t>2045</w:t>
            </w:r>
          </w:p>
        </w:tc>
      </w:tr>
      <w:tr>
        <w:trPr>
          <w:cantSplit/>
        </w:trPr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Untreated pool, start of year (k)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138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151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150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152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158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175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199</w:t>
            </w:r>
          </w:p>
        </w:tc>
      </w:tr>
      <w:tr>
        <w:trPr>
          <w:cantSplit/>
        </w:trPr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Entrants (k)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21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23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24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25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27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31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36</w:t>
            </w:r>
          </w:p>
        </w:tc>
      </w:tr>
      <w:tr>
        <w:trPr>
          <w:cantSplit/>
        </w:trPr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Treated, all therapies including DBS (k)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4.0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9.0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9.0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9.1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9.5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10.5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11.9</w:t>
            </w:r>
          </w:p>
        </w:tc>
      </w:tr>
      <w:tr>
        <w:trPr>
          <w:cantSplit/>
        </w:trPr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One-time therapy class demand: treated less 3,990 DBS (k)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–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5.0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5.0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5.1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5.5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6.5</w:t>
            </w:r>
          </w:p>
        </w:tc>
        <w:tc>
          <w:tcPr>
            <w:tcW w:type="dxa" w:w="1317"/>
          </w:tcPr>
          <w:p>
            <w:pPr>
              <w:keepNext/>
              <w:keepLines/>
            </w:pPr>
            <w:r>
              <w:rPr>
                <w:sz w:val="16"/>
              </w:rPr>
              <w:t>8.0</w:t>
            </w:r>
          </w:p>
        </w:tc>
      </w:tr>
      <w:tr>
        <w:trPr>
          <w:cantSplit/>
        </w:trPr>
        <w:tc>
          <w:tcPr>
            <w:tcW w:type="dxa" w:w="1317"/>
          </w:tcPr>
          <w:p>
            <w:r>
              <w:rPr>
                <w:sz w:val="16"/>
              </w:rPr>
              <w:t>Treated ÷ entrants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0.38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0.33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88965" cy="3034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simple3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03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Chart: untreated eligible pool, entrants, treated (all therapies, including DBS) and one-time therapy class demand (treated less 3,990 DBS), FY2026–45.</w:t>
      </w:r>
    </w:p>
    <w:p>
      <w:r>
        <w:rPr>
          <w:b/>
        </w:rPr>
        <w:t>Launch.</w:t>
      </w:r>
      <w:r>
        <w:t xml:space="preserve"> Treatment rises from DBS's 4,000 to about 9,000 in the launch year, of which about 5,000 is one-time therapy demand once DBS is held at 3,990. The jump comes from the backlog that built up in the pool before launch. The pool then holds roughly flat for a few years and grows again with entrants.</w:t>
      </w:r>
    </w:p>
    <w:p>
      <w:r>
        <w:rPr>
          <w:b/>
        </w:rPr>
        <w:t>Settling.</w:t>
      </w:r>
      <w:r>
        <w:t xml:space="preserve"> The treated count does not stop growing; it settles at a constant share of entrants. That share is u/(m + u + g) = 0.06/0.184 ≈ 33%.</w:t>
      </w:r>
    </w:p>
    <w:p>
      <w:r>
        <w:rPr>
          <w:b/>
        </w:rPr>
        <w:t>Two different shares.</w:t>
      </w:r>
      <w:r>
        <w:t xml:space="preserve"> The share above is a different quantity from the share of any single group of entrants who are eventually treated, u/(m + u) = 0.06/0.155 ≈ 39%. Because each year's entrants outnumber the previous year's, the treated count in a given year is compared with a larger, newer group of entrants. The two shares describe different groups; there is no second wave.</w:t>
      </w:r>
    </w:p>
    <w:p>
      <w:r>
        <w:rPr>
          <w:b/>
        </w:rPr>
        <w:t>Plausibility check.</w:t>
      </w:r>
      <w:r>
        <w:t xml:space="preserve"> A judgment funnel gives about 30% treated (referral 0.55 × willing 0.60 × coverage 0.90). Referral and coverage are judgments, and willingness is anchored to published consent and implant rates [14][15]. A 6% treatment rate implies somewhat more lifetime uptake (39%) than that funnel.</w:t>
      </w:r>
    </w:p>
    <w:p>
      <w:r>
        <w:rPr>
          <w:b/>
        </w:rPr>
        <w:t>Illustration.</w:t>
      </w:r>
      <w:r>
        <w:t xml:space="preserve"> At $20,000 per patient, FY2040 treatment is worth about $210 million, of which one-time therapies (less DBS) are about $130 million.</w:t>
      </w:r>
    </w:p>
    <w:p>
      <w:pPr>
        <w:pStyle w:val="Heading2"/>
        <w:keepNext/>
        <w:keepLines/>
      </w:pPr>
      <w:r>
        <w:t>Weak points</w:t>
      </w:r>
    </w:p>
    <w:p>
      <w:pPr>
        <w:pStyle w:val="ListNumber"/>
      </w:pPr>
      <w:r>
        <w:t>The motor-complication share and medical fitness are judgments, and together they move the pool more than any published input.</w:t>
      </w:r>
    </w:p>
    <w:p>
      <w:pPr>
        <w:pStyle w:val="ListNumber"/>
      </w:pPr>
      <w:r>
        <w:t>The diagnosis factor is a proxy for levodopa response.</w:t>
      </w:r>
    </w:p>
    <w:p>
      <w:pPr>
        <w:pStyle w:val="ListNumber"/>
      </w:pPr>
      <w:r>
        <w:t>The dementia midpoint and the assumption that dementia sits almost entirely in patients diagnosed four or more years ago are simplifications.</w:t>
      </w:r>
    </w:p>
    <w:p>
      <w:pPr>
        <w:pStyle w:val="ListNumber"/>
      </w:pPr>
      <w:r>
        <w:t>The 5% death rate comes from all PD patients; patients without dementia probably die less often, which would lengthen the time spent in the pool.</w:t>
      </w:r>
    </w:p>
    <w:p>
      <w:pPr>
        <w:pStyle w:val="ListNumber"/>
      </w:pPr>
      <w:r>
        <w:t>Removing patients already treated with DBS (42,000) is approximate.</w:t>
      </w:r>
    </w:p>
    <w:p>
      <w:pPr>
        <w:pStyle w:val="ListNumber"/>
      </w:pPr>
      <w:r>
        <w:t>The 3,990 counts inpatient procedures only.</w:t>
      </w:r>
    </w:p>
    <w:p>
      <w:pPr>
        <w:pStyle w:val="ListNumber"/>
      </w:pPr>
      <w:r>
        <w:t>Prevalence is a published minimum, so the pool is more likely too low than too high.</w:t>
      </w:r>
    </w:p>
    <w:p>
      <w:pPr>
        <w:pStyle w:val="ListNumber"/>
      </w:pPr>
      <w:r>
        <w:t>The 6% treatment rate is a judgment: about twice the measured DBS rate of 2.9% a year, on the view that a one-time, disease-modifying therapy would attract many more patients than DBS. No published willingness rate supports the doubling, and the FY2029 launch is also an assumption.</w:t>
      </w:r>
    </w:p>
    <w:p>
      <w:pPr>
        <w:pStyle w:val="ListNumber"/>
      </w:pPr>
      <w:r>
        <w:t>DBS is held flat at 3,990 after launch; if one-time therapies displace some DBS, class demand would be higher.</w:t>
      </w:r>
    </w:p>
    <w:p>
      <w:pPr>
        <w:pStyle w:val="Heading2"/>
        <w:keepNext/>
        <w:keepLines/>
      </w:pPr>
      <w:r>
        <w:t>Sources</w:t>
      </w:r>
    </w:p>
    <w:p>
      <w:pPr>
        <w:pStyle w:val="ListNumber"/>
      </w:pPr>
      <w:r>
        <w:t>Marras et al. Prevalence of Parkinson's disease across North America. npj Parkinson's Dis 2018. https://doi.org/10.1038/s41531-018-0058-0</w:t>
      </w:r>
    </w:p>
    <w:p>
      <w:pPr>
        <w:pStyle w:val="ListNumber"/>
      </w:pPr>
      <w:r>
        <w:t>Parkinson's Foundation. Prevalence &amp; incidence. https://www.parkinson.org/understanding-parkinsons/statistics/prevalence-incidence</w:t>
      </w:r>
    </w:p>
    <w:p>
      <w:pPr>
        <w:pStyle w:val="ListNumber"/>
      </w:pPr>
      <w:r>
        <w:t>Macleod et al. Mortality in Parkinson's disease: systematic review and meta-analysis. Mov Disord 2014. https://doi.org/10.1002/mds.25898</w:t>
      </w:r>
    </w:p>
    <w:p>
      <w:pPr>
        <w:pStyle w:val="ListNumber"/>
      </w:pPr>
      <w:r>
        <w:t>Aarsland et al. Systematic review of prevalence studies of dementia in PD. Mov Disord 2005. https://doi.org/10.1002/mds.20527</w:t>
      </w:r>
    </w:p>
    <w:p>
      <w:pPr>
        <w:pStyle w:val="ListNumber"/>
      </w:pPr>
      <w:r>
        <w:t>Motor complications in Parkinson's disease: results from 3,343 patients followed for up to 12 years. PMC11145112. https://pmc.ncbi.nlm.nih.gov/articles/PMC11145112/</w:t>
      </w:r>
    </w:p>
    <w:p>
      <w:pPr>
        <w:pStyle w:val="ListNumber"/>
      </w:pPr>
      <w:r>
        <w:t>Motor complications in Parkinson's disease: 13-year follow-up of the CamPaIGN cohort. PMC7063985. https://pmc.ncbi.nlm.nih.gov/articles/PMC7063985/</w:t>
      </w:r>
    </w:p>
    <w:p>
      <w:pPr>
        <w:pStyle w:val="ListNumber"/>
      </w:pPr>
      <w:r>
        <w:t>Rizzo et al. Accuracy of clinical diagnosis of PD. Neurology 2016. https://doi.org/10.1212/WNL.0000000000002350</w:t>
      </w:r>
    </w:p>
    <w:p>
      <w:pPr>
        <w:pStyle w:val="ListNumber"/>
      </w:pPr>
      <w:r>
        <w:t>Venkatraman et al. DBS utilization in the US, NIS 2012–19 (Table 1). https://pmc.ncbi.nlm.nih.gov/articles/PMC10898494/</w:t>
      </w:r>
    </w:p>
    <w:p>
      <w:pPr>
        <w:pStyle w:val="ListNumber"/>
      </w:pPr>
      <w:r>
        <w:t>Aspen Neuroscience, Form S-1, Oct 2026. https://www.sec.gov/Archives/edgar/data/2124080/000119312526419104/na-20261009.htm</w:t>
      </w:r>
    </w:p>
    <w:p>
      <w:pPr>
        <w:pStyle w:val="ListNumber"/>
      </w:pPr>
      <w:r>
        <w:t>Reasons for underutilisation of DBS. GMS abstract 2012. https://doi.org/10.3205/12dgnc047</w:t>
      </w:r>
    </w:p>
    <w:p>
      <w:pPr>
        <w:pStyle w:val="ListNumber"/>
      </w:pPr>
      <w:r>
        <w:t>Morgante et al. Parkinsonism Relat Disord 2007. https://pubmed.ncbi.nlm.nih.gov/17347021/</w:t>
      </w:r>
    </w:p>
    <w:p>
      <w:pPr>
        <w:pStyle w:val="ListNumber"/>
      </w:pPr>
      <w:r>
        <w:t>Moes et al. (D-DATS). Parkinsonism Relat Disord 2023. https://doi.org/10.1016/j.parkreldis.2023.105359</w:t>
      </w:r>
    </w:p>
    <w:p>
      <w:pPr>
        <w:pStyle w:val="ListNumber"/>
      </w:pPr>
      <w:r>
        <w:t>Gibson et al. Risk of dementia in PD: systematic review and meta-analysis. Mov Disord 2024. https://doi.org/10.1002/mds.29918</w:t>
      </w:r>
    </w:p>
    <w:p>
      <w:pPr>
        <w:pStyle w:val="ListNumber"/>
      </w:pPr>
      <w:r>
        <w:t>Dinkelbach et al. Willingness to undergo DBS among Parkinson's patients. BMC Neurology 2017 (43.2% consent to referral). https://doi.org/10.1186/s12883-017-0820-7</w:t>
      </w:r>
    </w:p>
    <w:p>
      <w:pPr>
        <w:pStyle w:val="ListNumber"/>
      </w:pPr>
      <w:r>
        <w:t>Multidisciplinary DBS screening. Mov Disord Clin Pract 2018 (58.7% of patients evaluated proceeded to implant). https://pmc.ncbi.nlm.nih.gov/articles/PMC6183455/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