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t>ClearPoint Neuro (Nasdaq: CLPT)</w:t>
      </w:r>
    </w:p>
    <w:p>
      <w:pPr>
        <w:pStyle w:val="Heading2"/>
        <w:keepNext/>
        <w:keepLines/>
      </w:pPr>
      <w:r>
        <w:t>Company Update: FY2026E–FY2031E Revenue and EBITDA Forecast</w:t>
      </w:r>
    </w:p>
    <w:p>
      <w:r>
        <w:rPr>
          <w:i/>
        </w:rPr>
        <w:t>October 26, 2026. US$ millions unless stated. Scenario forecast: it assumes uniQure's AMT-130 and Bayer/BlueRock's bemdaneprocel are approved, counts every one-time Parkinson's cell/gene therapy procedure as one class delivered on ClearPoint's platform, and prices every procedure at $20k, as requested. AMT-130 volume follows ClearPoint's stated capacity; Parkinson's volume ramps over three years to modelled class demand. The explicit forecast ends at FY2031E; after that only Finagle's valuation fade is shown (Section 7). It includes a Finagle discounted-cash-flow valuation but carries no rating. Every tag resolves in Appendix B. Appendix C sets out the Parkinson's eligible-pool model behind the Parkinson's class line, and Appendix D lists ClearPoint's partner programs; outside the Parkinson's class and AMT-130 they are not in the forecast.</w:t>
      </w:r>
    </w:p>
    <w:p>
      <w:r>
        <w:t>---</w:t>
      </w:r>
    </w:p>
    <w:p>
      <w:pPr>
        <w:pStyle w:val="Heading3"/>
        <w:keepNext/>
        <w:keepLines/>
      </w:pPr>
      <w:r>
        <w:t>1. Summary</w:t>
      </w:r>
    </w:p>
    <w:p>
      <w:r>
        <w:rPr>
          <w:b/>
        </w:rPr>
        <w:t>FORECAST UPDATE</w:t>
      </w:r>
    </w:p>
    <w:p>
      <w:r>
        <w:t xml:space="preserve">■ </w:t>
      </w:r>
      <w:r>
        <w:rPr>
          <w:b/>
        </w:rPr>
        <w:t>We forecast revenue rising from $49.0M in FY2026E to $320M in FY2030E and $410M in FY2031E [E1][C7].</w:t>
      </w:r>
      <w:r>
        <w:t xml:space="preserve"> FY2026E sits on analyst consensus after the August guidance cut to $48.0–52.0M [G2][E1]. The core business follows consensus to $56.6M in FY2027E, then grows 15% a year, the low end of the 15–20% Burnett talks about [E1][G12][S7][S26] ★. Procedure revenue at $20k each [P2] adds $6.6M in FY2027E and $282M in FY2031E [C7]. The CAL preclinical laboratory adds $7.0M in FY2028E, rising to $29.0M in FY2031E on the way to 60% of the $60M+ capacity management cites [G9][S37] ★. Growth peaks at 93% in FY2028E as AMT-130 launches and stays high at 89% in FY2029E as the Parkinson's class launches. It slows to 28.3% in FY2031E, the last explicit year, as the Parkinson's ramp completes [C7]. After FY2031E, the valuation (Section 7) uses Finagle's fade, in which revenue growth falls from 15.0% in FY2032E to about 6.1% in FY2040E [P3][C65].</w:t>
      </w:r>
    </w:p>
    <w:p>
      <w:r>
        <w:t xml:space="preserve">■ </w:t>
      </w:r>
      <w:r>
        <w:rPr>
          <w:b/>
        </w:rPr>
        <w:t>EBITDA turns positive in FY2028E at $12.0M and reaches $170.8M (a 41.6% margin) in FY2031E [S15][C10].</w:t>
      </w:r>
      <w:r>
        <w:t xml:space="preserve"> Procedure revenue carries an assumed 70% gross margin [S23], 10% of revenue for clinical specialists and $2M a year per therapy [S24][S25]. CAL revenue earns the core gross margin less 20% incremental opex [G9][S38] ★. FY2026E and FY2027E stay loss-making at −$23.6M and −$19.5M [C9][S15].</w:t>
      </w:r>
    </w:p>
    <w:p>
      <w:r>
        <w:t xml:space="preserve">■ </w:t>
      </w:r>
      <w:r>
        <w:rPr>
          <w:b/>
        </w:rPr>
        <w:t>One-time Parkinson's cell/gene therapy procedures (the class, all on ClearPoint's platform) ramp over three years from the FY2029E launch to class demand: about 3,900 in FY2029E, 7,600 in FY2030E and 11,100 in FY2031E [S31][S62][S63][S64][C40] ★.</w:t>
      </w:r>
      <w:r>
        <w:t xml:space="preserve"> We size demand for the whole class of one-time Parkinson's cell and gene therapies from published prevalence, label-style eligibility (levodopa-responsive, at least four years since diagnosis, motor complications, no dementia, fit for surgery) and a stock-and-flow pool (Appendix C) [A30][C42]. About 180,000 US patients are medically eligible in FY2026E, 16% of PD [C42]. DBS and one-time therapy are not treated as mutually exclusive: trials exclude patients who have had DBS, but that is an entry rule and we found no biological or safety reason for it, so these patients stay in the pool [S44][A41]–[A43] ★. About 3,990 eligible patients receive DBS each year, 2.2% of the pool [A10][C49]. We assume 6% of the pool a year would receive a one-time, potentially disease-modifying therapy from FY2029E, about 2.7 times the DBS rate. DBS continues alongside and is not deducted [S45] ★. Class demand is about 11,800 in the launch year, eases to about 10,800 in FY2033E–35E as the backlog is drawn down, then rises with the pool to 11,500 in FY2040E [C40]; the post-FY2031E path is demand context only, as the valuation fades revenue growth from FY2032E [P3]. Volume reaches demand in FY2031E. The three-year ramp is David's judgment that it also gives time for other Parkinson's therapies to be approved [S64] ★. Running 11,100 Parkinson's procedures a year needs about 74 centres at 3 cases a week, far beyond the 20–30 centres management talks about, an aggressive judgment [S43][G7] ★. We treat all one-time PD cell/gene procedures as one class on ClearPoint's platform (100% share, David's view) [S62][S63] ★. The bull treats 8% of the pool a year on the same ramp, giving 14,300 procedures in FY2031E [S59][C46] ★; bull revenue by line is in Figure 5b. The bear excludes patients who have had DBS, as trials do (pool about 138,000), and is limited by a capacity ramp after a 2030 approval, reaching 2,500 procedures in FY2031E [S22][S43][C55]. AMT-130 is unchanged at 3,000 a year from FY2030E [S30].</w:t>
      </w:r>
    </w:p>
    <w:p>
      <w:r>
        <w:t xml:space="preserve">■ </w:t>
      </w:r>
      <w:r>
        <w:rPr>
          <w:b/>
        </w:rPr>
        <w:t>Finagle values the shares at $65.20 in the base case vs. a $9.25 price (derived) [C56][C59].</w:t>
      </w:r>
      <w:r>
        <w:t xml:space="preserve"> The bull case gives $88.36 and the bear $14.56 [C57][C58]. After David's rough ×0.90 allowance for dilution from a $25M equity raise, the values are $58.68, $79.52 and $13.10 [C62]. The valuation uses David's balance-sheet assumptions: a further $50M note draw in FY2026E, debt at 2× EBITDA from the first profitable year, 9.2% interest, stock-based compensation of $8M a year until EBITDA turns positive, and a cost of equity of 10.45% (10-year yield plus a 5.5% premium) [P3]. Explicit growth ends at FY2031E; Finagle then fades revenue growth from 15% to 4.95% by FY2040E [P3][C65]. About 86% of base value comes from cash flows after FY2031E and 54% from terminal value (derived) [C60]. These are scenario values, not a target.</w:t>
      </w:r>
    </w:p>
    <w:p>
      <w:pPr>
        <w:keepNext/>
        <w:keepLines/>
      </w:pPr>
      <w:r>
        <w:t>Figure 1 shows the procedure line turning losses into profits from FY2028E.</w:t>
      </w:r>
    </w:p>
    <w:p>
      <w:pPr>
        <w:keepNext/>
        <w:keepLines/>
      </w:pPr>
      <w:r>
        <w:rPr>
          <w:b/>
        </w:rPr>
        <w:t>Figure 1 – Financial summary (base case)</w:t>
      </w:r>
    </w:p>
    <w:tbl>
      <w:tblPr>
        <w:tblStyle w:val="TableGrid"/>
        <w:tblW w:type="auto" w:w="0"/>
        <w:tblLook w:firstColumn="1" w:firstRow="1" w:lastColumn="0" w:lastRow="0" w:noHBand="0" w:noVBand="1" w:val="04A0"/>
      </w:tblPr>
      <w:tblGrid>
        <w:gridCol w:w="1171"/>
        <w:gridCol w:w="1171"/>
        <w:gridCol w:w="1171"/>
        <w:gridCol w:w="1171"/>
        <w:gridCol w:w="1171"/>
        <w:gridCol w:w="1171"/>
        <w:gridCol w:w="1171"/>
        <w:gridCol w:w="1171"/>
        <w:gridCol w:w="1171"/>
      </w:tblGrid>
      <w:tr>
        <w:trPr>
          <w:cantSplit/>
          <w:tblHeader/>
        </w:trPr>
        <w:tc>
          <w:tcPr>
            <w:tcW w:type="dxa" w:w="1171"/>
          </w:tcPr>
          <w:p>
            <w:pPr>
              <w:keepNext/>
              <w:keepLines/>
            </w:pPr>
            <w:r>
              <w:rPr>
                <w:b/>
                <w:sz w:val="14"/>
              </w:rPr>
              <w:t>US$M</w:t>
            </w:r>
          </w:p>
        </w:tc>
        <w:tc>
          <w:tcPr>
            <w:tcW w:type="dxa" w:w="1171"/>
          </w:tcPr>
          <w:p>
            <w:pPr>
              <w:keepNext/>
              <w:keepLines/>
            </w:pPr>
            <w:r>
              <w:rPr>
                <w:b/>
                <w:sz w:val="14"/>
              </w:rPr>
              <w:t>FY2024A</w:t>
            </w:r>
          </w:p>
        </w:tc>
        <w:tc>
          <w:tcPr>
            <w:tcW w:type="dxa" w:w="1171"/>
          </w:tcPr>
          <w:p>
            <w:pPr>
              <w:keepNext/>
              <w:keepLines/>
            </w:pPr>
            <w:r>
              <w:rPr>
                <w:b/>
                <w:sz w:val="14"/>
              </w:rPr>
              <w:t>FY2025A</w:t>
            </w:r>
          </w:p>
        </w:tc>
        <w:tc>
          <w:tcPr>
            <w:tcW w:type="dxa" w:w="1171"/>
          </w:tcPr>
          <w:p>
            <w:pPr>
              <w:keepNext/>
              <w:keepLines/>
            </w:pPr>
            <w:r>
              <w:rPr>
                <w:b/>
                <w:sz w:val="14"/>
              </w:rPr>
              <w:t>FY2026E</w:t>
            </w:r>
          </w:p>
        </w:tc>
        <w:tc>
          <w:tcPr>
            <w:tcW w:type="dxa" w:w="1171"/>
          </w:tcPr>
          <w:p>
            <w:pPr>
              <w:keepNext/>
              <w:keepLines/>
            </w:pPr>
            <w:r>
              <w:rPr>
                <w:b/>
                <w:sz w:val="14"/>
              </w:rPr>
              <w:t>FY2027E</w:t>
            </w:r>
          </w:p>
        </w:tc>
        <w:tc>
          <w:tcPr>
            <w:tcW w:type="dxa" w:w="1171"/>
          </w:tcPr>
          <w:p>
            <w:pPr>
              <w:keepNext/>
              <w:keepLines/>
            </w:pPr>
            <w:r>
              <w:rPr>
                <w:b/>
                <w:sz w:val="14"/>
              </w:rPr>
              <w:t>FY2028E</w:t>
            </w:r>
          </w:p>
        </w:tc>
        <w:tc>
          <w:tcPr>
            <w:tcW w:type="dxa" w:w="1171"/>
          </w:tcPr>
          <w:p>
            <w:pPr>
              <w:keepNext/>
              <w:keepLines/>
            </w:pPr>
            <w:r>
              <w:rPr>
                <w:b/>
                <w:sz w:val="14"/>
              </w:rPr>
              <w:t>FY2029E</w:t>
            </w:r>
          </w:p>
        </w:tc>
        <w:tc>
          <w:tcPr>
            <w:tcW w:type="dxa" w:w="1171"/>
          </w:tcPr>
          <w:p>
            <w:pPr>
              <w:keepNext/>
              <w:keepLines/>
            </w:pPr>
            <w:r>
              <w:rPr>
                <w:b/>
                <w:sz w:val="14"/>
              </w:rPr>
              <w:t>FY2030E</w:t>
            </w:r>
          </w:p>
        </w:tc>
        <w:tc>
          <w:tcPr>
            <w:tcW w:type="dxa" w:w="1171"/>
          </w:tcPr>
          <w:p>
            <w:pPr>
              <w:keepNext/>
              <w:keepLines/>
            </w:pPr>
            <w:r>
              <w:rPr>
                <w:b/>
                <w:sz w:val="14"/>
              </w:rPr>
              <w:t>FY2031E</w:t>
            </w:r>
          </w:p>
        </w:tc>
      </w:tr>
      <w:tr>
        <w:trPr>
          <w:cantSplit/>
        </w:trPr>
        <w:tc>
          <w:tcPr>
            <w:tcW w:type="dxa" w:w="1171"/>
          </w:tcPr>
          <w:p>
            <w:pPr>
              <w:keepNext/>
              <w:keepLines/>
            </w:pPr>
            <w:r>
              <w:rPr>
                <w:sz w:val="14"/>
              </w:rPr>
              <w:t>Revenue</w:t>
            </w:r>
          </w:p>
        </w:tc>
        <w:tc>
          <w:tcPr>
            <w:tcW w:type="dxa" w:w="1171"/>
          </w:tcPr>
          <w:p>
            <w:pPr>
              <w:keepNext/>
              <w:keepLines/>
            </w:pPr>
            <w:r>
              <w:rPr>
                <w:sz w:val="14"/>
              </w:rPr>
              <w:t>31.4</w:t>
            </w:r>
          </w:p>
        </w:tc>
        <w:tc>
          <w:tcPr>
            <w:tcW w:type="dxa" w:w="1171"/>
          </w:tcPr>
          <w:p>
            <w:pPr>
              <w:keepNext/>
              <w:keepLines/>
            </w:pPr>
            <w:r>
              <w:rPr>
                <w:sz w:val="14"/>
              </w:rPr>
              <w:t>37.0</w:t>
            </w:r>
          </w:p>
        </w:tc>
        <w:tc>
          <w:tcPr>
            <w:tcW w:type="dxa" w:w="1171"/>
          </w:tcPr>
          <w:p>
            <w:pPr>
              <w:keepNext/>
              <w:keepLines/>
            </w:pPr>
            <w:r>
              <w:rPr>
                <w:sz w:val="14"/>
              </w:rPr>
              <w:t>49.0</w:t>
            </w:r>
          </w:p>
        </w:tc>
        <w:tc>
          <w:tcPr>
            <w:tcW w:type="dxa" w:w="1171"/>
          </w:tcPr>
          <w:p>
            <w:pPr>
              <w:keepNext/>
              <w:keepLines/>
            </w:pPr>
            <w:r>
              <w:rPr>
                <w:sz w:val="14"/>
              </w:rPr>
              <w:t>63.1</w:t>
            </w:r>
          </w:p>
        </w:tc>
        <w:tc>
          <w:tcPr>
            <w:tcW w:type="dxa" w:w="1171"/>
          </w:tcPr>
          <w:p>
            <w:pPr>
              <w:keepNext/>
              <w:keepLines/>
            </w:pPr>
            <w:r>
              <w:rPr>
                <w:sz w:val="14"/>
              </w:rPr>
              <w:t>122.0</w:t>
            </w:r>
          </w:p>
        </w:tc>
        <w:tc>
          <w:tcPr>
            <w:tcW w:type="dxa" w:w="1171"/>
          </w:tcPr>
          <w:p>
            <w:pPr>
              <w:keepNext/>
              <w:keepLines/>
            </w:pPr>
            <w:r>
              <w:rPr>
                <w:sz w:val="14"/>
              </w:rPr>
              <w:t>230.6</w:t>
            </w:r>
          </w:p>
        </w:tc>
        <w:tc>
          <w:tcPr>
            <w:tcW w:type="dxa" w:w="1171"/>
          </w:tcPr>
          <w:p>
            <w:pPr>
              <w:keepNext/>
              <w:keepLines/>
            </w:pPr>
            <w:r>
              <w:rPr>
                <w:sz w:val="14"/>
              </w:rPr>
              <w:t>319.9</w:t>
            </w:r>
          </w:p>
        </w:tc>
        <w:tc>
          <w:tcPr>
            <w:tcW w:type="dxa" w:w="1171"/>
          </w:tcPr>
          <w:p>
            <w:pPr>
              <w:keepNext/>
              <w:keepLines/>
            </w:pPr>
            <w:r>
              <w:rPr>
                <w:sz w:val="14"/>
              </w:rPr>
              <w:t>410.4</w:t>
            </w:r>
          </w:p>
        </w:tc>
      </w:tr>
      <w:tr>
        <w:trPr>
          <w:cantSplit/>
        </w:trPr>
        <w:tc>
          <w:tcPr>
            <w:tcW w:type="dxa" w:w="1171"/>
          </w:tcPr>
          <w:p>
            <w:pPr>
              <w:keepNext/>
              <w:keepLines/>
            </w:pPr>
            <w:r>
              <w:rPr>
                <w:sz w:val="14"/>
              </w:rPr>
              <w:t>Revenue growth</w:t>
            </w:r>
          </w:p>
        </w:tc>
        <w:tc>
          <w:tcPr>
            <w:tcW w:type="dxa" w:w="1171"/>
          </w:tcPr>
          <w:p>
            <w:pPr>
              <w:keepNext/>
              <w:keepLines/>
            </w:pPr>
            <w:r>
              <w:rPr>
                <w:sz w:val="14"/>
              </w:rPr>
              <w:t>–</w:t>
            </w:r>
          </w:p>
        </w:tc>
        <w:tc>
          <w:tcPr>
            <w:tcW w:type="dxa" w:w="1171"/>
          </w:tcPr>
          <w:p>
            <w:pPr>
              <w:keepNext/>
              <w:keepLines/>
            </w:pPr>
            <w:r>
              <w:rPr>
                <w:sz w:val="14"/>
              </w:rPr>
              <w:t>17.8%</w:t>
            </w:r>
          </w:p>
        </w:tc>
        <w:tc>
          <w:tcPr>
            <w:tcW w:type="dxa" w:w="1171"/>
          </w:tcPr>
          <w:p>
            <w:pPr>
              <w:keepNext/>
              <w:keepLines/>
            </w:pPr>
            <w:r>
              <w:rPr>
                <w:sz w:val="14"/>
              </w:rPr>
              <w:t>32.5%</w:t>
            </w:r>
          </w:p>
        </w:tc>
        <w:tc>
          <w:tcPr>
            <w:tcW w:type="dxa" w:w="1171"/>
          </w:tcPr>
          <w:p>
            <w:pPr>
              <w:keepNext/>
              <w:keepLines/>
            </w:pPr>
            <w:r>
              <w:rPr>
                <w:sz w:val="14"/>
              </w:rPr>
              <w:t>28.9%</w:t>
            </w:r>
          </w:p>
        </w:tc>
        <w:tc>
          <w:tcPr>
            <w:tcW w:type="dxa" w:w="1171"/>
          </w:tcPr>
          <w:p>
            <w:pPr>
              <w:keepNext/>
              <w:keepLines/>
            </w:pPr>
            <w:r>
              <w:rPr>
                <w:sz w:val="14"/>
              </w:rPr>
              <w:t>93.2%</w:t>
            </w:r>
          </w:p>
        </w:tc>
        <w:tc>
          <w:tcPr>
            <w:tcW w:type="dxa" w:w="1171"/>
          </w:tcPr>
          <w:p>
            <w:pPr>
              <w:keepNext/>
              <w:keepLines/>
            </w:pPr>
            <w:r>
              <w:rPr>
                <w:sz w:val="14"/>
              </w:rPr>
              <w:t>88.9%</w:t>
            </w:r>
          </w:p>
        </w:tc>
        <w:tc>
          <w:tcPr>
            <w:tcW w:type="dxa" w:w="1171"/>
          </w:tcPr>
          <w:p>
            <w:pPr>
              <w:keepNext/>
              <w:keepLines/>
            </w:pPr>
            <w:r>
              <w:rPr>
                <w:sz w:val="14"/>
              </w:rPr>
              <w:t>38.7%</w:t>
            </w:r>
          </w:p>
        </w:tc>
        <w:tc>
          <w:tcPr>
            <w:tcW w:type="dxa" w:w="1171"/>
          </w:tcPr>
          <w:p>
            <w:pPr>
              <w:keepNext/>
              <w:keepLines/>
            </w:pPr>
            <w:r>
              <w:rPr>
                <w:sz w:val="14"/>
              </w:rPr>
              <w:t>28.3%</w:t>
            </w:r>
          </w:p>
        </w:tc>
      </w:tr>
      <w:tr>
        <w:trPr>
          <w:cantSplit/>
        </w:trPr>
        <w:tc>
          <w:tcPr>
            <w:tcW w:type="dxa" w:w="1171"/>
          </w:tcPr>
          <w:p>
            <w:pPr>
              <w:keepNext/>
              <w:keepLines/>
            </w:pPr>
            <w:r>
              <w:rPr>
                <w:sz w:val="14"/>
              </w:rPr>
              <w:t>Gross margin</w:t>
            </w:r>
          </w:p>
        </w:tc>
        <w:tc>
          <w:tcPr>
            <w:tcW w:type="dxa" w:w="1171"/>
          </w:tcPr>
          <w:p>
            <w:pPr>
              <w:keepNext/>
              <w:keepLines/>
            </w:pPr>
            <w:r>
              <w:rPr>
                <w:sz w:val="14"/>
              </w:rPr>
              <w:t>–</w:t>
            </w:r>
          </w:p>
        </w:tc>
        <w:tc>
          <w:tcPr>
            <w:tcW w:type="dxa" w:w="1171"/>
          </w:tcPr>
          <w:p>
            <w:pPr>
              <w:keepNext/>
              <w:keepLines/>
            </w:pPr>
            <w:r>
              <w:rPr>
                <w:sz w:val="14"/>
              </w:rPr>
              <w:t>61.4%</w:t>
            </w:r>
          </w:p>
        </w:tc>
        <w:tc>
          <w:tcPr>
            <w:tcW w:type="dxa" w:w="1171"/>
          </w:tcPr>
          <w:p>
            <w:pPr>
              <w:keepNext/>
              <w:keepLines/>
            </w:pPr>
            <w:r>
              <w:rPr>
                <w:sz w:val="14"/>
              </w:rPr>
              <w:t>62.9%</w:t>
            </w:r>
          </w:p>
        </w:tc>
        <w:tc>
          <w:tcPr>
            <w:tcW w:type="dxa" w:w="1171"/>
          </w:tcPr>
          <w:p>
            <w:pPr>
              <w:keepNext/>
              <w:keepLines/>
            </w:pPr>
            <w:r>
              <w:rPr>
                <w:sz w:val="14"/>
              </w:rPr>
              <w:t>63.6%</w:t>
            </w:r>
          </w:p>
        </w:tc>
        <w:tc>
          <w:tcPr>
            <w:tcW w:type="dxa" w:w="1171"/>
          </w:tcPr>
          <w:p>
            <w:pPr>
              <w:keepNext/>
              <w:keepLines/>
            </w:pPr>
            <w:r>
              <w:rPr>
                <w:sz w:val="14"/>
              </w:rPr>
              <w:t>65.8%</w:t>
            </w:r>
          </w:p>
        </w:tc>
        <w:tc>
          <w:tcPr>
            <w:tcW w:type="dxa" w:w="1171"/>
          </w:tcPr>
          <w:p>
            <w:pPr>
              <w:keepNext/>
              <w:keepLines/>
            </w:pPr>
            <w:r>
              <w:rPr>
                <w:sz w:val="14"/>
              </w:rPr>
              <w:t>67.3%</w:t>
            </w:r>
          </w:p>
        </w:tc>
        <w:tc>
          <w:tcPr>
            <w:tcW w:type="dxa" w:w="1171"/>
          </w:tcPr>
          <w:p>
            <w:pPr>
              <w:keepNext/>
              <w:keepLines/>
            </w:pPr>
            <w:r>
              <w:rPr>
                <w:sz w:val="14"/>
              </w:rPr>
              <w:t>67.6%</w:t>
            </w:r>
          </w:p>
        </w:tc>
        <w:tc>
          <w:tcPr>
            <w:tcW w:type="dxa" w:w="1171"/>
          </w:tcPr>
          <w:p>
            <w:pPr>
              <w:keepNext/>
              <w:keepLines/>
            </w:pPr>
            <w:r>
              <w:rPr>
                <w:sz w:val="14"/>
              </w:rPr>
              <w:t>67.8%</w:t>
            </w:r>
          </w:p>
        </w:tc>
      </w:tr>
      <w:tr>
        <w:trPr>
          <w:cantSplit/>
        </w:trPr>
        <w:tc>
          <w:tcPr>
            <w:tcW w:type="dxa" w:w="1171"/>
          </w:tcPr>
          <w:p>
            <w:pPr>
              <w:keepNext/>
              <w:keepLines/>
            </w:pPr>
            <w:r>
              <w:rPr>
                <w:sz w:val="14"/>
              </w:rPr>
              <w:t>EBITDA (before SBC)</w:t>
            </w:r>
          </w:p>
        </w:tc>
        <w:tc>
          <w:tcPr>
            <w:tcW w:type="dxa" w:w="1171"/>
          </w:tcPr>
          <w:p>
            <w:pPr>
              <w:keepNext/>
              <w:keepLines/>
            </w:pPr>
            <w:r>
              <w:rPr>
                <w:sz w:val="14"/>
              </w:rPr>
              <w:t>–</w:t>
            </w:r>
          </w:p>
        </w:tc>
        <w:tc>
          <w:tcPr>
            <w:tcW w:type="dxa" w:w="1171"/>
          </w:tcPr>
          <w:p>
            <w:pPr>
              <w:keepNext/>
              <w:keepLines/>
            </w:pPr>
            <w:r>
              <w:rPr>
                <w:sz w:val="14"/>
              </w:rPr>
              <w:t>−15.2</w:t>
            </w:r>
          </w:p>
        </w:tc>
        <w:tc>
          <w:tcPr>
            <w:tcW w:type="dxa" w:w="1171"/>
          </w:tcPr>
          <w:p>
            <w:pPr>
              <w:keepNext/>
              <w:keepLines/>
            </w:pPr>
            <w:r>
              <w:rPr>
                <w:sz w:val="14"/>
              </w:rPr>
              <w:t>−23.6</w:t>
            </w:r>
          </w:p>
        </w:tc>
        <w:tc>
          <w:tcPr>
            <w:tcW w:type="dxa" w:w="1171"/>
          </w:tcPr>
          <w:p>
            <w:pPr>
              <w:keepNext/>
              <w:keepLines/>
            </w:pPr>
            <w:r>
              <w:rPr>
                <w:sz w:val="14"/>
              </w:rPr>
              <w:t>−19.5</w:t>
            </w:r>
          </w:p>
        </w:tc>
        <w:tc>
          <w:tcPr>
            <w:tcW w:type="dxa" w:w="1171"/>
          </w:tcPr>
          <w:p>
            <w:pPr>
              <w:keepNext/>
              <w:keepLines/>
            </w:pPr>
            <w:r>
              <w:rPr>
                <w:sz w:val="14"/>
              </w:rPr>
              <w:t>12.0</w:t>
            </w:r>
          </w:p>
        </w:tc>
        <w:tc>
          <w:tcPr>
            <w:tcW w:type="dxa" w:w="1171"/>
          </w:tcPr>
          <w:p>
            <w:pPr>
              <w:keepNext/>
              <w:keepLines/>
            </w:pPr>
            <w:r>
              <w:rPr>
                <w:sz w:val="14"/>
              </w:rPr>
              <w:t>71.2</w:t>
            </w:r>
          </w:p>
        </w:tc>
        <w:tc>
          <w:tcPr>
            <w:tcW w:type="dxa" w:w="1171"/>
          </w:tcPr>
          <w:p>
            <w:pPr>
              <w:keepNext/>
              <w:keepLines/>
            </w:pPr>
            <w:r>
              <w:rPr>
                <w:sz w:val="14"/>
              </w:rPr>
              <w:t>120.6</w:t>
            </w:r>
          </w:p>
        </w:tc>
        <w:tc>
          <w:tcPr>
            <w:tcW w:type="dxa" w:w="1171"/>
          </w:tcPr>
          <w:p>
            <w:pPr>
              <w:keepNext/>
              <w:keepLines/>
            </w:pPr>
            <w:r>
              <w:rPr>
                <w:sz w:val="14"/>
              </w:rPr>
              <w:t>170.8</w:t>
            </w:r>
          </w:p>
        </w:tc>
      </w:tr>
      <w:tr>
        <w:trPr>
          <w:cantSplit/>
        </w:trPr>
        <w:tc>
          <w:tcPr>
            <w:tcW w:type="dxa" w:w="1171"/>
          </w:tcPr>
          <w:p>
            <w:pPr>
              <w:keepNext/>
              <w:keepLines/>
            </w:pPr>
            <w:r>
              <w:rPr>
                <w:sz w:val="14"/>
              </w:rPr>
              <w:t>EBITDA growth</w:t>
            </w:r>
          </w:p>
        </w:tc>
        <w:tc>
          <w:tcPr>
            <w:tcW w:type="dxa" w:w="1171"/>
          </w:tcPr>
          <w:p>
            <w:pPr>
              <w:keepNext/>
              <w:keepLines/>
            </w:pPr>
            <w:r>
              <w:rPr>
                <w:sz w:val="14"/>
              </w:rPr>
              <w:t>–</w:t>
            </w:r>
          </w:p>
        </w:tc>
        <w:tc>
          <w:tcPr>
            <w:tcW w:type="dxa" w:w="1171"/>
          </w:tcPr>
          <w:p>
            <w:pPr>
              <w:keepNext/>
              <w:keepLines/>
            </w:pPr>
            <w:r>
              <w:rPr>
                <w:sz w:val="14"/>
              </w:rPr>
              <w:t>–</w:t>
            </w:r>
          </w:p>
        </w:tc>
        <w:tc>
          <w:tcPr>
            <w:tcW w:type="dxa" w:w="1171"/>
          </w:tcPr>
          <w:p>
            <w:pPr>
              <w:keepNext/>
              <w:keepLines/>
            </w:pPr>
            <w:r>
              <w:rPr>
                <w:sz w:val="14"/>
              </w:rPr>
              <w:t>n/m</w:t>
            </w:r>
          </w:p>
        </w:tc>
        <w:tc>
          <w:tcPr>
            <w:tcW w:type="dxa" w:w="1171"/>
          </w:tcPr>
          <w:p>
            <w:pPr>
              <w:keepNext/>
              <w:keepLines/>
            </w:pPr>
            <w:r>
              <w:rPr>
                <w:sz w:val="14"/>
              </w:rPr>
              <w:t>n/m</w:t>
            </w:r>
          </w:p>
        </w:tc>
        <w:tc>
          <w:tcPr>
            <w:tcW w:type="dxa" w:w="1171"/>
          </w:tcPr>
          <w:p>
            <w:pPr>
              <w:keepNext/>
              <w:keepLines/>
            </w:pPr>
            <w:r>
              <w:rPr>
                <w:sz w:val="14"/>
              </w:rPr>
              <w:t>n/m</w:t>
            </w:r>
          </w:p>
        </w:tc>
        <w:tc>
          <w:tcPr>
            <w:tcW w:type="dxa" w:w="1171"/>
          </w:tcPr>
          <w:p>
            <w:pPr>
              <w:keepNext/>
              <w:keepLines/>
            </w:pPr>
            <w:r>
              <w:rPr>
                <w:sz w:val="14"/>
              </w:rPr>
              <w:t>493.6%</w:t>
            </w:r>
          </w:p>
        </w:tc>
        <w:tc>
          <w:tcPr>
            <w:tcW w:type="dxa" w:w="1171"/>
          </w:tcPr>
          <w:p>
            <w:pPr>
              <w:keepNext/>
              <w:keepLines/>
            </w:pPr>
            <w:r>
              <w:rPr>
                <w:sz w:val="14"/>
              </w:rPr>
              <w:t>69.4%</w:t>
            </w:r>
          </w:p>
        </w:tc>
        <w:tc>
          <w:tcPr>
            <w:tcW w:type="dxa" w:w="1171"/>
          </w:tcPr>
          <w:p>
            <w:pPr>
              <w:keepNext/>
              <w:keepLines/>
            </w:pPr>
            <w:r>
              <w:rPr>
                <w:sz w:val="14"/>
              </w:rPr>
              <w:t>41.6%</w:t>
            </w:r>
          </w:p>
        </w:tc>
      </w:tr>
      <w:tr>
        <w:trPr>
          <w:cantSplit/>
        </w:trPr>
        <w:tc>
          <w:tcPr>
            <w:tcW w:type="dxa" w:w="1171"/>
          </w:tcPr>
          <w:p>
            <w:r>
              <w:rPr>
                <w:sz w:val="14"/>
              </w:rPr>
              <w:t>EBITDA margin</w:t>
            </w:r>
          </w:p>
        </w:tc>
        <w:tc>
          <w:tcPr>
            <w:tcW w:type="dxa" w:w="1171"/>
          </w:tcPr>
          <w:p>
            <w:r>
              <w:rPr>
                <w:sz w:val="14"/>
              </w:rPr>
              <w:t>–</w:t>
            </w:r>
          </w:p>
        </w:tc>
        <w:tc>
          <w:tcPr>
            <w:tcW w:type="dxa" w:w="1171"/>
          </w:tcPr>
          <w:p>
            <w:r>
              <w:rPr>
                <w:sz w:val="14"/>
              </w:rPr>
              <w:t>−41.0%</w:t>
            </w:r>
          </w:p>
        </w:tc>
        <w:tc>
          <w:tcPr>
            <w:tcW w:type="dxa" w:w="1171"/>
          </w:tcPr>
          <w:p>
            <w:r>
              <w:rPr>
                <w:sz w:val="14"/>
              </w:rPr>
              <w:t>−48.1%</w:t>
            </w:r>
          </w:p>
        </w:tc>
        <w:tc>
          <w:tcPr>
            <w:tcW w:type="dxa" w:w="1171"/>
          </w:tcPr>
          <w:p>
            <w:r>
              <w:rPr>
                <w:sz w:val="14"/>
              </w:rPr>
              <w:t>−30.9%</w:t>
            </w:r>
          </w:p>
        </w:tc>
        <w:tc>
          <w:tcPr>
            <w:tcW w:type="dxa" w:w="1171"/>
          </w:tcPr>
          <w:p>
            <w:r>
              <w:rPr>
                <w:sz w:val="14"/>
              </w:rPr>
              <w:t>9.8%</w:t>
            </w:r>
          </w:p>
        </w:tc>
        <w:tc>
          <w:tcPr>
            <w:tcW w:type="dxa" w:w="1171"/>
          </w:tcPr>
          <w:p>
            <w:r>
              <w:rPr>
                <w:sz w:val="14"/>
              </w:rPr>
              <w:t>30.9%</w:t>
            </w:r>
          </w:p>
        </w:tc>
        <w:tc>
          <w:tcPr>
            <w:tcW w:type="dxa" w:w="1171"/>
          </w:tcPr>
          <w:p>
            <w:r>
              <w:rPr>
                <w:sz w:val="14"/>
              </w:rPr>
              <w:t>37.7%</w:t>
            </w:r>
          </w:p>
        </w:tc>
        <w:tc>
          <w:tcPr>
            <w:tcW w:type="dxa" w:w="1171"/>
          </w:tcPr>
          <w:p>
            <w:r>
              <w:rPr>
                <w:sz w:val="14"/>
              </w:rPr>
              <w:t>41.6%</w:t>
            </w:r>
          </w:p>
        </w:tc>
      </w:tr>
    </w:tbl>
    <w:p/>
    <w:p>
      <w:r>
        <w:rPr>
          <w:i/>
        </w:rPr>
        <w:t>Source: A1, A3, C7, C8, C9, C10, C11, E1, S13, S15, S23, S32, S37, S38. EBITDA growth is not meaningful (n/m) on a negative base. FY2024A EBITDA is not built in this forecast.</w:t>
      </w:r>
    </w:p>
    <w:p>
      <w:pPr>
        <w:pStyle w:val="Heading3"/>
        <w:keepNext/>
        <w:keepLines/>
      </w:pPr>
      <w:r>
        <w:t>2. Business Description and Reporting Lines</w:t>
      </w:r>
    </w:p>
    <w:p>
      <w:r>
        <w:t>ClearPoint Neuro sells an MRI- and CT-guided platform for delivering therapies into the brain: frames, cannulae, software and services. Its customers are hospitals (for neurosurgery) and biopharma companies (for cell and gene therapy trials) [A2]. It reports three lines [A2]:</w:t>
      </w:r>
    </w:p>
    <w:p>
      <w:pPr>
        <w:pStyle w:val="ListBullet"/>
      </w:pPr>
      <w:r>
        <w:rPr>
          <w:b/>
        </w:rPr>
        <w:t>Biologics and drug delivery (51% of FY2025A revenue).</w:t>
      </w:r>
      <w:r>
        <w:t xml:space="preserve"> Disposables, clinical case support, preclinical services, now run from the CAL (ClearPoint Advanced Laboratories), a 30,000 sq ft preclinical contract-research facility in Torrey Pines, San Diego [D2][G9], and licensing/milestone fees from more than 60 pharma partners, including uniQure and BlueRock [A2][G2]. PTC Therapeutics accounted for 15% of this line in FY2025A [D1]. Revenue is earned per procedure and per service contract. Once a partner product is approved, ClearPoint expects about $12–15k per patient across partners [G5] and $15–25k per typical uniQure procedure [G4]. This forecast prices both approved therapies at $20k per procedure [P2].</w:t>
      </w:r>
    </w:p>
    <w:p>
      <w:pPr>
        <w:pStyle w:val="ListBullet"/>
      </w:pPr>
      <w:r>
        <w:rPr>
          <w:b/>
        </w:rPr>
        <w:t>Neurosurgery navigation and therapy (40%).</w:t>
      </w:r>
      <w:r>
        <w:t xml:space="preserve"> Disposables for deep-brain stimulation, laser ablation and biopsy, plus the IRRAflow drainage system added with the IRRAS acquisition in November 2025 [A2][D1]. These are sold directly to hospitals, mostly in the US. The five largest hospitals make up 21% of disposables [D1].</w:t>
      </w:r>
    </w:p>
    <w:p>
      <w:pPr>
        <w:pStyle w:val="ListBullet"/>
      </w:pPr>
      <w:r>
        <w:rPr>
          <w:b/>
        </w:rPr>
        <w:t>Capital equipment and software (8%).</w:t>
      </w:r>
      <w:r>
        <w:t xml:space="preserve"> ClearPoint consoles, robotics, the operating-room navigation software and the IRRAflow control units, sold as capital or placed [A2].</w:t>
      </w:r>
    </w:p>
    <w:p>
      <w:pPr>
        <w:keepNext/>
        <w:keepLines/>
      </w:pPr>
      <w:r>
        <w:t>Figure 2 shows that biologics and drug delivery is still the largest line, but neurosurgery is gaining share quickly.</w:t>
      </w:r>
    </w:p>
    <w:p>
      <w:pPr>
        <w:keepNext/>
        <w:keepLines/>
      </w:pPr>
      <w:r>
        <w:rPr>
          <w:b/>
        </w:rPr>
        <w:t>Figure 2 – Revenue by line, FY2025A</w:t>
      </w:r>
    </w:p>
    <w:tbl>
      <w:tblPr>
        <w:tblStyle w:val="TableGrid"/>
        <w:tblW w:type="auto" w:w="0"/>
        <w:tblLook w:firstColumn="1" w:firstRow="1" w:lastColumn="0" w:lastRow="0" w:noHBand="0" w:noVBand="1" w:val="04A0"/>
      </w:tblPr>
      <w:tblGrid>
        <w:gridCol w:w="2635"/>
        <w:gridCol w:w="2635"/>
        <w:gridCol w:w="2635"/>
        <w:gridCol w:w="2635"/>
      </w:tblGrid>
      <w:tr>
        <w:trPr>
          <w:cantSplit/>
          <w:tblHeader/>
        </w:trPr>
        <w:tc>
          <w:tcPr>
            <w:tcW w:type="dxa" w:w="2635"/>
          </w:tcPr>
          <w:p>
            <w:pPr>
              <w:keepNext/>
              <w:keepLines/>
            </w:pPr>
            <w:r>
              <w:rPr>
                <w:b/>
                <w:sz w:val="16"/>
              </w:rPr>
              <w:t>Line</w:t>
            </w:r>
          </w:p>
        </w:tc>
        <w:tc>
          <w:tcPr>
            <w:tcW w:type="dxa" w:w="2635"/>
          </w:tcPr>
          <w:p>
            <w:pPr>
              <w:keepNext/>
              <w:keepLines/>
            </w:pPr>
            <w:r>
              <w:rPr>
                <w:b/>
                <w:sz w:val="16"/>
              </w:rPr>
              <w:t>US$M</w:t>
            </w:r>
          </w:p>
        </w:tc>
        <w:tc>
          <w:tcPr>
            <w:tcW w:type="dxa" w:w="2635"/>
          </w:tcPr>
          <w:p>
            <w:pPr>
              <w:keepNext/>
              <w:keepLines/>
            </w:pPr>
            <w:r>
              <w:rPr>
                <w:b/>
                <w:sz w:val="16"/>
              </w:rPr>
              <w:t>Share</w:t>
            </w:r>
          </w:p>
        </w:tc>
        <w:tc>
          <w:tcPr>
            <w:tcW w:type="dxa" w:w="2635"/>
          </w:tcPr>
          <w:p>
            <w:pPr>
              <w:keepNext/>
              <w:keepLines/>
            </w:pPr>
            <w:r>
              <w:rPr>
                <w:b/>
                <w:sz w:val="16"/>
              </w:rPr>
              <w:t>YoY</w:t>
            </w:r>
          </w:p>
        </w:tc>
      </w:tr>
      <w:tr>
        <w:trPr>
          <w:cantSplit/>
        </w:trPr>
        <w:tc>
          <w:tcPr>
            <w:tcW w:type="dxa" w:w="2635"/>
          </w:tcPr>
          <w:p>
            <w:pPr>
              <w:keepNext/>
              <w:keepLines/>
            </w:pPr>
            <w:r>
              <w:rPr>
                <w:sz w:val="16"/>
              </w:rPr>
              <w:t>Biologics and drug delivery</w:t>
            </w:r>
          </w:p>
        </w:tc>
        <w:tc>
          <w:tcPr>
            <w:tcW w:type="dxa" w:w="2635"/>
          </w:tcPr>
          <w:p>
            <w:pPr>
              <w:keepNext/>
              <w:keepLines/>
            </w:pPr>
            <w:r>
              <w:rPr>
                <w:sz w:val="16"/>
              </w:rPr>
              <w:t>19.0</w:t>
            </w:r>
          </w:p>
        </w:tc>
        <w:tc>
          <w:tcPr>
            <w:tcW w:type="dxa" w:w="2635"/>
          </w:tcPr>
          <w:p>
            <w:pPr>
              <w:keepNext/>
              <w:keepLines/>
            </w:pPr>
            <w:r>
              <w:rPr>
                <w:sz w:val="16"/>
              </w:rPr>
              <w:t>51.5%</w:t>
            </w:r>
          </w:p>
        </w:tc>
        <w:tc>
          <w:tcPr>
            <w:tcW w:type="dxa" w:w="2635"/>
          </w:tcPr>
          <w:p>
            <w:pPr>
              <w:keepNext/>
              <w:keepLines/>
            </w:pPr>
            <w:r>
              <w:rPr>
                <w:sz w:val="16"/>
              </w:rPr>
              <w:t>10.0%</w:t>
            </w:r>
          </w:p>
        </w:tc>
      </w:tr>
      <w:tr>
        <w:trPr>
          <w:cantSplit/>
        </w:trPr>
        <w:tc>
          <w:tcPr>
            <w:tcW w:type="dxa" w:w="2635"/>
          </w:tcPr>
          <w:p>
            <w:pPr>
              <w:keepNext/>
              <w:keepLines/>
            </w:pPr>
            <w:r>
              <w:rPr>
                <w:sz w:val="16"/>
              </w:rPr>
              <w:t>Neurosurgery navigation and therapy</w:t>
            </w:r>
          </w:p>
        </w:tc>
        <w:tc>
          <w:tcPr>
            <w:tcW w:type="dxa" w:w="2635"/>
          </w:tcPr>
          <w:p>
            <w:pPr>
              <w:keepNext/>
              <w:keepLines/>
            </w:pPr>
            <w:r>
              <w:rPr>
                <w:sz w:val="16"/>
              </w:rPr>
              <w:t>14.8</w:t>
            </w:r>
          </w:p>
        </w:tc>
        <w:tc>
          <w:tcPr>
            <w:tcW w:type="dxa" w:w="2635"/>
          </w:tcPr>
          <w:p>
            <w:pPr>
              <w:keepNext/>
              <w:keepLines/>
            </w:pPr>
            <w:r>
              <w:rPr>
                <w:sz w:val="16"/>
              </w:rPr>
              <w:t>40.1%</w:t>
            </w:r>
          </w:p>
        </w:tc>
        <w:tc>
          <w:tcPr>
            <w:tcW w:type="dxa" w:w="2635"/>
          </w:tcPr>
          <w:p>
            <w:pPr>
              <w:keepNext/>
              <w:keepLines/>
            </w:pPr>
            <w:r>
              <w:rPr>
                <w:sz w:val="16"/>
              </w:rPr>
              <w:t>44.2%</w:t>
            </w:r>
          </w:p>
        </w:tc>
      </w:tr>
      <w:tr>
        <w:trPr>
          <w:cantSplit/>
        </w:trPr>
        <w:tc>
          <w:tcPr>
            <w:tcW w:type="dxa" w:w="2635"/>
          </w:tcPr>
          <w:p>
            <w:pPr>
              <w:keepNext/>
              <w:keepLines/>
            </w:pPr>
            <w:r>
              <w:rPr>
                <w:sz w:val="16"/>
              </w:rPr>
              <w:t>Capital equipment and software</w:t>
            </w:r>
          </w:p>
        </w:tc>
        <w:tc>
          <w:tcPr>
            <w:tcW w:type="dxa" w:w="2635"/>
          </w:tcPr>
          <w:p>
            <w:pPr>
              <w:keepNext/>
              <w:keepLines/>
            </w:pPr>
            <w:r>
              <w:rPr>
                <w:sz w:val="16"/>
              </w:rPr>
              <w:t>3.1</w:t>
            </w:r>
          </w:p>
        </w:tc>
        <w:tc>
          <w:tcPr>
            <w:tcW w:type="dxa" w:w="2635"/>
          </w:tcPr>
          <w:p>
            <w:pPr>
              <w:keepNext/>
              <w:keepLines/>
            </w:pPr>
            <w:r>
              <w:rPr>
                <w:sz w:val="16"/>
              </w:rPr>
              <w:t>8.4%</w:t>
            </w:r>
          </w:p>
        </w:tc>
        <w:tc>
          <w:tcPr>
            <w:tcW w:type="dxa" w:w="2635"/>
          </w:tcPr>
          <w:p>
            <w:pPr>
              <w:keepNext/>
              <w:keepLines/>
            </w:pPr>
            <w:r>
              <w:rPr>
                <w:sz w:val="16"/>
              </w:rPr>
              <w:t>−18.3%</w:t>
            </w:r>
          </w:p>
        </w:tc>
      </w:tr>
      <w:tr>
        <w:trPr>
          <w:cantSplit/>
        </w:trPr>
        <w:tc>
          <w:tcPr>
            <w:tcW w:type="dxa" w:w="2635"/>
          </w:tcPr>
          <w:p>
            <w:r>
              <w:rPr>
                <w:b/>
                <w:sz w:val="16"/>
              </w:rPr>
              <w:t>Total</w:t>
            </w:r>
          </w:p>
        </w:tc>
        <w:tc>
          <w:tcPr>
            <w:tcW w:type="dxa" w:w="2635"/>
          </w:tcPr>
          <w:p>
            <w:r>
              <w:rPr>
                <w:b/>
                <w:sz w:val="16"/>
              </w:rPr>
              <w:t>37.0</w:t>
            </w:r>
          </w:p>
        </w:tc>
        <w:tc>
          <w:tcPr>
            <w:tcW w:type="dxa" w:w="2635"/>
          </w:tcPr>
          <w:p>
            <w:r>
              <w:rPr>
                <w:sz w:val="16"/>
              </w:rPr>
              <w:t>100.0%</w:t>
            </w:r>
          </w:p>
        </w:tc>
        <w:tc>
          <w:tcPr>
            <w:tcW w:type="dxa" w:w="2635"/>
          </w:tcPr>
          <w:p>
            <w:r>
              <w:rPr>
                <w:sz w:val="16"/>
              </w:rPr>
              <w:t>17.8%</w:t>
            </w:r>
          </w:p>
        </w:tc>
      </w:tr>
    </w:tbl>
    <w:p/>
    <w:p>
      <w:r>
        <w:rPr>
          <w:i/>
        </w:rPr>
        <w:t>Source: A1, A2, C1; shares derived [C18].</w:t>
      </w:r>
    </w:p>
    <w:p>
      <w:pPr>
        <w:pStyle w:val="Heading3"/>
        <w:keepNext/>
        <w:keepLines/>
      </w:pPr>
      <w:r>
        <w:t>3. Management</w:t>
      </w:r>
    </w:p>
    <w:p>
      <w:r>
        <w:t>Joe Burnett has been President and CEO since November 7, 2017. He joined when the company was still called MRI Interventions and became a director at the same time [D13]. He came from Royal Philips, where he was VP and GM of Neuro Diagnostics and Therapy from March 2016. Before that he was SVP of Image Guided Therapy Devices and GM of Volcano (a Philips company) in 2015–16 [D13]. He spent November 2004–February 2015 at Volcano, ending as EVP/GM of its Coronary &amp; Systems unit. Earlier he was an R&amp;D engineer and product manager at Guidant (1999–2004) [D13]. He holds a BSE in biomedical engineering and an MBA from Duke (Fuqua) [D13].</w:t>
      </w:r>
    </w:p>
    <w:p>
      <w:r>
        <w:rPr>
          <w:b/>
        </w:rPr>
        <w:t>Track record.</w:t>
      </w:r>
      <w:r>
        <w:t xml:space="preserve"> Revenue grew from $7.38M in 2017 to $37.0M in FY2025A, roughly a fivefold increase over eight years [A6][A1]. Burnett repositioned the company from a neurosurgery tool vendor into a drug-delivery partner for biopharma. That is the strategy this forecast depends on. His capital allocation has relied on equity and structured debt. He closed the IRRAS acquisition in November 2025 for $5.0M in cash plus 1,325,000 shares and an earnout [D1]. He also raised Oberland/TPC notes ($50.2M carried at June 30, 2026), which carry a revenue participation from 2027 [D2]. Execution is mixed. FY2025A revenue landed in the bottom fifth of its original range [C13]. The 2026 range was cut by $4M in August [G2]. On the Q2 call, Burnett said BDD fell about 15% against a one-time order in the prior year, and he announced a commercial reorganization [D3]. In his own framing, he sets out priorities in pillars and gives concrete per-procedure economics [G4][G5]. </w:t>
      </w:r>
      <w:r>
        <w:rPr>
          <w:b/>
        </w:rPr>
        <w:t>Ownership:</w:t>
      </w:r>
      <w:r>
        <w:t xml:space="preserve"> we did not verify Burnett's shareholding (no proxy opened), so the record on alignment is thin.</w:t>
      </w:r>
    </w:p>
    <w:p>
      <w:pPr>
        <w:pStyle w:val="Heading3"/>
        <w:keepNext/>
        <w:keepLines/>
      </w:pPr>
      <w:r>
        <w:t>4. Key Developments</w:t>
      </w:r>
    </w:p>
    <w:p>
      <w:pPr>
        <w:keepNext/>
        <w:keepLines/>
      </w:pPr>
      <w:r>
        <w:t>Figure 3 lists the events that set our assumptions.</w:t>
      </w:r>
    </w:p>
    <w:p>
      <w:pPr>
        <w:keepNext/>
        <w:keepLines/>
      </w:pPr>
      <w:r>
        <w:rPr>
          <w:b/>
        </w:rPr>
        <w:t>Figure 3 – Key developments</w:t>
      </w:r>
    </w:p>
    <w:tbl>
      <w:tblPr>
        <w:tblStyle w:val="TableGrid"/>
        <w:tblW w:type="auto" w:w="0"/>
        <w:tblLook w:firstColumn="1" w:firstRow="1" w:lastColumn="0" w:lastRow="0" w:noHBand="0" w:noVBand="1" w:val="04A0"/>
      </w:tblPr>
      <w:tblGrid>
        <w:gridCol w:w="3513"/>
        <w:gridCol w:w="3513"/>
        <w:gridCol w:w="3513"/>
      </w:tblGrid>
      <w:tr>
        <w:trPr>
          <w:cantSplit/>
          <w:tblHeader/>
        </w:trPr>
        <w:tc>
          <w:tcPr>
            <w:tcW w:type="dxa" w:w="3513"/>
          </w:tcPr>
          <w:p>
            <w:pPr>
              <w:keepNext/>
              <w:keepLines/>
            </w:pPr>
            <w:r>
              <w:rPr>
                <w:b/>
                <w:sz w:val="16"/>
              </w:rPr>
              <w:t>Date</w:t>
            </w:r>
          </w:p>
        </w:tc>
        <w:tc>
          <w:tcPr>
            <w:tcW w:type="dxa" w:w="3513"/>
          </w:tcPr>
          <w:p>
            <w:pPr>
              <w:keepNext/>
              <w:keepLines/>
            </w:pPr>
            <w:r>
              <w:rPr>
                <w:b/>
                <w:sz w:val="16"/>
              </w:rPr>
              <w:t>Event</w:t>
            </w:r>
          </w:p>
        </w:tc>
        <w:tc>
          <w:tcPr>
            <w:tcW w:type="dxa" w:w="3513"/>
          </w:tcPr>
          <w:p>
            <w:pPr>
              <w:keepNext/>
              <w:keepLines/>
            </w:pPr>
            <w:r>
              <w:rPr>
                <w:b/>
                <w:sz w:val="16"/>
              </w:rPr>
              <w:t>Source</w:t>
            </w:r>
          </w:p>
        </w:tc>
      </w:tr>
      <w:tr>
        <w:trPr>
          <w:cantSplit/>
        </w:trPr>
        <w:tc>
          <w:tcPr>
            <w:tcW w:type="dxa" w:w="3513"/>
          </w:tcPr>
          <w:p>
            <w:pPr>
              <w:keepNext/>
              <w:keepLines/>
            </w:pPr>
            <w:r>
              <w:rPr>
                <w:sz w:val="16"/>
              </w:rPr>
              <w:t>Aug 2025</w:t>
            </w:r>
          </w:p>
        </w:tc>
        <w:tc>
          <w:tcPr>
            <w:tcW w:type="dxa" w:w="3513"/>
          </w:tcPr>
          <w:p>
            <w:pPr>
              <w:keepNext/>
              <w:keepLines/>
            </w:pPr>
            <w:r>
              <w:rPr>
                <w:sz w:val="16"/>
              </w:rPr>
              <w:t>BlueRock exPDite-2 Phase 3 (about 102 patients) first patient; primary completion March 2027</w:t>
            </w:r>
          </w:p>
        </w:tc>
        <w:tc>
          <w:tcPr>
            <w:tcW w:type="dxa" w:w="3513"/>
          </w:tcPr>
          <w:p>
            <w:pPr>
              <w:keepNext/>
              <w:keepLines/>
            </w:pPr>
            <w:r>
              <w:rPr>
                <w:sz w:val="16"/>
              </w:rPr>
              <w:t>[D10]</w:t>
            </w:r>
          </w:p>
        </w:tc>
      </w:tr>
      <w:tr>
        <w:trPr>
          <w:cantSplit/>
        </w:trPr>
        <w:tc>
          <w:tcPr>
            <w:tcW w:type="dxa" w:w="3513"/>
          </w:tcPr>
          <w:p>
            <w:pPr>
              <w:keepNext/>
              <w:keepLines/>
            </w:pPr>
            <w:r>
              <w:rPr>
                <w:sz w:val="16"/>
              </w:rPr>
              <w:t>Sep 2025</w:t>
            </w:r>
          </w:p>
        </w:tc>
        <w:tc>
          <w:tcPr>
            <w:tcW w:type="dxa" w:w="3513"/>
          </w:tcPr>
          <w:p>
            <w:pPr>
              <w:keepNext/>
              <w:keepLines/>
            </w:pPr>
            <w:r>
              <w:rPr>
                <w:sz w:val="16"/>
              </w:rPr>
              <w:t>Bayer expects Phase 3 results in 2028–29 (Reuters; snippet only)</w:t>
            </w:r>
          </w:p>
        </w:tc>
        <w:tc>
          <w:tcPr>
            <w:tcW w:type="dxa" w:w="3513"/>
          </w:tcPr>
          <w:p>
            <w:pPr>
              <w:keepNext/>
              <w:keepLines/>
            </w:pPr>
            <w:r>
              <w:rPr>
                <w:sz w:val="16"/>
              </w:rPr>
              <w:t>[D19]</w:t>
            </w:r>
          </w:p>
        </w:tc>
      </w:tr>
      <w:tr>
        <w:trPr>
          <w:cantSplit/>
        </w:trPr>
        <w:tc>
          <w:tcPr>
            <w:tcW w:type="dxa" w:w="3513"/>
          </w:tcPr>
          <w:p>
            <w:pPr>
              <w:keepNext/>
              <w:keepLines/>
            </w:pPr>
            <w:r>
              <w:rPr>
                <w:sz w:val="16"/>
              </w:rPr>
              <w:t>Sep 2025</w:t>
            </w:r>
          </w:p>
        </w:tc>
        <w:tc>
          <w:tcPr>
            <w:tcW w:type="dxa" w:w="3513"/>
          </w:tcPr>
          <w:p>
            <w:pPr>
              <w:keepNext/>
              <w:keepLines/>
            </w:pPr>
            <w:r>
              <w:rPr>
                <w:sz w:val="16"/>
              </w:rPr>
              <w:t>uniQure sizes about 6,000 treatable US patients at launch</w:t>
            </w:r>
          </w:p>
        </w:tc>
        <w:tc>
          <w:tcPr>
            <w:tcW w:type="dxa" w:w="3513"/>
          </w:tcPr>
          <w:p>
            <w:pPr>
              <w:keepNext/>
              <w:keepLines/>
            </w:pPr>
            <w:r>
              <w:rPr>
                <w:sz w:val="16"/>
              </w:rPr>
              <w:t>[G8]</w:t>
            </w:r>
          </w:p>
        </w:tc>
      </w:tr>
      <w:tr>
        <w:trPr>
          <w:cantSplit/>
        </w:trPr>
        <w:tc>
          <w:tcPr>
            <w:tcW w:type="dxa" w:w="3513"/>
          </w:tcPr>
          <w:p>
            <w:pPr>
              <w:keepNext/>
              <w:keepLines/>
            </w:pPr>
            <w:r>
              <w:rPr>
                <w:sz w:val="16"/>
              </w:rPr>
              <w:t>Nov 20, 2025</w:t>
            </w:r>
          </w:p>
        </w:tc>
        <w:tc>
          <w:tcPr>
            <w:tcW w:type="dxa" w:w="3513"/>
          </w:tcPr>
          <w:p>
            <w:pPr>
              <w:keepNext/>
              <w:keepLines/>
            </w:pPr>
            <w:r>
              <w:rPr>
                <w:sz w:val="16"/>
              </w:rPr>
              <w:t>IRRAS (IRRAflow) acquisition closed</w:t>
            </w:r>
          </w:p>
        </w:tc>
        <w:tc>
          <w:tcPr>
            <w:tcW w:type="dxa" w:w="3513"/>
          </w:tcPr>
          <w:p>
            <w:pPr>
              <w:keepNext/>
              <w:keepLines/>
            </w:pPr>
            <w:r>
              <w:rPr>
                <w:sz w:val="16"/>
              </w:rPr>
              <w:t>[D1]</w:t>
            </w:r>
          </w:p>
        </w:tc>
      </w:tr>
      <w:tr>
        <w:trPr>
          <w:cantSplit/>
        </w:trPr>
        <w:tc>
          <w:tcPr>
            <w:tcW w:type="dxa" w:w="3513"/>
          </w:tcPr>
          <w:p>
            <w:pPr>
              <w:keepNext/>
              <w:keepLines/>
            </w:pPr>
            <w:r>
              <w:rPr>
                <w:sz w:val="16"/>
              </w:rPr>
              <w:t>Mar 17, 2026</w:t>
            </w:r>
          </w:p>
        </w:tc>
        <w:tc>
          <w:tcPr>
            <w:tcW w:type="dxa" w:w="3513"/>
          </w:tcPr>
          <w:p>
            <w:pPr>
              <w:keepNext/>
              <w:keepLines/>
            </w:pPr>
            <w:r>
              <w:rPr>
                <w:sz w:val="16"/>
              </w:rPr>
              <w:t>FY2025A revenue $37.0M; 2026 guidance $52.0–56.0M</w:t>
            </w:r>
          </w:p>
        </w:tc>
        <w:tc>
          <w:tcPr>
            <w:tcW w:type="dxa" w:w="3513"/>
          </w:tcPr>
          <w:p>
            <w:pPr>
              <w:keepNext/>
              <w:keepLines/>
            </w:pPr>
            <w:r>
              <w:rPr>
                <w:sz w:val="16"/>
              </w:rPr>
              <w:t>[A1][D4]</w:t>
            </w:r>
          </w:p>
        </w:tc>
      </w:tr>
      <w:tr>
        <w:trPr>
          <w:cantSplit/>
        </w:trPr>
        <w:tc>
          <w:tcPr>
            <w:tcW w:type="dxa" w:w="3513"/>
          </w:tcPr>
          <w:p>
            <w:pPr>
              <w:keepNext/>
              <w:keepLines/>
            </w:pPr>
            <w:r>
              <w:rPr>
                <w:sz w:val="16"/>
              </w:rPr>
              <w:t>Aug 3, 2026</w:t>
            </w:r>
          </w:p>
        </w:tc>
        <w:tc>
          <w:tcPr>
            <w:tcW w:type="dxa" w:w="3513"/>
          </w:tcPr>
          <w:p>
            <w:pPr>
              <w:keepNext/>
              <w:keepLines/>
            </w:pPr>
            <w:r>
              <w:rPr>
                <w:sz w:val="16"/>
              </w:rPr>
              <w:t>Q2 2026A revenue $10.9M; guidance cut to $48.0–52.0M; Burnett gives procedure capacity</w:t>
            </w:r>
          </w:p>
        </w:tc>
        <w:tc>
          <w:tcPr>
            <w:tcW w:type="dxa" w:w="3513"/>
          </w:tcPr>
          <w:p>
            <w:pPr>
              <w:keepNext/>
              <w:keepLines/>
            </w:pPr>
            <w:r>
              <w:rPr>
                <w:sz w:val="16"/>
              </w:rPr>
              <w:t>[A4][G2][G7]</w:t>
            </w:r>
          </w:p>
        </w:tc>
      </w:tr>
      <w:tr>
        <w:trPr>
          <w:cantSplit/>
        </w:trPr>
        <w:tc>
          <w:tcPr>
            <w:tcW w:type="dxa" w:w="3513"/>
          </w:tcPr>
          <w:p>
            <w:r>
              <w:rPr>
                <w:sz w:val="16"/>
              </w:rPr>
              <w:t>Sep 2, 2026</w:t>
            </w:r>
          </w:p>
        </w:tc>
        <w:tc>
          <w:tcPr>
            <w:tcW w:type="dxa" w:w="3513"/>
          </w:tcPr>
          <w:p>
            <w:r>
              <w:rPr>
                <w:sz w:val="16"/>
              </w:rPr>
              <w:t>uniQure submits AMT-130 BLA; with priority review, action date late Apr/early May 2027</w:t>
            </w:r>
          </w:p>
        </w:tc>
        <w:tc>
          <w:tcPr>
            <w:tcW w:type="dxa" w:w="3513"/>
          </w:tcPr>
          <w:p>
            <w:r>
              <w:rPr>
                <w:sz w:val="16"/>
              </w:rPr>
              <w:t>[D9][S8]</w:t>
            </w:r>
          </w:p>
        </w:tc>
      </w:tr>
    </w:tbl>
    <w:p/>
    <w:p>
      <w:r>
        <w:t>The guidance cut shows slower core growth. The AMT-130 BLA gives a dated path to the procedure line, while bemdaneprocel's later readout pushes it to FY2029E.</w:t>
      </w:r>
    </w:p>
    <w:p>
      <w:pPr>
        <w:pStyle w:val="Heading3"/>
        <w:keepNext/>
        <w:keepLines/>
      </w:pPr>
      <w:r>
        <w:t>5. Business Drivers by Line</w:t>
      </w:r>
    </w:p>
    <w:p>
      <w:pPr>
        <w:pStyle w:val="ListBullet"/>
      </w:pPr>
      <w:r>
        <w:rPr>
          <w:b/>
        </w:rPr>
        <w:t>Biologics and drug delivery, neurosurgery, capital equipment.</w:t>
      </w:r>
      <w:r>
        <w:t xml:space="preserve"> Trial enrolment (10–15 trials, about 10 readouts in 18 months) and IRRAflow drive FY2026E–FY2027E, with growth of 15% a year from FY2028E (low end of Burnett's 15–20% [G12]) [G2][S1]–[S7][S26].</w:t>
      </w:r>
    </w:p>
    <w:p>
      <w:pPr>
        <w:pStyle w:val="ListBullet"/>
      </w:pPr>
      <w:r>
        <w:rPr>
          <w:b/>
        </w:rPr>
        <w:t>CAL preclinical services (uplift inside biologics and drug delivery).</w:t>
      </w:r>
      <w:r>
        <w:t xml:space="preserve"> The CAL is ClearPoint's own preclinical contract-research lab, not a manufacturing plant [D1][D2]. The lease was signed in June 2025, and the last of three phases was handed over on July 13, 2026 [D2]. ClearPoint signed its first GLP (Good Laboratory Practice) statement of work there, worth "multi-million" dollars, and expects to complete it in H1 2027 [G10]. Burnett says the old subleased lab peaked at about $8M a year of preclinical work, and the CAL "could surpass $60 million or so" [G9]. He says one large GLP study could be worth $15–20M [G11]. The Q2 2026 miss was blamed on a slow CAL ramp, and 2026 guidance includes none of the large studies, which should start in H2 2027 [G9][G10]. Management also names CAL as one of the levers that could take 2027 above "high teens" growth [G9]. We model CAL as an uplift on top of the 15% core growth: nothing in FY2027E in the base (consensus already reflects the first contract), then $7M, $14M, $22M and $29M in FY2028E–31E, on a path to 60% of capacity [S37] ★. 60% is a central reading of management's "could surpass $60 million" [G9]. The bull adds $3M in FY2027E and reaches $36M in FY2031E. The bear reaches only $8M [S37]. Revenue is booked as each study stage completes, so actual results will be lumpier than this smooth path [G10].</w:t>
      </w:r>
    </w:p>
    <w:p>
      <w:pPr>
        <w:pStyle w:val="ListBullet"/>
      </w:pPr>
      <w:r>
        <w:rPr>
          <w:b/>
        </w:rPr>
        <w:t>Commercial drug delivery (scenario).</w:t>
      </w:r>
      <w:r>
        <w:t xml:space="preserve"> This line is volume-driven, with price fixed at $20k [P2]. Volume is set by centre activation and cases per centre per week, using Burnett's capacity comments [G7]. AMT-130 first works through uniQure's 6,000 treatable pool [G8], then runs at a steady state of 3,000 a year, set as a share of HD incidence [S30]. The Parkinson's volume is the class of one-time Parkinson's cell/gene therapy procedures, not a single product: every such procedure is assumed to use ClearPoint's platform [S62][S63] ★. The first launch is bemdaneprocel (H2 2029E) [S20]. From launch, class volume ramps over three years to class demand: one third of demand in FY2029E, two thirds in FY2030E and all of it from FY2031E; class demand then governs [S31][S64][C40]. Figure 4a shows the ramp.</w:t>
      </w:r>
    </w:p>
    <w:p>
      <w:r>
        <w:rPr>
          <w:b/>
        </w:rPr>
        <w:t>Steady-state rationale ★.</w:t>
      </w:r>
      <w:r>
        <w:t xml:space="preserve"> </w:t>
      </w:r>
      <w:r>
        <w:rPr>
          <w:i/>
        </w:rPr>
        <w:t>Huntington's:</w:t>
      </w:r>
      <w:r>
        <w:t xml:space="preserve"> US incidence is about 4,087 new cases a year (1.22/100k × 335M) [A7][C23]. Adding the UK (0.67/100k × 68M) brings it to about 4,543 [A8][C24]. 3,000 a year is 73% of the US figure, or 66% of US + UK [C25]. That is well above uniQure's 30% treatable share of </w:t>
      </w:r>
      <w:r>
        <w:rPr>
          <w:i/>
        </w:rPr>
        <w:t>prevalent</w:t>
      </w:r>
      <w:r>
        <w:t xml:space="preserve"> patients [C21]. We accept it because newly diagnosed patients are, by definition, at the early-manifest stage AMT-130 was studied in, and there is no competing disease-modifying therapy. It is still aggressive, and it would be unreachable if access stays US-only and narrow. </w:t>
      </w:r>
      <w:r>
        <w:rPr>
          <w:i/>
        </w:rPr>
        <w:t>Parkinson's:</w:t>
      </w:r>
      <w:r>
        <w:t xml:space="preserve"> see the eligible-pool summary below and Appendix C.</w:t>
      </w:r>
    </w:p>
    <w:p>
      <w:r>
        <w:rPr>
          <w:b/>
        </w:rPr>
        <w:t>Parkinson's demand: eligible-pool model ★.</w:t>
      </w:r>
      <w:r>
        <w:t xml:space="preserve"> We size demand for the class of one-time Parkinson's cell and gene therapies, not for bemdaneprocel alone, using label-style criteria modelled on DBS rather than trial entry criteria. The model starts from published US prevalence of about 1.10 million in FY2026E [A30][C41] and keeps patients who have had PD for at least four years and do not have dementia (45%) [A31][A32], have motor complications (50%, a judgment anchored to cohort data) [A33][A34][S46], have levodopa-responsive idiopathic PD (81%) [A35] and are fit for surgery (90%) [S47]. That leaves about 180,000 medically eligible patients (179,813), 16% of PD, close to the roughly 15% in two published references [C42][A36][A12]. Patients who have already had DBS stay in the pool. Every Parkinson's cell/gene trial we checked excludes them, but that is a trial-entry rule: no registry entry gives a biological or safety reason, DBS has been added after grafts in small case series, and grafts have been placed in three patients who already had DBS [A41]–[A43][S44] ★. Each year new patients enter, others leave through death or dementia, and from FY2029E 6% of the pool receives a one-time therapy [A31][A39][S45] ★. Nobody receives a one-time therapy before launch, and entrants of (m + g) × the starting pool keep the pool growing at the 2.9% prevalence rate to FY2028E [C45]. The 6% is anchored on today's DBS rate: 3,990 DBS procedures a year are 2.2% of the 180,000 pool [A10][C49]. We assume about 2.7 times as many patients a year would choose a one-time, potentially disease-modifying therapy as choose DBS, which is symptomatic hardware surgery. That multiple is our judgment; no published willingness study supports it [S45]. DBS continues alongside: it is not deducted from one-time demand, and patients who have had DBS remain eligible [S44]. Appendix C gives the full method, sources and weak points.</w:t>
      </w:r>
    </w:p>
    <w:p>
      <w:pPr>
        <w:keepNext/>
        <w:keepLines/>
      </w:pPr>
      <w:r>
        <w:t>Figure 4b shows class demand and the three-year ramp to it in the base.</w:t>
      </w:r>
    </w:p>
    <w:p>
      <w:pPr>
        <w:keepNext/>
        <w:keepLines/>
      </w:pPr>
      <w:r>
        <w:rPr>
          <w:b/>
        </w:rPr>
        <w:t>Figure 4b – One-time Parkinson's therapy class demand and ClearPoint class volume (base case)</w:t>
      </w:r>
    </w:p>
    <w:tbl>
      <w:tblPr>
        <w:tblStyle w:val="TableGrid"/>
        <w:tblW w:type="auto" w:w="0"/>
        <w:tblLook w:firstColumn="1" w:firstRow="1" w:lastColumn="0" w:lastRow="0" w:noHBand="0" w:noVBand="1" w:val="04A0"/>
      </w:tblPr>
      <w:tblGrid>
        <w:gridCol w:w="1317"/>
        <w:gridCol w:w="1317"/>
        <w:gridCol w:w="1317"/>
        <w:gridCol w:w="1317"/>
        <w:gridCol w:w="1317"/>
        <w:gridCol w:w="1317"/>
        <w:gridCol w:w="1317"/>
        <w:gridCol w:w="1317"/>
      </w:tblGrid>
      <w:tr>
        <w:trPr>
          <w:cantSplit/>
          <w:tblHeader/>
        </w:trPr>
        <w:tc>
          <w:tcPr>
            <w:tcW w:type="dxa" w:w="1317"/>
          </w:tcPr>
          <w:p>
            <w:pPr>
              <w:keepNext/>
              <w:keepLines/>
            </w:pPr>
            <w:r>
              <w:rPr>
                <w:b/>
                <w:sz w:val="16"/>
              </w:rPr>
              <w:t>Patients a year</w:t>
            </w:r>
          </w:p>
        </w:tc>
        <w:tc>
          <w:tcPr>
            <w:tcW w:type="dxa" w:w="1317"/>
          </w:tcPr>
          <w:p>
            <w:pPr>
              <w:keepNext/>
              <w:keepLines/>
            </w:pPr>
            <w:r>
              <w:rPr>
                <w:b/>
                <w:sz w:val="16"/>
              </w:rPr>
              <w:t>FY2029E</w:t>
            </w:r>
          </w:p>
        </w:tc>
        <w:tc>
          <w:tcPr>
            <w:tcW w:type="dxa" w:w="1317"/>
          </w:tcPr>
          <w:p>
            <w:pPr>
              <w:keepNext/>
              <w:keepLines/>
            </w:pPr>
            <w:r>
              <w:rPr>
                <w:b/>
                <w:sz w:val="16"/>
              </w:rPr>
              <w:t>FY2030E</w:t>
            </w:r>
          </w:p>
        </w:tc>
        <w:tc>
          <w:tcPr>
            <w:tcW w:type="dxa" w:w="1317"/>
          </w:tcPr>
          <w:p>
            <w:pPr>
              <w:keepNext/>
              <w:keepLines/>
            </w:pPr>
            <w:r>
              <w:rPr>
                <w:b/>
                <w:sz w:val="16"/>
              </w:rPr>
              <w:t>FY2031E</w:t>
            </w:r>
          </w:p>
        </w:tc>
        <w:tc>
          <w:tcPr>
            <w:tcW w:type="dxa" w:w="1317"/>
          </w:tcPr>
          <w:p>
            <w:pPr>
              <w:keepNext/>
              <w:keepLines/>
            </w:pPr>
            <w:r>
              <w:rPr>
                <w:b/>
                <w:sz w:val="16"/>
              </w:rPr>
              <w:t>FY2032E</w:t>
            </w:r>
          </w:p>
        </w:tc>
        <w:tc>
          <w:tcPr>
            <w:tcW w:type="dxa" w:w="1317"/>
          </w:tcPr>
          <w:p>
            <w:pPr>
              <w:keepNext/>
              <w:keepLines/>
            </w:pPr>
            <w:r>
              <w:rPr>
                <w:b/>
                <w:sz w:val="16"/>
              </w:rPr>
              <w:t>FY2033E</w:t>
            </w:r>
          </w:p>
        </w:tc>
        <w:tc>
          <w:tcPr>
            <w:tcW w:type="dxa" w:w="1317"/>
          </w:tcPr>
          <w:p>
            <w:pPr>
              <w:keepNext/>
              <w:keepLines/>
            </w:pPr>
            <w:r>
              <w:rPr>
                <w:b/>
                <w:sz w:val="16"/>
              </w:rPr>
              <w:t>FY2035E</w:t>
            </w:r>
          </w:p>
        </w:tc>
        <w:tc>
          <w:tcPr>
            <w:tcW w:type="dxa" w:w="1317"/>
          </w:tcPr>
          <w:p>
            <w:pPr>
              <w:keepNext/>
              <w:keepLines/>
            </w:pPr>
            <w:r>
              <w:rPr>
                <w:b/>
                <w:sz w:val="16"/>
              </w:rPr>
              <w:t>FY2040E</w:t>
            </w:r>
          </w:p>
        </w:tc>
      </w:tr>
      <w:tr>
        <w:trPr>
          <w:cantSplit/>
        </w:trPr>
        <w:tc>
          <w:tcPr>
            <w:tcW w:type="dxa" w:w="1317"/>
          </w:tcPr>
          <w:p>
            <w:pPr>
              <w:keepNext/>
              <w:keepLines/>
            </w:pPr>
            <w:r>
              <w:rPr>
                <w:sz w:val="16"/>
              </w:rPr>
              <w:t>Eligible pool, start of year (DBS patients included)</w:t>
            </w:r>
          </w:p>
        </w:tc>
        <w:tc>
          <w:tcPr>
            <w:tcW w:type="dxa" w:w="1317"/>
          </w:tcPr>
          <w:p>
            <w:pPr>
              <w:keepNext/>
              <w:keepLines/>
            </w:pPr>
            <w:r>
              <w:rPr>
                <w:sz w:val="16"/>
              </w:rPr>
              <w:t>196,000</w:t>
            </w:r>
          </w:p>
        </w:tc>
        <w:tc>
          <w:tcPr>
            <w:tcW w:type="dxa" w:w="1317"/>
          </w:tcPr>
          <w:p>
            <w:pPr>
              <w:keepNext/>
              <w:keepLines/>
            </w:pPr>
            <w:r>
              <w:rPr>
                <w:sz w:val="16"/>
              </w:rPr>
              <w:t>190,000</w:t>
            </w:r>
          </w:p>
        </w:tc>
        <w:tc>
          <w:tcPr>
            <w:tcW w:type="dxa" w:w="1317"/>
          </w:tcPr>
          <w:p>
            <w:pPr>
              <w:keepNext/>
              <w:keepLines/>
            </w:pPr>
            <w:r>
              <w:rPr>
                <w:sz w:val="16"/>
              </w:rPr>
              <w:t>185,000</w:t>
            </w:r>
          </w:p>
        </w:tc>
        <w:tc>
          <w:tcPr>
            <w:tcW w:type="dxa" w:w="1317"/>
          </w:tcPr>
          <w:p>
            <w:pPr>
              <w:keepNext/>
              <w:keepLines/>
            </w:pPr>
            <w:r>
              <w:rPr>
                <w:sz w:val="16"/>
              </w:rPr>
              <w:t>182,000</w:t>
            </w:r>
          </w:p>
        </w:tc>
        <w:tc>
          <w:tcPr>
            <w:tcW w:type="dxa" w:w="1317"/>
          </w:tcPr>
          <w:p>
            <w:pPr>
              <w:keepNext/>
              <w:keepLines/>
            </w:pPr>
            <w:r>
              <w:rPr>
                <w:sz w:val="16"/>
              </w:rPr>
              <w:t>181,000</w:t>
            </w:r>
          </w:p>
        </w:tc>
        <w:tc>
          <w:tcPr>
            <w:tcW w:type="dxa" w:w="1317"/>
          </w:tcPr>
          <w:p>
            <w:pPr>
              <w:keepNext/>
              <w:keepLines/>
            </w:pPr>
            <w:r>
              <w:rPr>
                <w:sz w:val="16"/>
              </w:rPr>
              <w:t>180,000</w:t>
            </w:r>
          </w:p>
        </w:tc>
        <w:tc>
          <w:tcPr>
            <w:tcW w:type="dxa" w:w="1317"/>
          </w:tcPr>
          <w:p>
            <w:pPr>
              <w:keepNext/>
              <w:keepLines/>
            </w:pPr>
            <w:r>
              <w:rPr>
                <w:sz w:val="16"/>
              </w:rPr>
              <w:t>191,000</w:t>
            </w:r>
          </w:p>
        </w:tc>
      </w:tr>
      <w:tr>
        <w:trPr>
          <w:cantSplit/>
        </w:trPr>
        <w:tc>
          <w:tcPr>
            <w:tcW w:type="dxa" w:w="1317"/>
          </w:tcPr>
          <w:p>
            <w:pPr>
              <w:keepNext/>
              <w:keepLines/>
            </w:pPr>
            <w:r>
              <w:rPr>
                <w:b/>
                <w:sz w:val="16"/>
              </w:rPr>
              <w:t>One-time therapy class demand (6% of pool)</w:t>
            </w:r>
          </w:p>
        </w:tc>
        <w:tc>
          <w:tcPr>
            <w:tcW w:type="dxa" w:w="1317"/>
          </w:tcPr>
          <w:p>
            <w:pPr>
              <w:keepNext/>
              <w:keepLines/>
            </w:pPr>
            <w:r>
              <w:rPr>
                <w:b/>
                <w:sz w:val="16"/>
              </w:rPr>
              <w:t>11,756</w:t>
            </w:r>
          </w:p>
        </w:tc>
        <w:tc>
          <w:tcPr>
            <w:tcW w:type="dxa" w:w="1317"/>
          </w:tcPr>
          <w:p>
            <w:pPr>
              <w:keepNext/>
              <w:keepLines/>
            </w:pPr>
            <w:r>
              <w:rPr>
                <w:b/>
                <w:sz w:val="16"/>
              </w:rPr>
              <w:t>11,391</w:t>
            </w:r>
          </w:p>
        </w:tc>
        <w:tc>
          <w:tcPr>
            <w:tcW w:type="dxa" w:w="1317"/>
          </w:tcPr>
          <w:p>
            <w:pPr>
              <w:keepNext/>
              <w:keepLines/>
            </w:pPr>
            <w:r>
              <w:rPr>
                <w:b/>
                <w:sz w:val="16"/>
              </w:rPr>
              <w:t>11,126</w:t>
            </w:r>
          </w:p>
        </w:tc>
        <w:tc>
          <w:tcPr>
            <w:tcW w:type="dxa" w:w="1317"/>
          </w:tcPr>
          <w:p>
            <w:pPr>
              <w:keepNext/>
              <w:keepLines/>
            </w:pPr>
            <w:r>
              <w:rPr>
                <w:b/>
                <w:sz w:val="16"/>
              </w:rPr>
              <w:t>10,945</w:t>
            </w:r>
          </w:p>
        </w:tc>
        <w:tc>
          <w:tcPr>
            <w:tcW w:type="dxa" w:w="1317"/>
          </w:tcPr>
          <w:p>
            <w:pPr>
              <w:keepNext/>
              <w:keepLines/>
            </w:pPr>
            <w:r>
              <w:rPr>
                <w:b/>
                <w:sz w:val="16"/>
              </w:rPr>
              <w:t>10,837</w:t>
            </w:r>
          </w:p>
        </w:tc>
        <w:tc>
          <w:tcPr>
            <w:tcW w:type="dxa" w:w="1317"/>
          </w:tcPr>
          <w:p>
            <w:pPr>
              <w:keepNext/>
              <w:keepLines/>
            </w:pPr>
            <w:r>
              <w:rPr>
                <w:b/>
                <w:sz w:val="16"/>
              </w:rPr>
              <w:t>10,801</w:t>
            </w:r>
          </w:p>
        </w:tc>
        <w:tc>
          <w:tcPr>
            <w:tcW w:type="dxa" w:w="1317"/>
          </w:tcPr>
          <w:p>
            <w:pPr>
              <w:keepNext/>
              <w:keepLines/>
            </w:pPr>
            <w:r>
              <w:rPr>
                <w:b/>
                <w:sz w:val="16"/>
              </w:rPr>
              <w:t>11,454</w:t>
            </w:r>
          </w:p>
        </w:tc>
      </w:tr>
      <w:tr>
        <w:trPr>
          <w:cantSplit/>
        </w:trPr>
        <w:tc>
          <w:tcPr>
            <w:tcW w:type="dxa" w:w="1317"/>
          </w:tcPr>
          <w:p>
            <w:pPr>
              <w:keepNext/>
              <w:keepLines/>
            </w:pPr>
            <w:r>
              <w:rPr>
                <w:sz w:val="16"/>
              </w:rPr>
              <w:t>Memo: DBS (context; not deducted)</w:t>
            </w:r>
          </w:p>
        </w:tc>
        <w:tc>
          <w:tcPr>
            <w:tcW w:type="dxa" w:w="1317"/>
          </w:tcPr>
          <w:p>
            <w:pPr>
              <w:keepNext/>
              <w:keepLines/>
            </w:pPr>
            <w:r>
              <w:rPr>
                <w:sz w:val="16"/>
              </w:rPr>
              <w:t>3,990</w:t>
            </w:r>
          </w:p>
        </w:tc>
        <w:tc>
          <w:tcPr>
            <w:tcW w:type="dxa" w:w="1317"/>
          </w:tcPr>
          <w:p>
            <w:pPr>
              <w:keepNext/>
              <w:keepLines/>
            </w:pPr>
            <w:r>
              <w:rPr>
                <w:sz w:val="16"/>
              </w:rPr>
              <w:t>3,990</w:t>
            </w:r>
          </w:p>
        </w:tc>
        <w:tc>
          <w:tcPr>
            <w:tcW w:type="dxa" w:w="1317"/>
          </w:tcPr>
          <w:p>
            <w:pPr>
              <w:keepNext/>
              <w:keepLines/>
            </w:pPr>
            <w:r>
              <w:rPr>
                <w:sz w:val="16"/>
              </w:rPr>
              <w:t>3,990</w:t>
            </w:r>
          </w:p>
        </w:tc>
        <w:tc>
          <w:tcPr>
            <w:tcW w:type="dxa" w:w="1317"/>
          </w:tcPr>
          <w:p>
            <w:pPr>
              <w:keepNext/>
              <w:keepLines/>
            </w:pPr>
            <w:r>
              <w:rPr>
                <w:sz w:val="16"/>
              </w:rPr>
              <w:t>3,990</w:t>
            </w:r>
          </w:p>
        </w:tc>
        <w:tc>
          <w:tcPr>
            <w:tcW w:type="dxa" w:w="1317"/>
          </w:tcPr>
          <w:p>
            <w:pPr>
              <w:keepNext/>
              <w:keepLines/>
            </w:pPr>
            <w:r>
              <w:rPr>
                <w:sz w:val="16"/>
              </w:rPr>
              <w:t>3,990</w:t>
            </w:r>
          </w:p>
        </w:tc>
        <w:tc>
          <w:tcPr>
            <w:tcW w:type="dxa" w:w="1317"/>
          </w:tcPr>
          <w:p>
            <w:pPr>
              <w:keepNext/>
              <w:keepLines/>
            </w:pPr>
            <w:r>
              <w:rPr>
                <w:sz w:val="16"/>
              </w:rPr>
              <w:t>3,990</w:t>
            </w:r>
          </w:p>
        </w:tc>
        <w:tc>
          <w:tcPr>
            <w:tcW w:type="dxa" w:w="1317"/>
          </w:tcPr>
          <w:p>
            <w:pPr>
              <w:keepNext/>
              <w:keepLines/>
            </w:pPr>
            <w:r>
              <w:rPr>
                <w:sz w:val="16"/>
              </w:rPr>
              <w:t>3,990</w:t>
            </w:r>
          </w:p>
        </w:tc>
      </w:tr>
      <w:tr>
        <w:trPr>
          <w:cantSplit/>
        </w:trPr>
        <w:tc>
          <w:tcPr>
            <w:tcW w:type="dxa" w:w="1317"/>
          </w:tcPr>
          <w:p>
            <w:pPr>
              <w:keepNext/>
              <w:keepLines/>
            </w:pPr>
            <w:r>
              <w:rPr>
                <w:sz w:val="16"/>
              </w:rPr>
              <w:t>Ramp share of class demand</w:t>
            </w:r>
          </w:p>
        </w:tc>
        <w:tc>
          <w:tcPr>
            <w:tcW w:type="dxa" w:w="1317"/>
          </w:tcPr>
          <w:p>
            <w:pPr>
              <w:keepNext/>
              <w:keepLines/>
            </w:pPr>
            <w:r>
              <w:rPr>
                <w:sz w:val="16"/>
              </w:rPr>
              <w:t>1/3</w:t>
            </w:r>
          </w:p>
        </w:tc>
        <w:tc>
          <w:tcPr>
            <w:tcW w:type="dxa" w:w="1317"/>
          </w:tcPr>
          <w:p>
            <w:pPr>
              <w:keepNext/>
              <w:keepLines/>
            </w:pPr>
            <w:r>
              <w:rPr>
                <w:sz w:val="16"/>
              </w:rPr>
              <w:t>2/3</w:t>
            </w:r>
          </w:p>
        </w:tc>
        <w:tc>
          <w:tcPr>
            <w:tcW w:type="dxa" w:w="1317"/>
          </w:tcPr>
          <w:p>
            <w:pPr>
              <w:keepNext/>
              <w:keepLines/>
            </w:pPr>
            <w:r>
              <w:rPr>
                <w:sz w:val="16"/>
              </w:rPr>
              <w:t>100%</w:t>
            </w:r>
          </w:p>
        </w:tc>
        <w:tc>
          <w:tcPr>
            <w:tcW w:type="dxa" w:w="1317"/>
          </w:tcPr>
          <w:p>
            <w:pPr>
              <w:keepNext/>
              <w:keepLines/>
            </w:pPr>
            <w:r>
              <w:rPr>
                <w:sz w:val="16"/>
              </w:rPr>
              <w:t>100%</w:t>
            </w:r>
          </w:p>
        </w:tc>
        <w:tc>
          <w:tcPr>
            <w:tcW w:type="dxa" w:w="1317"/>
          </w:tcPr>
          <w:p>
            <w:pPr>
              <w:keepNext/>
              <w:keepLines/>
            </w:pPr>
            <w:r>
              <w:rPr>
                <w:sz w:val="16"/>
              </w:rPr>
              <w:t>100%</w:t>
            </w:r>
          </w:p>
        </w:tc>
        <w:tc>
          <w:tcPr>
            <w:tcW w:type="dxa" w:w="1317"/>
          </w:tcPr>
          <w:p>
            <w:pPr>
              <w:keepNext/>
              <w:keepLines/>
            </w:pPr>
            <w:r>
              <w:rPr>
                <w:sz w:val="16"/>
              </w:rPr>
              <w:t>100%</w:t>
            </w:r>
          </w:p>
        </w:tc>
        <w:tc>
          <w:tcPr>
            <w:tcW w:type="dxa" w:w="1317"/>
          </w:tcPr>
          <w:p>
            <w:pPr>
              <w:keepNext/>
              <w:keepLines/>
            </w:pPr>
            <w:r>
              <w:rPr>
                <w:sz w:val="16"/>
              </w:rPr>
              <w:t>100%</w:t>
            </w:r>
          </w:p>
        </w:tc>
      </w:tr>
      <w:tr>
        <w:trPr>
          <w:cantSplit/>
        </w:trPr>
        <w:tc>
          <w:tcPr>
            <w:tcW w:type="dxa" w:w="1317"/>
          </w:tcPr>
          <w:p>
            <w:pPr>
              <w:keepNext/>
              <w:keepLines/>
            </w:pPr>
            <w:r>
              <w:rPr>
                <w:sz w:val="16"/>
              </w:rPr>
              <w:t>Class volume on ClearPoint</w:t>
            </w:r>
          </w:p>
        </w:tc>
        <w:tc>
          <w:tcPr>
            <w:tcW w:type="dxa" w:w="1317"/>
          </w:tcPr>
          <w:p>
            <w:pPr>
              <w:keepNext/>
              <w:keepLines/>
            </w:pPr>
            <w:r>
              <w:rPr>
                <w:sz w:val="16"/>
              </w:rPr>
              <w:t>3,919</w:t>
            </w:r>
          </w:p>
        </w:tc>
        <w:tc>
          <w:tcPr>
            <w:tcW w:type="dxa" w:w="1317"/>
          </w:tcPr>
          <w:p>
            <w:pPr>
              <w:keepNext/>
              <w:keepLines/>
            </w:pPr>
            <w:r>
              <w:rPr>
                <w:sz w:val="16"/>
              </w:rPr>
              <w:t>7,594</w:t>
            </w:r>
          </w:p>
        </w:tc>
        <w:tc>
          <w:tcPr>
            <w:tcW w:type="dxa" w:w="1317"/>
          </w:tcPr>
          <w:p>
            <w:pPr>
              <w:keepNext/>
              <w:keepLines/>
            </w:pPr>
            <w:r>
              <w:rPr>
                <w:sz w:val="16"/>
              </w:rPr>
              <w:t>11,126</w:t>
            </w:r>
          </w:p>
        </w:tc>
        <w:tc>
          <w:tcPr>
            <w:tcW w:type="dxa" w:w="1317"/>
          </w:tcPr>
          <w:p>
            <w:pPr>
              <w:keepNext/>
              <w:keepLines/>
            </w:pPr>
            <w:r>
              <w:rPr>
                <w:sz w:val="16"/>
              </w:rPr>
              <w:t>10,945</w:t>
            </w:r>
          </w:p>
        </w:tc>
        <w:tc>
          <w:tcPr>
            <w:tcW w:type="dxa" w:w="1317"/>
          </w:tcPr>
          <w:p>
            <w:pPr>
              <w:keepNext/>
              <w:keepLines/>
            </w:pPr>
            <w:r>
              <w:rPr>
                <w:sz w:val="16"/>
              </w:rPr>
              <w:t>10,837</w:t>
            </w:r>
          </w:p>
        </w:tc>
        <w:tc>
          <w:tcPr>
            <w:tcW w:type="dxa" w:w="1317"/>
          </w:tcPr>
          <w:p>
            <w:pPr>
              <w:keepNext/>
              <w:keepLines/>
            </w:pPr>
            <w:r>
              <w:rPr>
                <w:sz w:val="16"/>
              </w:rPr>
              <w:t>10,801</w:t>
            </w:r>
          </w:p>
        </w:tc>
        <w:tc>
          <w:tcPr>
            <w:tcW w:type="dxa" w:w="1317"/>
          </w:tcPr>
          <w:p>
            <w:pPr>
              <w:keepNext/>
              <w:keepLines/>
            </w:pPr>
            <w:r>
              <w:rPr>
                <w:sz w:val="16"/>
              </w:rPr>
              <w:t>11,454</w:t>
            </w:r>
          </w:p>
        </w:tc>
      </w:tr>
      <w:tr>
        <w:trPr>
          <w:cantSplit/>
        </w:trPr>
        <w:tc>
          <w:tcPr>
            <w:tcW w:type="dxa" w:w="1317"/>
          </w:tcPr>
          <w:p>
            <w:r>
              <w:rPr>
                <w:sz w:val="16"/>
              </w:rPr>
              <w:t>Implied centres at 3 cases/wk × 50 wks</w:t>
            </w:r>
          </w:p>
        </w:tc>
        <w:tc>
          <w:tcPr>
            <w:tcW w:type="dxa" w:w="1317"/>
          </w:tcPr>
          <w:p>
            <w:r>
              <w:rPr>
                <w:sz w:val="16"/>
              </w:rPr>
              <w:t>26</w:t>
            </w:r>
          </w:p>
        </w:tc>
        <w:tc>
          <w:tcPr>
            <w:tcW w:type="dxa" w:w="1317"/>
          </w:tcPr>
          <w:p>
            <w:r>
              <w:rPr>
                <w:sz w:val="16"/>
              </w:rPr>
              <w:t>51</w:t>
            </w:r>
          </w:p>
        </w:tc>
        <w:tc>
          <w:tcPr>
            <w:tcW w:type="dxa" w:w="1317"/>
          </w:tcPr>
          <w:p>
            <w:r>
              <w:rPr>
                <w:sz w:val="16"/>
              </w:rPr>
              <w:t>74</w:t>
            </w:r>
          </w:p>
        </w:tc>
        <w:tc>
          <w:tcPr>
            <w:tcW w:type="dxa" w:w="1317"/>
          </w:tcPr>
          <w:p>
            <w:r>
              <w:rPr>
                <w:sz w:val="16"/>
              </w:rPr>
              <w:t>73</w:t>
            </w:r>
          </w:p>
        </w:tc>
        <w:tc>
          <w:tcPr>
            <w:tcW w:type="dxa" w:w="1317"/>
          </w:tcPr>
          <w:p>
            <w:r>
              <w:rPr>
                <w:sz w:val="16"/>
              </w:rPr>
              <w:t>72</w:t>
            </w:r>
          </w:p>
        </w:tc>
        <w:tc>
          <w:tcPr>
            <w:tcW w:type="dxa" w:w="1317"/>
          </w:tcPr>
          <w:p>
            <w:r>
              <w:rPr>
                <w:sz w:val="16"/>
              </w:rPr>
              <w:t>72</w:t>
            </w:r>
          </w:p>
        </w:tc>
        <w:tc>
          <w:tcPr>
            <w:tcW w:type="dxa" w:w="1317"/>
          </w:tcPr>
          <w:p>
            <w:r>
              <w:rPr>
                <w:sz w:val="16"/>
              </w:rPr>
              <w:t>76</w:t>
            </w:r>
          </w:p>
        </w:tc>
      </w:tr>
    </w:tbl>
    <w:p/>
    <w:p>
      <w:r>
        <w:rPr>
          <w:i/>
        </w:rPr>
        <w:t>Source: A10, A30–A35, A39, S31, S43–S45, S62–S64, C40, C42, C45; Appendix C. FY2032E–FY2040E columns are demand and pool context only: the revenue forecast ends at FY2031E, and Finagle extends revenue after FY2031E by its growth fade (Section 7), not by this path. Pool rounded to the nearest thousand. Centres derived.</w:t>
      </w:r>
    </w:p>
    <w:p>
      <w:r>
        <w:rPr>
          <w:i/>
        </w:rPr>
        <w:t>What this implies.</w:t>
      </w:r>
      <w:r>
        <w:t xml:space="preserve"> In the base, demand, not capacity, sets volume from FY2031E. Class demand peaks in the launch year, because 6% is applied to a pool that has grown untouched to FY2028E. It then eases by about 8% to FY2034E as that backlog is drawn down, and grows again with prevalence, about 0.8% a year over FY2033E–40E (derived; demand context) [C40]. Under the three-year ramp the launch-year peak is never reached in volume: FY2029E–30E volume is below demand, and from FY2031E volume equals demand. David's reason for three years is that this also gives time for other Parkinson's therapies to be approved [S64] ★. That rationale is a judgment, not a timeline match: bemdaneprocel launches in FY2029E, but the other quantified Parkinson's therapies are not expected until after FY2031E, in 2033–34 (Appendix D), after the ramp has ended. For FY2031E the model therefore has the first product, or the platform generally, meeting all class demand. Because the line is the whole class, no product split is needed (Appendix D shows an illustrative split). </w:t>
      </w:r>
      <w:r>
        <w:rPr>
          <w:i/>
        </w:rPr>
        <w:t>Bull and bear.</w:t>
      </w:r>
      <w:r>
        <w:t xml:space="preserve"> The bull keeps the base pool and the three-year ramp and raises the share treated to 8% a year [S59] ★ (Figure 4c). The bear applies the trial-style exclusion: patients who have had DBS (about 42,000, i.e. 3,990 a year ÷ the 0.095 leave rate) are removed, leaving about 138,000, and 6% of that gives class demand of about 8,500 in FY2031E and about 8,400 in FY2032E (demand context) [C55]. Approval slips to 2030, and a capacity ramp gives 330 procedures in FY2030E and 2,500 in FY2031E, below demand in both years [S22][S43].</w:t>
      </w:r>
    </w:p>
    <w:p>
      <w:pPr>
        <w:keepNext/>
        <w:keepLines/>
      </w:pPr>
      <w:r>
        <w:rPr>
          <w:b/>
        </w:rPr>
        <w:t>Figure 4c – Bull case: class demand with a higher treated share (8%)</w:t>
      </w:r>
    </w:p>
    <w:tbl>
      <w:tblPr>
        <w:tblStyle w:val="TableGrid"/>
        <w:tblW w:type="auto" w:w="0"/>
        <w:tblLook w:firstColumn="1" w:firstRow="1" w:lastColumn="0" w:lastRow="0" w:noHBand="0" w:noVBand="1" w:val="04A0"/>
      </w:tblPr>
      <w:tblGrid>
        <w:gridCol w:w="1317"/>
        <w:gridCol w:w="1317"/>
        <w:gridCol w:w="1317"/>
        <w:gridCol w:w="1317"/>
        <w:gridCol w:w="1317"/>
        <w:gridCol w:w="1317"/>
        <w:gridCol w:w="1317"/>
        <w:gridCol w:w="1317"/>
      </w:tblGrid>
      <w:tr>
        <w:trPr>
          <w:cantSplit/>
          <w:tblHeader/>
        </w:trPr>
        <w:tc>
          <w:tcPr>
            <w:tcW w:type="dxa" w:w="1317"/>
          </w:tcPr>
          <w:p>
            <w:pPr>
              <w:keepNext/>
              <w:keepLines/>
            </w:pPr>
            <w:r>
              <w:rPr>
                <w:b/>
                <w:sz w:val="16"/>
              </w:rPr>
              <w:t>Patients a year</w:t>
            </w:r>
          </w:p>
        </w:tc>
        <w:tc>
          <w:tcPr>
            <w:tcW w:type="dxa" w:w="1317"/>
          </w:tcPr>
          <w:p>
            <w:pPr>
              <w:keepNext/>
              <w:keepLines/>
            </w:pPr>
            <w:r>
              <w:rPr>
                <w:b/>
                <w:sz w:val="16"/>
              </w:rPr>
              <w:t>FY2029E</w:t>
            </w:r>
          </w:p>
        </w:tc>
        <w:tc>
          <w:tcPr>
            <w:tcW w:type="dxa" w:w="1317"/>
          </w:tcPr>
          <w:p>
            <w:pPr>
              <w:keepNext/>
              <w:keepLines/>
            </w:pPr>
            <w:r>
              <w:rPr>
                <w:b/>
                <w:sz w:val="16"/>
              </w:rPr>
              <w:t>FY2030E</w:t>
            </w:r>
          </w:p>
        </w:tc>
        <w:tc>
          <w:tcPr>
            <w:tcW w:type="dxa" w:w="1317"/>
          </w:tcPr>
          <w:p>
            <w:pPr>
              <w:keepNext/>
              <w:keepLines/>
            </w:pPr>
            <w:r>
              <w:rPr>
                <w:b/>
                <w:sz w:val="16"/>
              </w:rPr>
              <w:t>FY2031E</w:t>
            </w:r>
          </w:p>
        </w:tc>
        <w:tc>
          <w:tcPr>
            <w:tcW w:type="dxa" w:w="1317"/>
          </w:tcPr>
          <w:p>
            <w:pPr>
              <w:keepNext/>
              <w:keepLines/>
            </w:pPr>
            <w:r>
              <w:rPr>
                <w:b/>
                <w:sz w:val="16"/>
              </w:rPr>
              <w:t>FY2032E</w:t>
            </w:r>
          </w:p>
        </w:tc>
        <w:tc>
          <w:tcPr>
            <w:tcW w:type="dxa" w:w="1317"/>
          </w:tcPr>
          <w:p>
            <w:pPr>
              <w:keepNext/>
              <w:keepLines/>
            </w:pPr>
            <w:r>
              <w:rPr>
                <w:b/>
                <w:sz w:val="16"/>
              </w:rPr>
              <w:t>FY2033E</w:t>
            </w:r>
          </w:p>
        </w:tc>
        <w:tc>
          <w:tcPr>
            <w:tcW w:type="dxa" w:w="1317"/>
          </w:tcPr>
          <w:p>
            <w:pPr>
              <w:keepNext/>
              <w:keepLines/>
            </w:pPr>
            <w:r>
              <w:rPr>
                <w:b/>
                <w:sz w:val="16"/>
              </w:rPr>
              <w:t>FY2035E</w:t>
            </w:r>
          </w:p>
        </w:tc>
        <w:tc>
          <w:tcPr>
            <w:tcW w:type="dxa" w:w="1317"/>
          </w:tcPr>
          <w:p>
            <w:pPr>
              <w:keepNext/>
              <w:keepLines/>
            </w:pPr>
            <w:r>
              <w:rPr>
                <w:b/>
                <w:sz w:val="16"/>
              </w:rPr>
              <w:t>FY2040E</w:t>
            </w:r>
          </w:p>
        </w:tc>
      </w:tr>
      <w:tr>
        <w:trPr>
          <w:cantSplit/>
        </w:trPr>
        <w:tc>
          <w:tcPr>
            <w:tcW w:type="dxa" w:w="1317"/>
          </w:tcPr>
          <w:p>
            <w:pPr>
              <w:keepNext/>
              <w:keepLines/>
            </w:pPr>
            <w:r>
              <w:rPr>
                <w:sz w:val="16"/>
              </w:rPr>
              <w:t>Eligible pool, start of year (DBS patients included)</w:t>
            </w:r>
          </w:p>
        </w:tc>
        <w:tc>
          <w:tcPr>
            <w:tcW w:type="dxa" w:w="1317"/>
          </w:tcPr>
          <w:p>
            <w:pPr>
              <w:keepNext/>
              <w:keepLines/>
            </w:pPr>
            <w:r>
              <w:rPr>
                <w:sz w:val="16"/>
              </w:rPr>
              <w:t>196,000</w:t>
            </w:r>
          </w:p>
        </w:tc>
        <w:tc>
          <w:tcPr>
            <w:tcW w:type="dxa" w:w="1317"/>
          </w:tcPr>
          <w:p>
            <w:pPr>
              <w:keepNext/>
              <w:keepLines/>
            </w:pPr>
            <w:r>
              <w:rPr>
                <w:sz w:val="16"/>
              </w:rPr>
              <w:t>186,000</w:t>
            </w:r>
          </w:p>
        </w:tc>
        <w:tc>
          <w:tcPr>
            <w:tcW w:type="dxa" w:w="1317"/>
          </w:tcPr>
          <w:p>
            <w:pPr>
              <w:keepNext/>
              <w:keepLines/>
            </w:pPr>
            <w:r>
              <w:rPr>
                <w:sz w:val="16"/>
              </w:rPr>
              <w:t>178,000</w:t>
            </w:r>
          </w:p>
        </w:tc>
        <w:tc>
          <w:tcPr>
            <w:tcW w:type="dxa" w:w="1317"/>
          </w:tcPr>
          <w:p>
            <w:pPr>
              <w:keepNext/>
              <w:keepLines/>
            </w:pPr>
            <w:r>
              <w:rPr>
                <w:sz w:val="16"/>
              </w:rPr>
              <w:t>173,000</w:t>
            </w:r>
          </w:p>
        </w:tc>
        <w:tc>
          <w:tcPr>
            <w:tcW w:type="dxa" w:w="1317"/>
          </w:tcPr>
          <w:p>
            <w:pPr>
              <w:keepNext/>
              <w:keepLines/>
            </w:pPr>
            <w:r>
              <w:rPr>
                <w:sz w:val="16"/>
              </w:rPr>
              <w:t>169,000</w:t>
            </w:r>
          </w:p>
        </w:tc>
        <w:tc>
          <w:tcPr>
            <w:tcW w:type="dxa" w:w="1317"/>
          </w:tcPr>
          <w:p>
            <w:pPr>
              <w:keepNext/>
              <w:keepLines/>
            </w:pPr>
            <w:r>
              <w:rPr>
                <w:sz w:val="16"/>
              </w:rPr>
              <w:t>166,000</w:t>
            </w:r>
          </w:p>
        </w:tc>
        <w:tc>
          <w:tcPr>
            <w:tcW w:type="dxa" w:w="1317"/>
          </w:tcPr>
          <w:p>
            <w:pPr>
              <w:keepNext/>
              <w:keepLines/>
            </w:pPr>
            <w:r>
              <w:rPr>
                <w:sz w:val="16"/>
              </w:rPr>
              <w:t>172,000</w:t>
            </w:r>
          </w:p>
        </w:tc>
      </w:tr>
      <w:tr>
        <w:trPr>
          <w:cantSplit/>
        </w:trPr>
        <w:tc>
          <w:tcPr>
            <w:tcW w:type="dxa" w:w="1317"/>
          </w:tcPr>
          <w:p>
            <w:pPr>
              <w:keepNext/>
              <w:keepLines/>
            </w:pPr>
            <w:r>
              <w:rPr>
                <w:b/>
                <w:sz w:val="16"/>
              </w:rPr>
              <w:t>One-time therapy class demand (bull, 8% of pool)</w:t>
            </w:r>
          </w:p>
        </w:tc>
        <w:tc>
          <w:tcPr>
            <w:tcW w:type="dxa" w:w="1317"/>
          </w:tcPr>
          <w:p>
            <w:pPr>
              <w:keepNext/>
              <w:keepLines/>
            </w:pPr>
            <w:r>
              <w:rPr>
                <w:b/>
                <w:sz w:val="16"/>
              </w:rPr>
              <w:t>15,674</w:t>
            </w:r>
          </w:p>
        </w:tc>
        <w:tc>
          <w:tcPr>
            <w:tcW w:type="dxa" w:w="1317"/>
          </w:tcPr>
          <w:p>
            <w:pPr>
              <w:keepNext/>
              <w:keepLines/>
            </w:pPr>
            <w:r>
              <w:rPr>
                <w:b/>
                <w:sz w:val="16"/>
              </w:rPr>
              <w:t>14,875</w:t>
            </w:r>
          </w:p>
        </w:tc>
        <w:tc>
          <w:tcPr>
            <w:tcW w:type="dxa" w:w="1317"/>
          </w:tcPr>
          <w:p>
            <w:pPr>
              <w:keepNext/>
              <w:keepLines/>
            </w:pPr>
            <w:r>
              <w:rPr>
                <w:b/>
                <w:sz w:val="16"/>
              </w:rPr>
              <w:t>14,272</w:t>
            </w:r>
          </w:p>
        </w:tc>
        <w:tc>
          <w:tcPr>
            <w:tcW w:type="dxa" w:w="1317"/>
          </w:tcPr>
          <w:p>
            <w:pPr>
              <w:keepNext/>
              <w:keepLines/>
            </w:pPr>
            <w:r>
              <w:rPr>
                <w:b/>
                <w:sz w:val="16"/>
              </w:rPr>
              <w:t>13,833</w:t>
            </w:r>
          </w:p>
        </w:tc>
        <w:tc>
          <w:tcPr>
            <w:tcW w:type="dxa" w:w="1317"/>
          </w:tcPr>
          <w:p>
            <w:pPr>
              <w:keepNext/>
              <w:keepLines/>
            </w:pPr>
            <w:r>
              <w:rPr>
                <w:b/>
                <w:sz w:val="16"/>
              </w:rPr>
              <w:t>13,530</w:t>
            </w:r>
          </w:p>
        </w:tc>
        <w:tc>
          <w:tcPr>
            <w:tcW w:type="dxa" w:w="1317"/>
          </w:tcPr>
          <w:p>
            <w:pPr>
              <w:keepNext/>
              <w:keepLines/>
            </w:pPr>
            <w:r>
              <w:rPr>
                <w:b/>
                <w:sz w:val="16"/>
              </w:rPr>
              <w:t>13,250</w:t>
            </w:r>
          </w:p>
        </w:tc>
        <w:tc>
          <w:tcPr>
            <w:tcW w:type="dxa" w:w="1317"/>
          </w:tcPr>
          <w:p>
            <w:pPr>
              <w:keepNext/>
              <w:keepLines/>
            </w:pPr>
            <w:r>
              <w:rPr>
                <w:b/>
                <w:sz w:val="16"/>
              </w:rPr>
              <w:t>13,792</w:t>
            </w:r>
          </w:p>
        </w:tc>
      </w:tr>
      <w:tr>
        <w:trPr>
          <w:cantSplit/>
        </w:trPr>
        <w:tc>
          <w:tcPr>
            <w:tcW w:type="dxa" w:w="1317"/>
          </w:tcPr>
          <w:p>
            <w:pPr>
              <w:keepNext/>
              <w:keepLines/>
            </w:pPr>
            <w:r>
              <w:rPr>
                <w:sz w:val="16"/>
              </w:rPr>
              <w:t>Class volume on ClearPoint (three-year ramp)</w:t>
            </w:r>
          </w:p>
        </w:tc>
        <w:tc>
          <w:tcPr>
            <w:tcW w:type="dxa" w:w="1317"/>
          </w:tcPr>
          <w:p>
            <w:pPr>
              <w:keepNext/>
              <w:keepLines/>
            </w:pPr>
            <w:r>
              <w:rPr>
                <w:sz w:val="16"/>
              </w:rPr>
              <w:t>5,225</w:t>
            </w:r>
          </w:p>
        </w:tc>
        <w:tc>
          <w:tcPr>
            <w:tcW w:type="dxa" w:w="1317"/>
          </w:tcPr>
          <w:p>
            <w:pPr>
              <w:keepNext/>
              <w:keepLines/>
            </w:pPr>
            <w:r>
              <w:rPr>
                <w:sz w:val="16"/>
              </w:rPr>
              <w:t>9,917</w:t>
            </w:r>
          </w:p>
        </w:tc>
        <w:tc>
          <w:tcPr>
            <w:tcW w:type="dxa" w:w="1317"/>
          </w:tcPr>
          <w:p>
            <w:pPr>
              <w:keepNext/>
              <w:keepLines/>
            </w:pPr>
            <w:r>
              <w:rPr>
                <w:sz w:val="16"/>
              </w:rPr>
              <w:t>14,272</w:t>
            </w:r>
          </w:p>
        </w:tc>
        <w:tc>
          <w:tcPr>
            <w:tcW w:type="dxa" w:w="1317"/>
          </w:tcPr>
          <w:p>
            <w:pPr>
              <w:keepNext/>
              <w:keepLines/>
            </w:pPr>
            <w:r>
              <w:rPr>
                <w:sz w:val="16"/>
              </w:rPr>
              <w:t>13,833</w:t>
            </w:r>
          </w:p>
        </w:tc>
        <w:tc>
          <w:tcPr>
            <w:tcW w:type="dxa" w:w="1317"/>
          </w:tcPr>
          <w:p>
            <w:pPr>
              <w:keepNext/>
              <w:keepLines/>
            </w:pPr>
            <w:r>
              <w:rPr>
                <w:sz w:val="16"/>
              </w:rPr>
              <w:t>13,530</w:t>
            </w:r>
          </w:p>
        </w:tc>
        <w:tc>
          <w:tcPr>
            <w:tcW w:type="dxa" w:w="1317"/>
          </w:tcPr>
          <w:p>
            <w:pPr>
              <w:keepNext/>
              <w:keepLines/>
            </w:pPr>
            <w:r>
              <w:rPr>
                <w:sz w:val="16"/>
              </w:rPr>
              <w:t>13,250</w:t>
            </w:r>
          </w:p>
        </w:tc>
        <w:tc>
          <w:tcPr>
            <w:tcW w:type="dxa" w:w="1317"/>
          </w:tcPr>
          <w:p>
            <w:pPr>
              <w:keepNext/>
              <w:keepLines/>
            </w:pPr>
            <w:r>
              <w:rPr>
                <w:sz w:val="16"/>
              </w:rPr>
              <w:t>13,792</w:t>
            </w:r>
          </w:p>
        </w:tc>
      </w:tr>
      <w:tr>
        <w:trPr>
          <w:cantSplit/>
        </w:trPr>
        <w:tc>
          <w:tcPr>
            <w:tcW w:type="dxa" w:w="1317"/>
          </w:tcPr>
          <w:p>
            <w:pPr>
              <w:keepNext/>
              <w:keepLines/>
            </w:pPr>
            <w:r>
              <w:rPr>
                <w:sz w:val="16"/>
              </w:rPr>
              <w:t>Implied centres at 3 cases/wk × 50 wks</w:t>
            </w:r>
          </w:p>
        </w:tc>
        <w:tc>
          <w:tcPr>
            <w:tcW w:type="dxa" w:w="1317"/>
          </w:tcPr>
          <w:p>
            <w:pPr>
              <w:keepNext/>
              <w:keepLines/>
            </w:pPr>
            <w:r>
              <w:rPr>
                <w:sz w:val="16"/>
              </w:rPr>
              <w:t>35</w:t>
            </w:r>
          </w:p>
        </w:tc>
        <w:tc>
          <w:tcPr>
            <w:tcW w:type="dxa" w:w="1317"/>
          </w:tcPr>
          <w:p>
            <w:pPr>
              <w:keepNext/>
              <w:keepLines/>
            </w:pPr>
            <w:r>
              <w:rPr>
                <w:sz w:val="16"/>
              </w:rPr>
              <w:t>66</w:t>
            </w:r>
          </w:p>
        </w:tc>
        <w:tc>
          <w:tcPr>
            <w:tcW w:type="dxa" w:w="1317"/>
          </w:tcPr>
          <w:p>
            <w:pPr>
              <w:keepNext/>
              <w:keepLines/>
            </w:pPr>
            <w:r>
              <w:rPr>
                <w:sz w:val="16"/>
              </w:rPr>
              <w:t>95</w:t>
            </w:r>
          </w:p>
        </w:tc>
        <w:tc>
          <w:tcPr>
            <w:tcW w:type="dxa" w:w="1317"/>
          </w:tcPr>
          <w:p>
            <w:pPr>
              <w:keepNext/>
              <w:keepLines/>
            </w:pPr>
            <w:r>
              <w:rPr>
                <w:sz w:val="16"/>
              </w:rPr>
              <w:t>92</w:t>
            </w:r>
          </w:p>
        </w:tc>
        <w:tc>
          <w:tcPr>
            <w:tcW w:type="dxa" w:w="1317"/>
          </w:tcPr>
          <w:p>
            <w:pPr>
              <w:keepNext/>
              <w:keepLines/>
            </w:pPr>
            <w:r>
              <w:rPr>
                <w:sz w:val="16"/>
              </w:rPr>
              <w:t>90</w:t>
            </w:r>
          </w:p>
        </w:tc>
        <w:tc>
          <w:tcPr>
            <w:tcW w:type="dxa" w:w="1317"/>
          </w:tcPr>
          <w:p>
            <w:pPr>
              <w:keepNext/>
              <w:keepLines/>
            </w:pPr>
            <w:r>
              <w:rPr>
                <w:sz w:val="16"/>
              </w:rPr>
              <w:t>88</w:t>
            </w:r>
          </w:p>
        </w:tc>
        <w:tc>
          <w:tcPr>
            <w:tcW w:type="dxa" w:w="1317"/>
          </w:tcPr>
          <w:p>
            <w:pPr>
              <w:keepNext/>
              <w:keepLines/>
            </w:pPr>
            <w:r>
              <w:rPr>
                <w:sz w:val="16"/>
              </w:rPr>
              <w:t>92</w:t>
            </w:r>
          </w:p>
        </w:tc>
      </w:tr>
      <w:tr>
        <w:trPr>
          <w:cantSplit/>
        </w:trPr>
        <w:tc>
          <w:tcPr>
            <w:tcW w:type="dxa" w:w="1317"/>
          </w:tcPr>
          <w:p>
            <w:r>
              <w:rPr>
                <w:sz w:val="16"/>
              </w:rPr>
              <w:t>Memo: base class volume</w:t>
            </w:r>
          </w:p>
        </w:tc>
        <w:tc>
          <w:tcPr>
            <w:tcW w:type="dxa" w:w="1317"/>
          </w:tcPr>
          <w:p>
            <w:r>
              <w:rPr>
                <w:sz w:val="16"/>
              </w:rPr>
              <w:t>3,919</w:t>
            </w:r>
          </w:p>
        </w:tc>
        <w:tc>
          <w:tcPr>
            <w:tcW w:type="dxa" w:w="1317"/>
          </w:tcPr>
          <w:p>
            <w:r>
              <w:rPr>
                <w:sz w:val="16"/>
              </w:rPr>
              <w:t>7,594</w:t>
            </w:r>
          </w:p>
        </w:tc>
        <w:tc>
          <w:tcPr>
            <w:tcW w:type="dxa" w:w="1317"/>
          </w:tcPr>
          <w:p>
            <w:r>
              <w:rPr>
                <w:sz w:val="16"/>
              </w:rPr>
              <w:t>11,126</w:t>
            </w:r>
          </w:p>
        </w:tc>
        <w:tc>
          <w:tcPr>
            <w:tcW w:type="dxa" w:w="1317"/>
          </w:tcPr>
          <w:p>
            <w:r>
              <w:rPr>
                <w:sz w:val="16"/>
              </w:rPr>
              <w:t>10,945</w:t>
            </w:r>
          </w:p>
        </w:tc>
        <w:tc>
          <w:tcPr>
            <w:tcW w:type="dxa" w:w="1317"/>
          </w:tcPr>
          <w:p>
            <w:r>
              <w:rPr>
                <w:sz w:val="16"/>
              </w:rPr>
              <w:t>10,837</w:t>
            </w:r>
          </w:p>
        </w:tc>
        <w:tc>
          <w:tcPr>
            <w:tcW w:type="dxa" w:w="1317"/>
          </w:tcPr>
          <w:p>
            <w:r>
              <w:rPr>
                <w:sz w:val="16"/>
              </w:rPr>
              <w:t>10,801</w:t>
            </w:r>
          </w:p>
        </w:tc>
        <w:tc>
          <w:tcPr>
            <w:tcW w:type="dxa" w:w="1317"/>
          </w:tcPr>
          <w:p>
            <w:r>
              <w:rPr>
                <w:sz w:val="16"/>
              </w:rPr>
              <w:t>11,454</w:t>
            </w:r>
          </w:p>
        </w:tc>
      </w:tr>
    </w:tbl>
    <w:p/>
    <w:p>
      <w:r>
        <w:rPr>
          <w:i/>
        </w:rPr>
        <w:t>Source: A30–A35, A39, S21, S59, S62–S64, C45, C46; Appendix C. Same pool inputs as the base; only the treated share changes. Pool rounded to the nearest thousand. Centres derived.</w:t>
      </w:r>
    </w:p>
    <w:p>
      <w:r>
        <w:t>With 8% treated, the pool settles at a steady 39% of each year's entrants treated, against 33% at 6% (derived) [C46]. 8% is a third above the base rate and about 3.6 times the 2.2% DBS rate [C49]. We chose the smallest change that keeps the bull clearly above the base in every year: a bull defined by a capacity build to 10,000 a year would now sit below the base, which exceeds 10,000 from FY2031E. With the base already on a three-year ramp, the bull differs from it only in the treated share [S59] ★. Bull volume is 14,300 in FY2031E, against 11,100 in the base. Bull class demand is about 13,800 in FY2032E and in FY2040E, against 10,900 and 11,500 in the base (demand context) [C46][C40]. David earlier asked for a bull growing to 10,000 a year; this bull exceeds that, which needs his confirmation [S59].</w:t>
      </w:r>
    </w:p>
    <w:p>
      <w:r>
        <w:rPr>
          <w:i/>
        </w:rPr>
        <w:t>Capacity is not the limit in the base or bull.</w:t>
      </w:r>
      <w:r>
        <w:t xml:space="preserve"> S20 assumes 4,500 a year per therapy (30 centres × 3 a week × 50 weeks). Burnett's "20–30 centres … 50 to 100 cases a week" [G7] reaches 5,000 a year at the top end. Base Parkinson's volume of about 11,000 a year from FY2031E needs about 74 centres at 3 cases a week, and the bull's 14,300 about 95, on top of AMT-130's 3,000 (about 20 more centres if the networks are separate) (derived) [S43] ★. That is two and a half to three times the top of management's comments. We accept it as an aggressive but bounded judgment: volume is driven by the eligible pool (6% of about 180,000), not by a capacity plan, and the three-year ramp implies adding about 25 centres a year in the base (about 30 in the bull). Limiting the ramp by an explicit build of 25 centres a year would give almost the same path, so we keep the simpler rule [S64]. Burnett's quote may cover all therapies. Launch analogs such as Hemgenix and Roctavian were slow [D22][D23], but those are small rare-disease markets without a surgical delivery network. AMT-130 still follows the S20 capacity ramp: 330 → 2,500 → 3,170 → 3,000 [S32]. The bear remains limited by its 4,500 capacity [S43].</w:t>
      </w:r>
    </w:p>
    <w:p>
      <w:pPr>
        <w:keepNext/>
        <w:keepLines/>
      </w:pPr>
      <w:r>
        <w:rPr>
          <w:b/>
        </w:rPr>
        <w:t>Figure 4a – Procedures by therapy (base case)</w:t>
      </w:r>
    </w:p>
    <w:tbl>
      <w:tblPr>
        <w:tblStyle w:val="TableGrid"/>
        <w:tblW w:type="auto" w:w="0"/>
        <w:tblLook w:firstColumn="1" w:firstRow="1" w:lastColumn="0" w:lastRow="0" w:noHBand="0" w:noVBand="1" w:val="04A0"/>
      </w:tblPr>
      <w:tblGrid>
        <w:gridCol w:w="1757"/>
        <w:gridCol w:w="1757"/>
        <w:gridCol w:w="1757"/>
        <w:gridCol w:w="1757"/>
        <w:gridCol w:w="1757"/>
        <w:gridCol w:w="1757"/>
      </w:tblGrid>
      <w:tr>
        <w:trPr>
          <w:cantSplit/>
          <w:tblHeader/>
        </w:trPr>
        <w:tc>
          <w:tcPr>
            <w:tcW w:type="dxa" w:w="1757"/>
          </w:tcPr>
          <w:p>
            <w:pPr>
              <w:keepNext/>
              <w:keepLines/>
            </w:pPr>
            <w:r>
              <w:rPr>
                <w:b/>
                <w:sz w:val="16"/>
              </w:rPr>
              <w:t>Procedures</w:t>
            </w:r>
          </w:p>
        </w:tc>
        <w:tc>
          <w:tcPr>
            <w:tcW w:type="dxa" w:w="1757"/>
          </w:tcPr>
          <w:p>
            <w:pPr>
              <w:keepNext/>
              <w:keepLines/>
            </w:pPr>
            <w:r>
              <w:rPr>
                <w:b/>
                <w:sz w:val="16"/>
              </w:rPr>
              <w:t>FY2027E</w:t>
            </w:r>
          </w:p>
        </w:tc>
        <w:tc>
          <w:tcPr>
            <w:tcW w:type="dxa" w:w="1757"/>
          </w:tcPr>
          <w:p>
            <w:pPr>
              <w:keepNext/>
              <w:keepLines/>
            </w:pPr>
            <w:r>
              <w:rPr>
                <w:b/>
                <w:sz w:val="16"/>
              </w:rPr>
              <w:t>FY2028E</w:t>
            </w:r>
          </w:p>
        </w:tc>
        <w:tc>
          <w:tcPr>
            <w:tcW w:type="dxa" w:w="1757"/>
          </w:tcPr>
          <w:p>
            <w:pPr>
              <w:keepNext/>
              <w:keepLines/>
            </w:pPr>
            <w:r>
              <w:rPr>
                <w:b/>
                <w:sz w:val="16"/>
              </w:rPr>
              <w:t>FY2029E</w:t>
            </w:r>
          </w:p>
        </w:tc>
        <w:tc>
          <w:tcPr>
            <w:tcW w:type="dxa" w:w="1757"/>
          </w:tcPr>
          <w:p>
            <w:pPr>
              <w:keepNext/>
              <w:keepLines/>
            </w:pPr>
            <w:r>
              <w:rPr>
                <w:b/>
                <w:sz w:val="16"/>
              </w:rPr>
              <w:t>FY2030E</w:t>
            </w:r>
          </w:p>
        </w:tc>
        <w:tc>
          <w:tcPr>
            <w:tcW w:type="dxa" w:w="1757"/>
          </w:tcPr>
          <w:p>
            <w:pPr>
              <w:keepNext/>
              <w:keepLines/>
            </w:pPr>
            <w:r>
              <w:rPr>
                <w:b/>
                <w:sz w:val="16"/>
              </w:rPr>
              <w:t>FY2031E</w:t>
            </w:r>
          </w:p>
        </w:tc>
      </w:tr>
      <w:tr>
        <w:trPr>
          <w:cantSplit/>
        </w:trPr>
        <w:tc>
          <w:tcPr>
            <w:tcW w:type="dxa" w:w="1757"/>
          </w:tcPr>
          <w:p>
            <w:pPr>
              <w:keepNext/>
              <w:keepLines/>
            </w:pPr>
            <w:r>
              <w:rPr>
                <w:sz w:val="16"/>
              </w:rPr>
              <w:t>AMT-130</w:t>
            </w:r>
          </w:p>
        </w:tc>
        <w:tc>
          <w:tcPr>
            <w:tcW w:type="dxa" w:w="1757"/>
          </w:tcPr>
          <w:p>
            <w:pPr>
              <w:keepNext/>
              <w:keepLines/>
            </w:pPr>
            <w:r>
              <w:rPr>
                <w:sz w:val="16"/>
              </w:rPr>
              <w:t>330</w:t>
            </w:r>
          </w:p>
        </w:tc>
        <w:tc>
          <w:tcPr>
            <w:tcW w:type="dxa" w:w="1757"/>
          </w:tcPr>
          <w:p>
            <w:pPr>
              <w:keepNext/>
              <w:keepLines/>
            </w:pPr>
            <w:r>
              <w:rPr>
                <w:sz w:val="16"/>
              </w:rPr>
              <w:t>2,500</w:t>
            </w:r>
          </w:p>
        </w:tc>
        <w:tc>
          <w:tcPr>
            <w:tcW w:type="dxa" w:w="1757"/>
          </w:tcPr>
          <w:p>
            <w:pPr>
              <w:keepNext/>
              <w:keepLines/>
            </w:pPr>
            <w:r>
              <w:rPr>
                <w:sz w:val="16"/>
              </w:rPr>
              <w:t>3,170</w:t>
            </w:r>
          </w:p>
        </w:tc>
        <w:tc>
          <w:tcPr>
            <w:tcW w:type="dxa" w:w="1757"/>
          </w:tcPr>
          <w:p>
            <w:pPr>
              <w:keepNext/>
              <w:keepLines/>
            </w:pPr>
            <w:r>
              <w:rPr>
                <w:sz w:val="16"/>
              </w:rPr>
              <w:t>3,000</w:t>
            </w:r>
          </w:p>
        </w:tc>
        <w:tc>
          <w:tcPr>
            <w:tcW w:type="dxa" w:w="1757"/>
          </w:tcPr>
          <w:p>
            <w:pPr>
              <w:keepNext/>
              <w:keepLines/>
            </w:pPr>
            <w:r>
              <w:rPr>
                <w:sz w:val="16"/>
              </w:rPr>
              <w:t>3,000</w:t>
            </w:r>
          </w:p>
        </w:tc>
      </w:tr>
      <w:tr>
        <w:trPr>
          <w:cantSplit/>
        </w:trPr>
        <w:tc>
          <w:tcPr>
            <w:tcW w:type="dxa" w:w="1757"/>
          </w:tcPr>
          <w:p>
            <w:pPr>
              <w:keepNext/>
              <w:keepLines/>
            </w:pPr>
            <w:r>
              <w:rPr>
                <w:sz w:val="16"/>
              </w:rPr>
              <w:t>One-time PD therapies (class)</w:t>
            </w:r>
          </w:p>
        </w:tc>
        <w:tc>
          <w:tcPr>
            <w:tcW w:type="dxa" w:w="1757"/>
          </w:tcPr>
          <w:p>
            <w:pPr>
              <w:keepNext/>
              <w:keepLines/>
            </w:pPr>
            <w:r>
              <w:rPr>
                <w:sz w:val="16"/>
              </w:rPr>
              <w:t>–</w:t>
            </w:r>
          </w:p>
        </w:tc>
        <w:tc>
          <w:tcPr>
            <w:tcW w:type="dxa" w:w="1757"/>
          </w:tcPr>
          <w:p>
            <w:pPr>
              <w:keepNext/>
              <w:keepLines/>
            </w:pPr>
            <w:r>
              <w:rPr>
                <w:sz w:val="16"/>
              </w:rPr>
              <w:t>–</w:t>
            </w:r>
          </w:p>
        </w:tc>
        <w:tc>
          <w:tcPr>
            <w:tcW w:type="dxa" w:w="1757"/>
          </w:tcPr>
          <w:p>
            <w:pPr>
              <w:keepNext/>
              <w:keepLines/>
            </w:pPr>
            <w:r>
              <w:rPr>
                <w:sz w:val="16"/>
              </w:rPr>
              <w:t>3,919</w:t>
            </w:r>
          </w:p>
        </w:tc>
        <w:tc>
          <w:tcPr>
            <w:tcW w:type="dxa" w:w="1757"/>
          </w:tcPr>
          <w:p>
            <w:pPr>
              <w:keepNext/>
              <w:keepLines/>
            </w:pPr>
            <w:r>
              <w:rPr>
                <w:sz w:val="16"/>
              </w:rPr>
              <w:t>7,594</w:t>
            </w:r>
          </w:p>
        </w:tc>
        <w:tc>
          <w:tcPr>
            <w:tcW w:type="dxa" w:w="1757"/>
          </w:tcPr>
          <w:p>
            <w:pPr>
              <w:keepNext/>
              <w:keepLines/>
            </w:pPr>
            <w:r>
              <w:rPr>
                <w:sz w:val="16"/>
              </w:rPr>
              <w:t>11,126</w:t>
            </w:r>
          </w:p>
        </w:tc>
      </w:tr>
      <w:tr>
        <w:trPr>
          <w:cantSplit/>
        </w:trPr>
        <w:tc>
          <w:tcPr>
            <w:tcW w:type="dxa" w:w="1757"/>
          </w:tcPr>
          <w:p>
            <w:pPr>
              <w:keepNext/>
              <w:keepLines/>
            </w:pPr>
            <w:r>
              <w:rPr>
                <w:b/>
                <w:sz w:val="16"/>
              </w:rPr>
              <w:t>Total</w:t>
            </w:r>
          </w:p>
        </w:tc>
        <w:tc>
          <w:tcPr>
            <w:tcW w:type="dxa" w:w="1757"/>
          </w:tcPr>
          <w:p>
            <w:pPr>
              <w:keepNext/>
              <w:keepLines/>
            </w:pPr>
            <w:r>
              <w:rPr>
                <w:b/>
                <w:sz w:val="16"/>
              </w:rPr>
              <w:t>330</w:t>
            </w:r>
          </w:p>
        </w:tc>
        <w:tc>
          <w:tcPr>
            <w:tcW w:type="dxa" w:w="1757"/>
          </w:tcPr>
          <w:p>
            <w:pPr>
              <w:keepNext/>
              <w:keepLines/>
            </w:pPr>
            <w:r>
              <w:rPr>
                <w:b/>
                <w:sz w:val="16"/>
              </w:rPr>
              <w:t>2,500</w:t>
            </w:r>
          </w:p>
        </w:tc>
        <w:tc>
          <w:tcPr>
            <w:tcW w:type="dxa" w:w="1757"/>
          </w:tcPr>
          <w:p>
            <w:pPr>
              <w:keepNext/>
              <w:keepLines/>
            </w:pPr>
            <w:r>
              <w:rPr>
                <w:b/>
                <w:sz w:val="16"/>
              </w:rPr>
              <w:t>7,089</w:t>
            </w:r>
          </w:p>
        </w:tc>
        <w:tc>
          <w:tcPr>
            <w:tcW w:type="dxa" w:w="1757"/>
          </w:tcPr>
          <w:p>
            <w:pPr>
              <w:keepNext/>
              <w:keepLines/>
            </w:pPr>
            <w:r>
              <w:rPr>
                <w:b/>
                <w:sz w:val="16"/>
              </w:rPr>
              <w:t>10,594</w:t>
            </w:r>
          </w:p>
        </w:tc>
        <w:tc>
          <w:tcPr>
            <w:tcW w:type="dxa" w:w="1757"/>
          </w:tcPr>
          <w:p>
            <w:pPr>
              <w:keepNext/>
              <w:keepLines/>
            </w:pPr>
            <w:r>
              <w:rPr>
                <w:b/>
                <w:sz w:val="16"/>
              </w:rPr>
              <w:t>14,126</w:t>
            </w:r>
          </w:p>
        </w:tc>
      </w:tr>
      <w:tr>
        <w:trPr>
          <w:cantSplit/>
        </w:trPr>
        <w:tc>
          <w:tcPr>
            <w:tcW w:type="dxa" w:w="1757"/>
          </w:tcPr>
          <w:p>
            <w:pPr>
              <w:keepNext/>
              <w:keepLines/>
            </w:pPr>
            <w:r>
              <w:rPr>
                <w:sz w:val="16"/>
              </w:rPr>
              <w:t>Procedure revenue at $20k (US$M)</w:t>
            </w:r>
          </w:p>
        </w:tc>
        <w:tc>
          <w:tcPr>
            <w:tcW w:type="dxa" w:w="1757"/>
          </w:tcPr>
          <w:p>
            <w:pPr>
              <w:keepNext/>
              <w:keepLines/>
            </w:pPr>
            <w:r>
              <w:rPr>
                <w:sz w:val="16"/>
              </w:rPr>
              <w:t>6.6</w:t>
            </w:r>
          </w:p>
        </w:tc>
        <w:tc>
          <w:tcPr>
            <w:tcW w:type="dxa" w:w="1757"/>
          </w:tcPr>
          <w:p>
            <w:pPr>
              <w:keepNext/>
              <w:keepLines/>
            </w:pPr>
            <w:r>
              <w:rPr>
                <w:sz w:val="16"/>
              </w:rPr>
              <w:t>50.0</w:t>
            </w:r>
          </w:p>
        </w:tc>
        <w:tc>
          <w:tcPr>
            <w:tcW w:type="dxa" w:w="1757"/>
          </w:tcPr>
          <w:p>
            <w:pPr>
              <w:keepNext/>
              <w:keepLines/>
            </w:pPr>
            <w:r>
              <w:rPr>
                <w:sz w:val="16"/>
              </w:rPr>
              <w:t>141.8</w:t>
            </w:r>
          </w:p>
        </w:tc>
        <w:tc>
          <w:tcPr>
            <w:tcW w:type="dxa" w:w="1757"/>
          </w:tcPr>
          <w:p>
            <w:pPr>
              <w:keepNext/>
              <w:keepLines/>
            </w:pPr>
            <w:r>
              <w:rPr>
                <w:sz w:val="16"/>
              </w:rPr>
              <w:t>211.9</w:t>
            </w:r>
          </w:p>
        </w:tc>
        <w:tc>
          <w:tcPr>
            <w:tcW w:type="dxa" w:w="1757"/>
          </w:tcPr>
          <w:p>
            <w:pPr>
              <w:keepNext/>
              <w:keepLines/>
            </w:pPr>
            <w:r>
              <w:rPr>
                <w:sz w:val="16"/>
              </w:rPr>
              <w:t>282.5</w:t>
            </w:r>
          </w:p>
        </w:tc>
      </w:tr>
      <w:tr>
        <w:trPr>
          <w:cantSplit/>
        </w:trPr>
        <w:tc>
          <w:tcPr>
            <w:tcW w:type="dxa" w:w="1757"/>
          </w:tcPr>
          <w:p>
            <w:pPr>
              <w:keepNext/>
              <w:keepLines/>
            </w:pPr>
            <w:r>
              <w:rPr>
                <w:sz w:val="16"/>
              </w:rPr>
              <w:t>CAL uplift (US$M)</w:t>
            </w:r>
          </w:p>
        </w:tc>
        <w:tc>
          <w:tcPr>
            <w:tcW w:type="dxa" w:w="1757"/>
          </w:tcPr>
          <w:p>
            <w:pPr>
              <w:keepNext/>
              <w:keepLines/>
            </w:pPr>
            <w:r>
              <w:rPr>
                <w:sz w:val="16"/>
              </w:rPr>
              <w:t>–</w:t>
            </w:r>
          </w:p>
        </w:tc>
        <w:tc>
          <w:tcPr>
            <w:tcW w:type="dxa" w:w="1757"/>
          </w:tcPr>
          <w:p>
            <w:pPr>
              <w:keepNext/>
              <w:keepLines/>
            </w:pPr>
            <w:r>
              <w:rPr>
                <w:sz w:val="16"/>
              </w:rPr>
              <w:t>7.0</w:t>
            </w:r>
          </w:p>
        </w:tc>
        <w:tc>
          <w:tcPr>
            <w:tcW w:type="dxa" w:w="1757"/>
          </w:tcPr>
          <w:p>
            <w:pPr>
              <w:keepNext/>
              <w:keepLines/>
            </w:pPr>
            <w:r>
              <w:rPr>
                <w:sz w:val="16"/>
              </w:rPr>
              <w:t>14.0</w:t>
            </w:r>
          </w:p>
        </w:tc>
        <w:tc>
          <w:tcPr>
            <w:tcW w:type="dxa" w:w="1757"/>
          </w:tcPr>
          <w:p>
            <w:pPr>
              <w:keepNext/>
              <w:keepLines/>
            </w:pPr>
            <w:r>
              <w:rPr>
                <w:sz w:val="16"/>
              </w:rPr>
              <w:t>22.0</w:t>
            </w:r>
          </w:p>
        </w:tc>
        <w:tc>
          <w:tcPr>
            <w:tcW w:type="dxa" w:w="1757"/>
          </w:tcPr>
          <w:p>
            <w:pPr>
              <w:keepNext/>
              <w:keepLines/>
            </w:pPr>
            <w:r>
              <w:rPr>
                <w:sz w:val="16"/>
              </w:rPr>
              <w:t>29.0</w:t>
            </w:r>
          </w:p>
        </w:tc>
      </w:tr>
      <w:tr>
        <w:trPr>
          <w:cantSplit/>
        </w:trPr>
        <w:tc>
          <w:tcPr>
            <w:tcW w:type="dxa" w:w="1757"/>
          </w:tcPr>
          <w:p>
            <w:r>
              <w:rPr>
                <w:sz w:val="16"/>
              </w:rPr>
              <w:t>Binding constraint</w:t>
            </w:r>
          </w:p>
        </w:tc>
        <w:tc>
          <w:tcPr>
            <w:tcW w:type="dxa" w:w="1757"/>
          </w:tcPr>
          <w:p>
            <w:r>
              <w:rPr>
                <w:sz w:val="16"/>
              </w:rPr>
              <w:t>AMT capacity</w:t>
            </w:r>
          </w:p>
        </w:tc>
        <w:tc>
          <w:tcPr>
            <w:tcW w:type="dxa" w:w="1757"/>
          </w:tcPr>
          <w:p>
            <w:r>
              <w:rPr>
                <w:sz w:val="16"/>
              </w:rPr>
              <w:t>AMT capacity</w:t>
            </w:r>
          </w:p>
        </w:tc>
        <w:tc>
          <w:tcPr>
            <w:tcW w:type="dxa" w:w="1757"/>
          </w:tcPr>
          <w:p>
            <w:r>
              <w:rPr>
                <w:sz w:val="16"/>
              </w:rPr>
              <w:t>AMT pool / PD ramp</w:t>
            </w:r>
          </w:p>
        </w:tc>
        <w:tc>
          <w:tcPr>
            <w:tcW w:type="dxa" w:w="1757"/>
          </w:tcPr>
          <w:p>
            <w:r>
              <w:rPr>
                <w:sz w:val="16"/>
              </w:rPr>
              <w:t>PD ramp</w:t>
            </w:r>
          </w:p>
        </w:tc>
        <w:tc>
          <w:tcPr>
            <w:tcW w:type="dxa" w:w="1757"/>
          </w:tcPr>
          <w:p>
            <w:r>
              <w:rPr>
                <w:sz w:val="16"/>
              </w:rPr>
              <w:t>PD class demand</w:t>
            </w:r>
          </w:p>
        </w:tc>
      </w:tr>
    </w:tbl>
    <w:p/>
    <w:p>
      <w:r>
        <w:rPr>
          <w:i/>
        </w:rPr>
        <w:t>Source: S20, S30–S32, S37, S62–S64, G7, G8, G9, P2. The PD row is the class of one-time Parkinson's cell/gene therapy procedures on ClearPoint's platform; bemdaneprocel is the first launch.</w:t>
      </w:r>
    </w:p>
    <w:p>
      <w:pPr>
        <w:pStyle w:val="Heading3"/>
        <w:keepNext/>
        <w:keepLines/>
      </w:pPr>
      <w:r>
        <w:t>6. Risks</w:t>
      </w:r>
    </w:p>
    <w:p>
      <w:r>
        <w:rPr>
          <w:b/>
        </w:rPr>
        <w:t>Company-specific.</w:t>
      </w:r>
    </w:p>
    <w:p>
      <w:pPr>
        <w:pStyle w:val="ListBullet"/>
      </w:pPr>
      <w:r>
        <w:rPr>
          <w:b/>
        </w:rPr>
        <w:t>Capacity vs. demand.</w:t>
      </w:r>
      <w:r>
        <w:t xml:space="preserve"> Our volumes assume ClearPoint's stated capacity is fully used. Gene-therapy launches have often been slow: Hemgenix treated 12 patients in its first year [D22], and Roctavian 3 in 2023 [D23]. Our bear case models this slower path: 270 AMT-130 procedures in FY2028E [S22]. FY2028E revenue is then $54.2M below the base (derived). The bear, which also delays bemdaneprocel and slows core growth, is valued at $14.56 a share [C58].</w:t>
      </w:r>
    </w:p>
    <w:p>
      <w:pPr>
        <w:pStyle w:val="ListBullet"/>
      </w:pPr>
      <w:r>
        <w:rPr>
          <w:b/>
        </w:rPr>
        <w:t>Shared centres.</w:t>
      </w:r>
      <w:r>
        <w:t xml:space="preserve"> AMT-130 and the Parkinson's class would compete for the same neurosurgeons and MRI suites; base FY2031E volume of about 14,100 procedures needs about 94 centres at 3 cases a week (derived) [S43]. Base class demand stays about the same after FY2031E (about 10,800–11,500 a year to FY2040E, Figure 4b), so the centre need does not fall (demand context) [C40].</w:t>
      </w:r>
    </w:p>
    <w:p>
      <w:pPr>
        <w:pStyle w:val="ListBullet"/>
      </w:pPr>
      <w:r>
        <w:rPr>
          <w:b/>
        </w:rPr>
        <w:t>Funding and dilution.</w:t>
      </w:r>
      <w:r>
        <w:t xml:space="preserve"> Cash was $29.4M at June 30, 2026 vs. $50.2M of notes [D2]. The valuation assumes a further $50M note draw and borrowing at 2× EBITDA from the first profitable year [P3]; the bear's cash still falls to −$98M with no funding modelled [C58]. David's ×0.90 dilution estimate is applied outside the model [C62].</w:t>
      </w:r>
    </w:p>
    <w:p>
      <w:pPr>
        <w:pStyle w:val="ListBullet"/>
      </w:pPr>
      <w:r>
        <w:rPr>
          <w:b/>
        </w:rPr>
        <w:t>Steady-state share of incidence.</w:t>
      </w:r>
      <w:r>
        <w:t xml:space="preserve"> The 3,000-a-year AMT-130 figure needs about two-thirds of US + UK new HD diagnoses treated every year [C25] ★. Each 500 fewer procedures takes $10M off revenue (derived).</w:t>
      </w:r>
    </w:p>
    <w:p>
      <w:pPr>
        <w:pStyle w:val="ListBullet"/>
      </w:pPr>
      <w:r>
        <w:rPr>
          <w:b/>
        </w:rPr>
        <w:t>Parkinson's pool and uptake.</w:t>
      </w:r>
      <w:r>
        <w:t xml:space="preserve"> Class demand rests on two judgments, the 50% motor-complication share and 90% fitness; on a 6% annual treatment rate, about 2.7 times today's 2.2% DBS rate, which no published willingness study supports; and on keeping patients who have had DBS in the pool [S44]–[S47][C49] ★. Every trial we checked excludes prior DBS; if labels did the same, the pool would be about 138,000 and base class demand about 8,400 a year, as in the bear [A41][C55]. Volume equals class demand from FY2031E, so any shortfall in the pool or in uptake cuts volume directly. Each 1,000 fewer procedures a year takes $20M off revenue (derived) [P2].</w:t>
      </w:r>
    </w:p>
    <w:p>
      <w:pPr>
        <w:pStyle w:val="ListBullet"/>
      </w:pPr>
      <w:r>
        <w:rPr>
          <w:b/>
        </w:rPr>
        <w:t>Centre build.</w:t>
      </w:r>
      <w:r>
        <w:t xml:space="preserve"> The base needs about 74 centres for Parkinson's alone from FY2031E, against management's 20–30 [G7][S43] ★. If ClearPoint and its partners cannot staff that many, capacity rather than demand becomes the limit, as in the bear.</w:t>
      </w:r>
    </w:p>
    <w:p>
      <w:pPr>
        <w:pStyle w:val="ListBullet"/>
      </w:pPr>
      <w:r>
        <w:rPr>
          <w:b/>
        </w:rPr>
        <w:t>Platform share (100%).</w:t>
      </w:r>
      <w:r>
        <w:t xml:space="preserve"> We assume every one-time Parkinson's cell/gene procedure uses ClearPoint's platform. This is David's judgment [S63] ★. His reasoning: a sponsor with a multi-billion-dollar therapy will not risk its label or approval to save a few thousand dollars on a cannula that was not used in the pivotal trial. The delivery device used in the trial becomes part of the approved procedure, so once a therapy is approved with ClearPoint's system, ClearPoint's share of that therapy stays near 100%.</w:t>
      </w:r>
    </w:p>
    <w:p>
      <w:pPr>
        <w:pStyle w:val="ListBullet2"/>
      </w:pPr>
      <w:r>
        <w:rPr>
          <w:i/>
        </w:rPr>
        <w:t>Trial evidence consistent with this.</w:t>
      </w:r>
      <w:r>
        <w:t xml:space="preserve"> Bemdaneprocel's Phase 1 used "a modified cannula (Smart Flow, Clearpoint Neuro)" [D12]. Aspen says ASPIRO (ANPD001) uses the ClearPoint system "for all patients" [D68]. We could not confirm the delivery device for exPDite-2, REGENERATE-PD (AB-1005), RNDP-001 or the NIH AAV2-GDNF Phase 1 from public registry entries [D10]. This evidence fits David's reasoning but does not prove that later approvals will specify ClearPoint.</w:t>
      </w:r>
    </w:p>
    <w:p>
      <w:pPr>
        <w:pStyle w:val="ListBullet2"/>
      </w:pPr>
      <w:r>
        <w:rPr>
          <w:i/>
        </w:rPr>
        <w:t>Brainlab.</w:t>
      </w:r>
      <w:r>
        <w:t xml:space="preserve"> Brainlab sells planning and navigation software for catheter placement: iPlan Flow ("a dedicated tool for planning trajectories of intra-cranial catheters", 510(k) K053164) and cranial navigation (K223288, K223552) [D63]. Its "Flexible Catheter" is listed with the FDA under ClearPoint's own 510(k) K123605 (filed as MRI Interventions), which clears the SmartFlow Flex Ventricular Catheter "for injection of Cytarabine or removal of CSF from the ventricles" (product code HCA) [D64]. A 2021 study in diffuse intrinsic pontine glioma (DIPG) used that catheter to infuse brain-stem tissue, outside that ventricular indication, and placed it with the ClearPoint system [D65].</w:t>
      </w:r>
    </w:p>
    <w:p>
      <w:pPr>
        <w:pStyle w:val="ListBullet2"/>
      </w:pPr>
      <w:r>
        <w:rPr>
          <w:i/>
        </w:rPr>
        <w:t>Renishaw / Neurochase.</w:t>
      </w:r>
      <w:r>
        <w:t xml:space="preserve"> Neuroinfuse is a bone-anchored transcutaneous port for repeated, intermittent infusions over months or years through several cannulas, with "an MRI compatible application set" [D66]. In the Bristol GDNF trial it gave monthly infusions [D67]. It is investigational and "can only be used in the setting of an approved clinical trial" [D66]. Renishaw agreed to sell neuroinfuse and all of its IP to Neurochase, with transfers due to complete by January 2026 [D69]. Neurochase says the system has been used under humanitarian approval for chemotherapy in children with brain-stem tumours, and it planned a DIPG trial for early 2026 [D69]. We found no record that this trial has started and no regulatory clearance for neuroinfuse. Neurochase's own nFuse system is "for investigational use only. Not approved for clinical use in any geography" [D70].</w:t>
      </w:r>
    </w:p>
    <w:p>
      <w:pPr>
        <w:pStyle w:val="ListBullet2"/>
      </w:pPr>
      <w:r>
        <w:rPr>
          <w:i/>
        </w:rPr>
        <w:t>Conclusion and residual risk.</w:t>
      </w:r>
      <w:r>
        <w:t xml:space="preserve"> We found no commercially cleared, MRI-guided intraparenchymal CED cannula designed by either company. ClearPoint's 10-K still says Brainlab and Renishaw "offer systems such as navigational platforms and cannulas useful for drug delivery under MRI. These offerings are competitive with our products." [D1] Two risks remain. First, other navigation platforms: one bemdaneprocel Phase 1 site placed the cannula with "a frame-based stereotactic approach" [D12]. Second, future devices, such as Neurochase's, which is designed to work with existing robots and frames [D70].</w:t>
      </w:r>
    </w:p>
    <w:p>
      <w:pPr>
        <w:pStyle w:val="ListBullet2"/>
      </w:pPr>
      <w:r>
        <w:rPr>
          <w:i/>
        </w:rPr>
        <w:t>Sizing.</w:t>
      </w:r>
      <w:r>
        <w:t xml:space="preserve"> Each 1,000 procedures a year lost (about 9% of base FY2031E Parkinson's volume) is about $20M of revenue (derived) [P2].</w:t>
      </w:r>
    </w:p>
    <w:p>
      <w:pPr>
        <w:pStyle w:val="ListBullet"/>
      </w:pPr>
      <w:r>
        <w:rPr>
          <w:b/>
        </w:rPr>
        <w:t>No supply agreement disclosed</w:t>
      </w:r>
      <w:r>
        <w:t xml:space="preserve"> with uniQure, BlueRock or the other Parkinson's partners. One bemdaneprocel Phase 1 site used a different, frame-based approach [D12].</w:t>
      </w:r>
    </w:p>
    <w:p>
      <w:r>
        <w:rPr>
          <w:b/>
        </w:rPr>
        <w:t>Industry and regulatory.</w:t>
      </w:r>
    </w:p>
    <w:p>
      <w:pPr>
        <w:pStyle w:val="ListBullet"/>
      </w:pPr>
      <w:r>
        <w:rPr>
          <w:b/>
        </w:rPr>
        <w:t>Approval timing.</w:t>
      </w:r>
      <w:r>
        <w:t xml:space="preserve"> Without priority review, or with a request for more data, AMT-130 slips by a year or more. Bayer's 2028–29 readout makes a 2029 bemdaneprocel approval the earliest plausible date [D19].</w:t>
      </w:r>
    </w:p>
    <w:p>
      <w:pPr>
        <w:pStyle w:val="ListBullet"/>
      </w:pPr>
      <w:r>
        <w:rPr>
          <w:b/>
        </w:rPr>
        <w:t>Pricing and reimbursement.</w:t>
      </w:r>
      <w:r>
        <w:t xml:space="preserve"> Our $20k per procedure is set by the prompt [P2]. It sits inside management's $15–25k range [G4] but above the $12–15k partner average [G5].</w:t>
      </w:r>
    </w:p>
    <w:p>
      <w:pPr>
        <w:pStyle w:val="Heading3"/>
        <w:keepNext/>
        <w:keepLines/>
      </w:pPr>
      <w:r>
        <w:t>7. Forecast</w:t>
      </w:r>
    </w:p>
    <w:p>
      <w:pPr>
        <w:pStyle w:val="Heading4"/>
        <w:keepNext/>
        <w:keepLines/>
      </w:pPr>
      <w:r>
        <w:t>How the evidence becomes the numbers</w:t>
      </w:r>
    </w:p>
    <w:p>
      <w:r>
        <w:t>Totals for FY2026E and the FY2027E core come from consensus, because guidance was revised [E1][G2]. The core lines were scaled up by about 7% (H2 2026E) and 4% (FY2027E) to match those totals [C4][C6]. Core growth after FY2027E is our judgment [S7][S26]. The procedure line is a volume build at $20k, added on top: AMT-130 follows a capacity ramp and the Parkinson's class a three-year ramp to class demand [P2][S19][S64]. The CAL uplift is also added on top of core growth [S37]. EBITDA is a cost build, because there is no EBITDA guidance or consensus [C9]. Figure 4 maps each piece of evidence to the assumption it sets.</w:t>
      </w:r>
    </w:p>
    <w:p>
      <w:pPr>
        <w:keepNext/>
        <w:keepLines/>
      </w:pPr>
      <w:r>
        <w:rPr>
          <w:b/>
        </w:rPr>
        <w:t>Figure 4 – Evidence → assumption → forecast impact</w:t>
      </w:r>
    </w:p>
    <w:tbl>
      <w:tblPr>
        <w:tblStyle w:val="TableGrid"/>
        <w:tblW w:type="auto" w:w="0"/>
        <w:tblLook w:firstColumn="1" w:firstRow="1" w:lastColumn="0" w:lastRow="0" w:noHBand="0" w:noVBand="1" w:val="04A0"/>
      </w:tblPr>
      <w:tblGrid>
        <w:gridCol w:w="3513"/>
        <w:gridCol w:w="3513"/>
        <w:gridCol w:w="3513"/>
      </w:tblGrid>
      <w:tr>
        <w:trPr>
          <w:cantSplit/>
          <w:tblHeader/>
        </w:trPr>
        <w:tc>
          <w:tcPr>
            <w:tcW w:type="dxa" w:w="3513"/>
          </w:tcPr>
          <w:p>
            <w:pPr>
              <w:keepNext/>
              <w:keepLines/>
            </w:pPr>
            <w:r>
              <w:rPr>
                <w:b/>
                <w:sz w:val="16"/>
              </w:rPr>
              <w:t>Evidence</w:t>
            </w:r>
          </w:p>
        </w:tc>
        <w:tc>
          <w:tcPr>
            <w:tcW w:type="dxa" w:w="3513"/>
          </w:tcPr>
          <w:p>
            <w:pPr>
              <w:keepNext/>
              <w:keepLines/>
            </w:pPr>
            <w:r>
              <w:rPr>
                <w:b/>
                <w:sz w:val="16"/>
              </w:rPr>
              <w:t>Assumption</w:t>
            </w:r>
          </w:p>
        </w:tc>
        <w:tc>
          <w:tcPr>
            <w:tcW w:type="dxa" w:w="3513"/>
          </w:tcPr>
          <w:p>
            <w:pPr>
              <w:keepNext/>
              <w:keepLines/>
            </w:pPr>
            <w:r>
              <w:rPr>
                <w:b/>
                <w:sz w:val="16"/>
              </w:rPr>
              <w:t>Forecast impact</w:t>
            </w:r>
          </w:p>
        </w:tc>
      </w:tr>
      <w:tr>
        <w:trPr>
          <w:cantSplit/>
        </w:trPr>
        <w:tc>
          <w:tcPr>
            <w:tcW w:type="dxa" w:w="3513"/>
          </w:tcPr>
          <w:p>
            <w:pPr>
              <w:keepNext/>
              <w:keepLines/>
            </w:pPr>
            <w:r>
              <w:rPr>
                <w:sz w:val="16"/>
              </w:rPr>
              <w:t>Guidance $48.0–52.0M [G2]; consensus $49.0M / $56.6M [E1]</w:t>
            </w:r>
          </w:p>
        </w:tc>
        <w:tc>
          <w:tcPr>
            <w:tcW w:type="dxa" w:w="3513"/>
          </w:tcPr>
          <w:p>
            <w:pPr>
              <w:keepNext/>
              <w:keepLines/>
            </w:pPr>
            <w:r>
              <w:rPr>
                <w:sz w:val="16"/>
              </w:rPr>
              <w:t>Totals FY2026E and FY2027E core = consensus</w:t>
            </w:r>
          </w:p>
        </w:tc>
        <w:tc>
          <w:tcPr>
            <w:tcW w:type="dxa" w:w="3513"/>
          </w:tcPr>
          <w:p>
            <w:pPr>
              <w:keepNext/>
              <w:keepLines/>
            </w:pPr>
            <w:r>
              <w:rPr>
                <w:sz w:val="16"/>
              </w:rPr>
              <w:t>Revenue $49.0M FY2026E</w:t>
            </w:r>
          </w:p>
        </w:tc>
      </w:tr>
      <w:tr>
        <w:trPr>
          <w:cantSplit/>
        </w:trPr>
        <w:tc>
          <w:tcPr>
            <w:tcW w:type="dxa" w:w="3513"/>
          </w:tcPr>
          <w:p>
            <w:pPr>
              <w:keepNext/>
              <w:keepLines/>
            </w:pPr>
            <w:r>
              <w:rPr>
                <w:sz w:val="16"/>
              </w:rPr>
              <w:t>Guidance excludes commercial drug delivery [G3]</w:t>
            </w:r>
          </w:p>
        </w:tc>
        <w:tc>
          <w:tcPr>
            <w:tcW w:type="dxa" w:w="3513"/>
          </w:tcPr>
          <w:p>
            <w:pPr>
              <w:keepNext/>
              <w:keepLines/>
            </w:pPr>
            <w:r>
              <w:rPr>
                <w:sz w:val="16"/>
              </w:rPr>
              <w:t>Procedure line added on top [S19]</w:t>
            </w:r>
          </w:p>
        </w:tc>
        <w:tc>
          <w:tcPr>
            <w:tcW w:type="dxa" w:w="3513"/>
          </w:tcPr>
          <w:p>
            <w:pPr>
              <w:keepNext/>
              <w:keepLines/>
            </w:pPr>
            <w:r>
              <w:rPr>
                <w:sz w:val="16"/>
              </w:rPr>
              <w:t>Double-count risk</w:t>
            </w:r>
          </w:p>
        </w:tc>
      </w:tr>
      <w:tr>
        <w:trPr>
          <w:cantSplit/>
        </w:trPr>
        <w:tc>
          <w:tcPr>
            <w:tcW w:type="dxa" w:w="3513"/>
          </w:tcPr>
          <w:p>
            <w:pPr>
              <w:keepNext/>
              <w:keepLines/>
            </w:pPr>
            <w:r>
              <w:rPr>
                <w:sz w:val="16"/>
              </w:rPr>
              <w:t>15 centres at 1–2/wk; 20–30 centres at 50–100/wk [G7]</w:t>
            </w:r>
          </w:p>
        </w:tc>
        <w:tc>
          <w:tcPr>
            <w:tcW w:type="dxa" w:w="3513"/>
          </w:tcPr>
          <w:p>
            <w:pPr>
              <w:keepNext/>
              <w:keepLines/>
            </w:pPr>
            <w:r>
              <w:rPr>
                <w:sz w:val="16"/>
              </w:rPr>
              <w:t>AMT-130 ramp 330 → 2,500 → 4,500 cap [S20] ★; PD class needs about 74 centres (base) [S43] ★</w:t>
            </w:r>
          </w:p>
        </w:tc>
        <w:tc>
          <w:tcPr>
            <w:tcW w:type="dxa" w:w="3513"/>
          </w:tcPr>
          <w:p>
            <w:pPr>
              <w:keepNext/>
              <w:keepLines/>
            </w:pPr>
            <w:r>
              <w:rPr>
                <w:sz w:val="16"/>
              </w:rPr>
              <w:t>Volumes</w:t>
            </w:r>
          </w:p>
        </w:tc>
      </w:tr>
      <w:tr>
        <w:trPr>
          <w:cantSplit/>
        </w:trPr>
        <w:tc>
          <w:tcPr>
            <w:tcW w:type="dxa" w:w="3513"/>
          </w:tcPr>
          <w:p>
            <w:pPr>
              <w:keepNext/>
              <w:keepLines/>
            </w:pPr>
            <w:r>
              <w:rPr>
                <w:sz w:val="16"/>
              </w:rPr>
              <w:t>David: all procedures $20k [P2]; range $15–25k [G4]</w:t>
            </w:r>
          </w:p>
        </w:tc>
        <w:tc>
          <w:tcPr>
            <w:tcW w:type="dxa" w:w="3513"/>
          </w:tcPr>
          <w:p>
            <w:pPr>
              <w:keepNext/>
              <w:keepLines/>
            </w:pPr>
            <w:r>
              <w:rPr>
                <w:sz w:val="16"/>
              </w:rPr>
              <w:t>$20k</w:t>
            </w:r>
          </w:p>
        </w:tc>
        <w:tc>
          <w:tcPr>
            <w:tcW w:type="dxa" w:w="3513"/>
          </w:tcPr>
          <w:p>
            <w:pPr>
              <w:keepNext/>
              <w:keepLines/>
            </w:pPr>
            <w:r>
              <w:rPr>
                <w:sz w:val="16"/>
              </w:rPr>
              <w:t>Price</w:t>
            </w:r>
          </w:p>
        </w:tc>
      </w:tr>
      <w:tr>
        <w:trPr>
          <w:cantSplit/>
        </w:trPr>
        <w:tc>
          <w:tcPr>
            <w:tcW w:type="dxa" w:w="3513"/>
          </w:tcPr>
          <w:p>
            <w:pPr>
              <w:keepNext/>
              <w:keepLines/>
            </w:pPr>
            <w:r>
              <w:rPr>
                <w:sz w:val="16"/>
              </w:rPr>
              <w:t>About 6,000 treatable at launch [G8]; HD incidence 1.22/100k US, 0.67/100k UK [A7][A8]</w:t>
            </w:r>
          </w:p>
        </w:tc>
        <w:tc>
          <w:tcPr>
            <w:tcW w:type="dxa" w:w="3513"/>
          </w:tcPr>
          <w:p>
            <w:pPr>
              <w:keepNext/>
              <w:keepLines/>
            </w:pPr>
            <w:r>
              <w:rPr>
                <w:sz w:val="16"/>
              </w:rPr>
              <w:t>Pool used up in FY2029E; then 3,000 a year = 73% of US / 66% of US + UK incidence [S30][C25] ★</w:t>
            </w:r>
          </w:p>
        </w:tc>
        <w:tc>
          <w:tcPr>
            <w:tcW w:type="dxa" w:w="3513"/>
          </w:tcPr>
          <w:p>
            <w:pPr>
              <w:keepNext/>
              <w:keepLines/>
            </w:pPr>
            <w:r>
              <w:rPr>
                <w:sz w:val="16"/>
              </w:rPr>
              <w:t>AMT-130 3,170 → 3,000</w:t>
            </w:r>
          </w:p>
        </w:tc>
      </w:tr>
      <w:tr>
        <w:trPr>
          <w:cantSplit/>
        </w:trPr>
        <w:tc>
          <w:tcPr>
            <w:tcW w:type="dxa" w:w="3513"/>
          </w:tcPr>
          <w:p>
            <w:pPr>
              <w:keepNext/>
              <w:keepLines/>
            </w:pPr>
            <w:r>
              <w:rPr>
                <w:sz w:val="16"/>
              </w:rPr>
              <w:t>PD prevalence ≥930,000 (2020) to 1,238,000 (2030) [A30]; mortality, dementia, motor complications, diagnostic accuracy [A31]–[A35]; DBS 3,990 a year [A10]; trials exclude prior DBS, no biological reason found [A41]–[A43]</w:t>
            </w:r>
          </w:p>
        </w:tc>
        <w:tc>
          <w:tcPr>
            <w:tcW w:type="dxa" w:w="3513"/>
          </w:tcPr>
          <w:p>
            <w:pPr>
              <w:keepNext/>
              <w:keepLines/>
            </w:pPr>
            <w:r>
              <w:rPr>
                <w:sz w:val="16"/>
              </w:rPr>
              <w:t>Medically eligible pool about 180,000, DBS patients included [C42][S44] ★; DBS 2.2% of it a year [C49]; 6% a year one-time from FY2029E (about 2.7× DBS) ★, DBS not deducted → class demand 10,800–11,800 [C40][S45]; all on ClearPoint [S63] ★; three-year ramp to demand [S64] ★</w:t>
            </w:r>
          </w:p>
        </w:tc>
        <w:tc>
          <w:tcPr>
            <w:tcW w:type="dxa" w:w="3513"/>
          </w:tcPr>
          <w:p>
            <w:pPr>
              <w:keepNext/>
              <w:keepLines/>
            </w:pPr>
            <w:r>
              <w:rPr>
                <w:sz w:val="16"/>
              </w:rPr>
              <w:t>3,919 / 7,594 / 11,126 FY2029E–31E (bull 8%: 5,225 → 14,272 [C46]; bear capacity ramp to 2,500 in FY2031E, class demand about 8,500 [C55])</w:t>
            </w:r>
          </w:p>
        </w:tc>
      </w:tr>
      <w:tr>
        <w:trPr>
          <w:cantSplit/>
        </w:trPr>
        <w:tc>
          <w:tcPr>
            <w:tcW w:type="dxa" w:w="3513"/>
          </w:tcPr>
          <w:p>
            <w:pPr>
              <w:keepNext/>
              <w:keepLines/>
            </w:pPr>
            <w:r>
              <w:rPr>
                <w:sz w:val="16"/>
              </w:rPr>
              <w:t>CAL handed over Jul 2026; first GLP contract; capacity &gt;$60M vs. ~$8M [D2][G9][G10]</w:t>
            </w:r>
          </w:p>
        </w:tc>
        <w:tc>
          <w:tcPr>
            <w:tcW w:type="dxa" w:w="3513"/>
          </w:tcPr>
          <w:p>
            <w:pPr>
              <w:keepNext/>
              <w:keepLines/>
            </w:pPr>
            <w:r>
              <w:rPr>
                <w:sz w:val="16"/>
              </w:rPr>
              <w:t>CAL uplift $7M → $29M FY2028E–31E [S37]; 20% incremental opex [S38] ★</w:t>
            </w:r>
          </w:p>
        </w:tc>
        <w:tc>
          <w:tcPr>
            <w:tcW w:type="dxa" w:w="3513"/>
          </w:tcPr>
          <w:p>
            <w:pPr>
              <w:keepNext/>
              <w:keepLines/>
            </w:pPr>
            <w:r>
              <w:rPr>
                <w:sz w:val="16"/>
              </w:rPr>
              <w:t>+$29.0M revenue, +$12.4M EBITDA in FY2031E (derived) [C35]</w:t>
            </w:r>
          </w:p>
        </w:tc>
      </w:tr>
      <w:tr>
        <w:trPr>
          <w:cantSplit/>
        </w:trPr>
        <w:tc>
          <w:tcPr>
            <w:tcW w:type="dxa" w:w="3513"/>
          </w:tcPr>
          <w:p>
            <w:pPr>
              <w:keepNext/>
              <w:keepLines/>
            </w:pPr>
            <w:r>
              <w:rPr>
                <w:sz w:val="16"/>
              </w:rPr>
              <w:t>Explicit forecast ends FY2031E (David, Oct 26, 2026) [P3]</w:t>
            </w:r>
          </w:p>
        </w:tc>
        <w:tc>
          <w:tcPr>
            <w:tcW w:type="dxa" w:w="3513"/>
          </w:tcPr>
          <w:p>
            <w:pPr>
              <w:keepNext/>
              <w:keepLines/>
            </w:pPr>
            <w:r>
              <w:rPr>
                <w:sz w:val="16"/>
              </w:rPr>
              <w:t>Valuation: Finagle's fade from FY2032E, growth (gsnext) 15% fading linearly to Finagle's default by FY2040E [P3][S29] ★</w:t>
            </w:r>
          </w:p>
        </w:tc>
        <w:tc>
          <w:tcPr>
            <w:tcW w:type="dxa" w:w="3513"/>
          </w:tcPr>
          <w:p>
            <w:pPr>
              <w:keepNext/>
              <w:keepLines/>
            </w:pPr>
            <w:r>
              <w:rPr>
                <w:sz w:val="16"/>
              </w:rPr>
              <w:t>Finagle revenue growth 15.0% in FY2032E to 6.1% in FY2040E [C65]</w:t>
            </w:r>
          </w:p>
        </w:tc>
      </w:tr>
      <w:tr>
        <w:trPr>
          <w:cantSplit/>
        </w:trPr>
        <w:tc>
          <w:tcPr>
            <w:tcW w:type="dxa" w:w="3513"/>
          </w:tcPr>
          <w:p>
            <w:pPr>
              <w:keepNext/>
              <w:keepLines/>
            </w:pPr>
            <w:r>
              <w:rPr>
                <w:sz w:val="16"/>
              </w:rPr>
              <w:t>AMT-130 action date late Apr/early May 2027 [D9]</w:t>
            </w:r>
          </w:p>
        </w:tc>
        <w:tc>
          <w:tcPr>
            <w:tcW w:type="dxa" w:w="3513"/>
          </w:tcPr>
          <w:p>
            <w:pPr>
              <w:keepNext/>
              <w:keepLines/>
            </w:pPr>
            <w:r>
              <w:rPr>
                <w:sz w:val="16"/>
              </w:rPr>
              <w:t>Launch Q3 2027 [S8]</w:t>
            </w:r>
          </w:p>
        </w:tc>
        <w:tc>
          <w:tcPr>
            <w:tcW w:type="dxa" w:w="3513"/>
          </w:tcPr>
          <w:p>
            <w:pPr>
              <w:keepNext/>
              <w:keepLines/>
            </w:pPr>
            <w:r>
              <w:rPr>
                <w:sz w:val="16"/>
              </w:rPr>
              <w:t>330 in FY2027E</w:t>
            </w:r>
          </w:p>
        </w:tc>
      </w:tr>
      <w:tr>
        <w:trPr>
          <w:cantSplit/>
        </w:trPr>
        <w:tc>
          <w:tcPr>
            <w:tcW w:type="dxa" w:w="3513"/>
          </w:tcPr>
          <w:p>
            <w:pPr>
              <w:keepNext/>
              <w:keepLines/>
            </w:pPr>
            <w:r>
              <w:rPr>
                <w:sz w:val="16"/>
              </w:rPr>
              <w:t>Bayer readout 2028–29 [D19]; gene-therapy launches slow [D22][D23]</w:t>
            </w:r>
          </w:p>
        </w:tc>
        <w:tc>
          <w:tcPr>
            <w:tcW w:type="dxa" w:w="3513"/>
          </w:tcPr>
          <w:p>
            <w:pPr>
              <w:keepNext/>
              <w:keepLines/>
            </w:pPr>
            <w:r>
              <w:rPr>
                <w:sz w:val="16"/>
              </w:rPr>
              <w:t>First class launch (bemdaneprocel) H2 2029 [S20]; three-year ramp to class demand [S64] ★</w:t>
            </w:r>
          </w:p>
        </w:tc>
        <w:tc>
          <w:tcPr>
            <w:tcW w:type="dxa" w:w="3513"/>
          </w:tcPr>
          <w:p>
            <w:pPr>
              <w:keepNext/>
              <w:keepLines/>
            </w:pPr>
            <w:r>
              <w:rPr>
                <w:sz w:val="16"/>
              </w:rPr>
              <w:t>3,919 FY2029E, 7,594 FY2030E, 11,126 FY2031E</w:t>
            </w:r>
          </w:p>
        </w:tc>
      </w:tr>
      <w:tr>
        <w:trPr>
          <w:cantSplit/>
        </w:trPr>
        <w:tc>
          <w:tcPr>
            <w:tcW w:type="dxa" w:w="3513"/>
          </w:tcPr>
          <w:p>
            <w:pPr>
              <w:keepNext/>
              <w:keepLines/>
            </w:pPr>
            <w:r>
              <w:rPr>
                <w:sz w:val="16"/>
              </w:rPr>
              <w:t>Disposables "high margin" [D1]</w:t>
            </w:r>
          </w:p>
        </w:tc>
        <w:tc>
          <w:tcPr>
            <w:tcW w:type="dxa" w:w="3513"/>
          </w:tcPr>
          <w:p>
            <w:pPr>
              <w:keepNext/>
              <w:keepLines/>
            </w:pPr>
            <w:r>
              <w:rPr>
                <w:sz w:val="16"/>
              </w:rPr>
              <w:t>Procedure gross margin 70% [S23] ★</w:t>
            </w:r>
          </w:p>
        </w:tc>
        <w:tc>
          <w:tcPr>
            <w:tcW w:type="dxa" w:w="3513"/>
          </w:tcPr>
          <w:p>
            <w:pPr>
              <w:keepNext/>
              <w:keepLines/>
            </w:pPr>
            <w:r>
              <w:rPr>
                <w:sz w:val="16"/>
              </w:rPr>
              <w:t>Margin rises to about 68%</w:t>
            </w:r>
          </w:p>
        </w:tc>
      </w:tr>
      <w:tr>
        <w:trPr>
          <w:cantSplit/>
        </w:trPr>
        <w:tc>
          <w:tcPr>
            <w:tcW w:type="dxa" w:w="3513"/>
          </w:tcPr>
          <w:p>
            <w:pPr>
              <w:keepNext/>
              <w:keepLines/>
            </w:pPr>
            <w:r>
              <w:rPr>
                <w:sz w:val="16"/>
              </w:rPr>
              <w:t>Specialists and field support needed</w:t>
            </w:r>
          </w:p>
        </w:tc>
        <w:tc>
          <w:tcPr>
            <w:tcW w:type="dxa" w:w="3513"/>
          </w:tcPr>
          <w:p>
            <w:pPr>
              <w:keepNext/>
              <w:keepLines/>
            </w:pPr>
            <w:r>
              <w:rPr>
                <w:sz w:val="16"/>
              </w:rPr>
              <w:t>10% of revenue + $2M per therapy [S24][S25] ★</w:t>
            </w:r>
          </w:p>
        </w:tc>
        <w:tc>
          <w:tcPr>
            <w:tcW w:type="dxa" w:w="3513"/>
          </w:tcPr>
          <w:p>
            <w:pPr>
              <w:keepNext/>
              <w:keepLines/>
            </w:pPr>
            <w:r>
              <w:rPr>
                <w:sz w:val="16"/>
              </w:rPr>
              <w:t>Procedure opex $32.3M in FY2031E (derived)</w:t>
            </w:r>
          </w:p>
        </w:tc>
      </w:tr>
      <w:tr>
        <w:trPr>
          <w:cantSplit/>
        </w:trPr>
        <w:tc>
          <w:tcPr>
            <w:tcW w:type="dxa" w:w="3513"/>
          </w:tcPr>
          <w:p>
            <w:r>
              <w:rPr>
                <w:sz w:val="16"/>
              </w:rPr>
              <w:t>"cash burn to decrease in the second half" [G6]</w:t>
            </w:r>
          </w:p>
        </w:tc>
        <w:tc>
          <w:tcPr>
            <w:tcW w:type="dxa" w:w="3513"/>
          </w:tcPr>
          <w:p>
            <w:r>
              <w:rPr>
                <w:sz w:val="16"/>
              </w:rPr>
              <w:t>Core opex −2% in H2, +6% in FY2027E, +5% after [S14]–[S16]</w:t>
            </w:r>
          </w:p>
        </w:tc>
        <w:tc>
          <w:tcPr>
            <w:tcW w:type="dxa" w:w="3513"/>
          </w:tcPr>
          <w:p>
            <w:r>
              <w:rPr>
                <w:sz w:val="16"/>
              </w:rPr>
              <w:t>EBITDA path</w:t>
            </w:r>
          </w:p>
        </w:tc>
      </w:tr>
    </w:tbl>
    <w:p/>
    <w:p>
      <w:r>
        <w:rPr>
          <w:i/>
        </w:rPr>
        <w:t>Source: tags as shown. ★ = judgment call.</w:t>
      </w:r>
    </w:p>
    <w:p>
      <w:pPr>
        <w:pStyle w:val="Heading4"/>
        <w:keepNext/>
        <w:keepLines/>
      </w:pPr>
      <w:r>
        <w:t>Base case</w:t>
      </w:r>
    </w:p>
    <w:p>
      <w:r>
        <w:t>Figure 5 shows the procedure line reaching 61% of revenue in FY2029E and 69% in FY2031E, with CAL at 7% (derived). Growth peaks in FY2028E–29E as AMT-130 and then the Parkinson's class launch, then slows to 28.3% in FY2031E as the Parkinson's ramp completes. The explicit forecast ends at FY2031E. The underlying line model (forecast.json) also carries an FY2032E year, which is not presented; the valuation uses Finagle's fade from FY2032E instead. Figure 5b shows the same view for the bull case.</w:t>
      </w:r>
    </w:p>
    <w:p>
      <w:pPr>
        <w:keepNext/>
        <w:keepLines/>
      </w:pPr>
      <w:r>
        <w:rPr>
          <w:b/>
        </w:rPr>
        <w:t>Figure 5 – Base case by line</w:t>
      </w:r>
    </w:p>
    <w:tbl>
      <w:tblPr>
        <w:tblStyle w:val="TableGrid"/>
        <w:tblW w:type="auto" w:w="0"/>
        <w:tblLook w:firstColumn="1" w:firstRow="1" w:lastColumn="0" w:lastRow="0" w:noHBand="0" w:noVBand="1" w:val="04A0"/>
      </w:tblPr>
      <w:tblGrid>
        <w:gridCol w:w="1054"/>
        <w:gridCol w:w="1054"/>
        <w:gridCol w:w="1054"/>
        <w:gridCol w:w="1054"/>
        <w:gridCol w:w="1054"/>
        <w:gridCol w:w="1054"/>
        <w:gridCol w:w="1054"/>
        <w:gridCol w:w="1054"/>
        <w:gridCol w:w="1054"/>
        <w:gridCol w:w="1054"/>
      </w:tblGrid>
      <w:tr>
        <w:trPr>
          <w:cantSplit/>
          <w:tblHeader/>
        </w:trPr>
        <w:tc>
          <w:tcPr>
            <w:tcW w:type="dxa" w:w="1054"/>
          </w:tcPr>
          <w:p>
            <w:pPr>
              <w:keepNext/>
              <w:keepLines/>
            </w:pPr>
            <w:r>
              <w:rPr>
                <w:b/>
                <w:sz w:val="14"/>
              </w:rPr>
              <w:t>US$M</w:t>
            </w:r>
          </w:p>
        </w:tc>
        <w:tc>
          <w:tcPr>
            <w:tcW w:type="dxa" w:w="1054"/>
          </w:tcPr>
          <w:p>
            <w:pPr>
              <w:keepNext/>
              <w:keepLines/>
            </w:pPr>
            <w:r>
              <w:rPr>
                <w:b/>
                <w:sz w:val="14"/>
              </w:rPr>
              <w:t>FY2024A</w:t>
            </w:r>
          </w:p>
        </w:tc>
        <w:tc>
          <w:tcPr>
            <w:tcW w:type="dxa" w:w="1054"/>
          </w:tcPr>
          <w:p>
            <w:pPr>
              <w:keepNext/>
              <w:keepLines/>
            </w:pPr>
            <w:r>
              <w:rPr>
                <w:b/>
                <w:sz w:val="14"/>
              </w:rPr>
              <w:t>FY2025A</w:t>
            </w:r>
          </w:p>
        </w:tc>
        <w:tc>
          <w:tcPr>
            <w:tcW w:type="dxa" w:w="1054"/>
          </w:tcPr>
          <w:p>
            <w:pPr>
              <w:keepNext/>
              <w:keepLines/>
            </w:pPr>
            <w:r>
              <w:rPr>
                <w:b/>
                <w:sz w:val="14"/>
              </w:rPr>
              <w:t>H1 2026A</w:t>
            </w:r>
          </w:p>
        </w:tc>
        <w:tc>
          <w:tcPr>
            <w:tcW w:type="dxa" w:w="1054"/>
          </w:tcPr>
          <w:p>
            <w:pPr>
              <w:keepNext/>
              <w:keepLines/>
            </w:pPr>
            <w:r>
              <w:rPr>
                <w:b/>
                <w:sz w:val="14"/>
              </w:rPr>
              <w:t>FY2026E</w:t>
            </w:r>
          </w:p>
        </w:tc>
        <w:tc>
          <w:tcPr>
            <w:tcW w:type="dxa" w:w="1054"/>
          </w:tcPr>
          <w:p>
            <w:pPr>
              <w:keepNext/>
              <w:keepLines/>
            </w:pPr>
            <w:r>
              <w:rPr>
                <w:b/>
                <w:sz w:val="14"/>
              </w:rPr>
              <w:t>FY2027E</w:t>
            </w:r>
          </w:p>
        </w:tc>
        <w:tc>
          <w:tcPr>
            <w:tcW w:type="dxa" w:w="1054"/>
          </w:tcPr>
          <w:p>
            <w:pPr>
              <w:keepNext/>
              <w:keepLines/>
            </w:pPr>
            <w:r>
              <w:rPr>
                <w:b/>
                <w:sz w:val="14"/>
              </w:rPr>
              <w:t>FY2028E</w:t>
            </w:r>
          </w:p>
        </w:tc>
        <w:tc>
          <w:tcPr>
            <w:tcW w:type="dxa" w:w="1054"/>
          </w:tcPr>
          <w:p>
            <w:pPr>
              <w:keepNext/>
              <w:keepLines/>
            </w:pPr>
            <w:r>
              <w:rPr>
                <w:b/>
                <w:sz w:val="14"/>
              </w:rPr>
              <w:t>FY2029E</w:t>
            </w:r>
          </w:p>
        </w:tc>
        <w:tc>
          <w:tcPr>
            <w:tcW w:type="dxa" w:w="1054"/>
          </w:tcPr>
          <w:p>
            <w:pPr>
              <w:keepNext/>
              <w:keepLines/>
            </w:pPr>
            <w:r>
              <w:rPr>
                <w:b/>
                <w:sz w:val="14"/>
              </w:rPr>
              <w:t>FY2030E</w:t>
            </w:r>
          </w:p>
        </w:tc>
        <w:tc>
          <w:tcPr>
            <w:tcW w:type="dxa" w:w="1054"/>
          </w:tcPr>
          <w:p>
            <w:pPr>
              <w:keepNext/>
              <w:keepLines/>
            </w:pPr>
            <w:r>
              <w:rPr>
                <w:b/>
                <w:sz w:val="14"/>
              </w:rPr>
              <w:t>FY2031E</w:t>
            </w:r>
          </w:p>
        </w:tc>
      </w:tr>
      <w:tr>
        <w:trPr>
          <w:cantSplit/>
        </w:trPr>
        <w:tc>
          <w:tcPr>
            <w:tcW w:type="dxa" w:w="1054"/>
          </w:tcPr>
          <w:p>
            <w:pPr>
              <w:keepNext/>
              <w:keepLines/>
            </w:pPr>
            <w:r>
              <w:rPr>
                <w:sz w:val="14"/>
              </w:rPr>
              <w:t>Biologics and drug delivery</w:t>
            </w:r>
          </w:p>
        </w:tc>
        <w:tc>
          <w:tcPr>
            <w:tcW w:type="dxa" w:w="1054"/>
          </w:tcPr>
          <w:p>
            <w:pPr>
              <w:keepNext/>
              <w:keepLines/>
            </w:pPr>
            <w:r>
              <w:rPr>
                <w:sz w:val="14"/>
              </w:rPr>
              <w:t>17.3</w:t>
            </w:r>
          </w:p>
        </w:tc>
        <w:tc>
          <w:tcPr>
            <w:tcW w:type="dxa" w:w="1054"/>
          </w:tcPr>
          <w:p>
            <w:pPr>
              <w:keepNext/>
              <w:keepLines/>
            </w:pPr>
            <w:r>
              <w:rPr>
                <w:sz w:val="14"/>
              </w:rPr>
              <w:t>19.0</w:t>
            </w:r>
          </w:p>
        </w:tc>
        <w:tc>
          <w:tcPr>
            <w:tcW w:type="dxa" w:w="1054"/>
          </w:tcPr>
          <w:p>
            <w:pPr>
              <w:keepNext/>
              <w:keepLines/>
            </w:pPr>
            <w:r>
              <w:rPr>
                <w:sz w:val="14"/>
              </w:rPr>
              <w:t>8.8</w:t>
            </w:r>
          </w:p>
        </w:tc>
        <w:tc>
          <w:tcPr>
            <w:tcW w:type="dxa" w:w="1054"/>
          </w:tcPr>
          <w:p>
            <w:pPr>
              <w:keepNext/>
              <w:keepLines/>
            </w:pPr>
            <w:r>
              <w:rPr>
                <w:sz w:val="14"/>
              </w:rPr>
              <w:t>19.7</w:t>
            </w:r>
          </w:p>
        </w:tc>
        <w:tc>
          <w:tcPr>
            <w:tcW w:type="dxa" w:w="1054"/>
          </w:tcPr>
          <w:p>
            <w:pPr>
              <w:keepNext/>
              <w:keepLines/>
            </w:pPr>
            <w:r>
              <w:rPr>
                <w:sz w:val="14"/>
              </w:rPr>
              <w:t>22.8</w:t>
            </w:r>
          </w:p>
        </w:tc>
        <w:tc>
          <w:tcPr>
            <w:tcW w:type="dxa" w:w="1054"/>
          </w:tcPr>
          <w:p>
            <w:pPr>
              <w:keepNext/>
              <w:keepLines/>
            </w:pPr>
            <w:r>
              <w:rPr>
                <w:sz w:val="14"/>
              </w:rPr>
              <w:t>26.3</w:t>
            </w:r>
          </w:p>
        </w:tc>
        <w:tc>
          <w:tcPr>
            <w:tcW w:type="dxa" w:w="1054"/>
          </w:tcPr>
          <w:p>
            <w:pPr>
              <w:keepNext/>
              <w:keepLines/>
            </w:pPr>
            <w:r>
              <w:rPr>
                <w:sz w:val="14"/>
              </w:rPr>
              <w:t>30.2</w:t>
            </w:r>
          </w:p>
        </w:tc>
        <w:tc>
          <w:tcPr>
            <w:tcW w:type="dxa" w:w="1054"/>
          </w:tcPr>
          <w:p>
            <w:pPr>
              <w:keepNext/>
              <w:keepLines/>
            </w:pPr>
            <w:r>
              <w:rPr>
                <w:sz w:val="14"/>
              </w:rPr>
              <w:t>34.7</w:t>
            </w:r>
          </w:p>
        </w:tc>
        <w:tc>
          <w:tcPr>
            <w:tcW w:type="dxa" w:w="1054"/>
          </w:tcPr>
          <w:p>
            <w:pPr>
              <w:keepNext/>
              <w:keepLines/>
            </w:pPr>
            <w:r>
              <w:rPr>
                <w:sz w:val="14"/>
              </w:rPr>
              <w:t>40.0</w:t>
            </w:r>
          </w:p>
        </w:tc>
      </w:tr>
      <w:tr>
        <w:trPr>
          <w:cantSplit/>
        </w:trPr>
        <w:tc>
          <w:tcPr>
            <w:tcW w:type="dxa" w:w="1054"/>
          </w:tcPr>
          <w:p>
            <w:pPr>
              <w:keepNext/>
              <w:keepLines/>
            </w:pPr>
            <w:r>
              <w:rPr>
                <w:sz w:val="14"/>
              </w:rPr>
              <w:t>Neurosurgery navigation and therapy</w:t>
            </w:r>
          </w:p>
        </w:tc>
        <w:tc>
          <w:tcPr>
            <w:tcW w:type="dxa" w:w="1054"/>
          </w:tcPr>
          <w:p>
            <w:pPr>
              <w:keepNext/>
              <w:keepLines/>
            </w:pPr>
            <w:r>
              <w:rPr>
                <w:sz w:val="14"/>
              </w:rPr>
              <w:t>10.3</w:t>
            </w:r>
          </w:p>
        </w:tc>
        <w:tc>
          <w:tcPr>
            <w:tcW w:type="dxa" w:w="1054"/>
          </w:tcPr>
          <w:p>
            <w:pPr>
              <w:keepNext/>
              <w:keepLines/>
            </w:pPr>
            <w:r>
              <w:rPr>
                <w:sz w:val="14"/>
              </w:rPr>
              <w:t>14.8</w:t>
            </w:r>
          </w:p>
        </w:tc>
        <w:tc>
          <w:tcPr>
            <w:tcW w:type="dxa" w:w="1054"/>
          </w:tcPr>
          <w:p>
            <w:pPr>
              <w:keepNext/>
              <w:keepLines/>
            </w:pPr>
            <w:r>
              <w:rPr>
                <w:sz w:val="14"/>
              </w:rPr>
              <w:t>11.4</w:t>
            </w:r>
          </w:p>
        </w:tc>
        <w:tc>
          <w:tcPr>
            <w:tcW w:type="dxa" w:w="1054"/>
          </w:tcPr>
          <w:p>
            <w:pPr>
              <w:keepNext/>
              <w:keepLines/>
            </w:pPr>
            <w:r>
              <w:rPr>
                <w:sz w:val="14"/>
              </w:rPr>
              <w:t>23.7</w:t>
            </w:r>
          </w:p>
        </w:tc>
        <w:tc>
          <w:tcPr>
            <w:tcW w:type="dxa" w:w="1054"/>
          </w:tcPr>
          <w:p>
            <w:pPr>
              <w:keepNext/>
              <w:keepLines/>
            </w:pPr>
            <w:r>
              <w:rPr>
                <w:sz w:val="14"/>
              </w:rPr>
              <w:t>27.5</w:t>
            </w:r>
          </w:p>
        </w:tc>
        <w:tc>
          <w:tcPr>
            <w:tcW w:type="dxa" w:w="1054"/>
          </w:tcPr>
          <w:p>
            <w:pPr>
              <w:keepNext/>
              <w:keepLines/>
            </w:pPr>
            <w:r>
              <w:rPr>
                <w:sz w:val="14"/>
              </w:rPr>
              <w:t>31.7</w:t>
            </w:r>
          </w:p>
        </w:tc>
        <w:tc>
          <w:tcPr>
            <w:tcW w:type="dxa" w:w="1054"/>
          </w:tcPr>
          <w:p>
            <w:pPr>
              <w:keepNext/>
              <w:keepLines/>
            </w:pPr>
            <w:r>
              <w:rPr>
                <w:sz w:val="14"/>
              </w:rPr>
              <w:t>36.4</w:t>
            </w:r>
          </w:p>
        </w:tc>
        <w:tc>
          <w:tcPr>
            <w:tcW w:type="dxa" w:w="1054"/>
          </w:tcPr>
          <w:p>
            <w:pPr>
              <w:keepNext/>
              <w:keepLines/>
            </w:pPr>
            <w:r>
              <w:rPr>
                <w:sz w:val="14"/>
              </w:rPr>
              <w:t>41.9</w:t>
            </w:r>
          </w:p>
        </w:tc>
        <w:tc>
          <w:tcPr>
            <w:tcW w:type="dxa" w:w="1054"/>
          </w:tcPr>
          <w:p>
            <w:pPr>
              <w:keepNext/>
              <w:keepLines/>
            </w:pPr>
            <w:r>
              <w:rPr>
                <w:sz w:val="14"/>
              </w:rPr>
              <w:t>48.2</w:t>
            </w:r>
          </w:p>
        </w:tc>
      </w:tr>
      <w:tr>
        <w:trPr>
          <w:cantSplit/>
        </w:trPr>
        <w:tc>
          <w:tcPr>
            <w:tcW w:type="dxa" w:w="1054"/>
          </w:tcPr>
          <w:p>
            <w:pPr>
              <w:keepNext/>
              <w:keepLines/>
            </w:pPr>
            <w:r>
              <w:rPr>
                <w:sz w:val="14"/>
              </w:rPr>
              <w:t>Capital equipment and software</w:t>
            </w:r>
          </w:p>
        </w:tc>
        <w:tc>
          <w:tcPr>
            <w:tcW w:type="dxa" w:w="1054"/>
          </w:tcPr>
          <w:p>
            <w:pPr>
              <w:keepNext/>
              <w:keepLines/>
            </w:pPr>
            <w:r>
              <w:rPr>
                <w:sz w:val="14"/>
              </w:rPr>
              <w:t>3.8</w:t>
            </w:r>
          </w:p>
        </w:tc>
        <w:tc>
          <w:tcPr>
            <w:tcW w:type="dxa" w:w="1054"/>
          </w:tcPr>
          <w:p>
            <w:pPr>
              <w:keepNext/>
              <w:keepLines/>
            </w:pPr>
            <w:r>
              <w:rPr>
                <w:sz w:val="14"/>
              </w:rPr>
              <w:t>3.1</w:t>
            </w:r>
          </w:p>
        </w:tc>
        <w:tc>
          <w:tcPr>
            <w:tcW w:type="dxa" w:w="1054"/>
          </w:tcPr>
          <w:p>
            <w:pPr>
              <w:keepNext/>
              <w:keepLines/>
            </w:pPr>
            <w:r>
              <w:rPr>
                <w:sz w:val="14"/>
              </w:rPr>
              <w:t>2.7</w:t>
            </w:r>
          </w:p>
        </w:tc>
        <w:tc>
          <w:tcPr>
            <w:tcW w:type="dxa" w:w="1054"/>
          </w:tcPr>
          <w:p>
            <w:pPr>
              <w:keepNext/>
              <w:keepLines/>
            </w:pPr>
            <w:r>
              <w:rPr>
                <w:sz w:val="14"/>
              </w:rPr>
              <w:t>5.7</w:t>
            </w:r>
          </w:p>
        </w:tc>
        <w:tc>
          <w:tcPr>
            <w:tcW w:type="dxa" w:w="1054"/>
          </w:tcPr>
          <w:p>
            <w:pPr>
              <w:keepNext/>
              <w:keepLines/>
            </w:pPr>
            <w:r>
              <w:rPr>
                <w:sz w:val="14"/>
              </w:rPr>
              <w:t>6.2</w:t>
            </w:r>
          </w:p>
        </w:tc>
        <w:tc>
          <w:tcPr>
            <w:tcW w:type="dxa" w:w="1054"/>
          </w:tcPr>
          <w:p>
            <w:pPr>
              <w:keepNext/>
              <w:keepLines/>
            </w:pPr>
            <w:r>
              <w:rPr>
                <w:sz w:val="14"/>
              </w:rPr>
              <w:t>7.1</w:t>
            </w:r>
          </w:p>
        </w:tc>
        <w:tc>
          <w:tcPr>
            <w:tcW w:type="dxa" w:w="1054"/>
          </w:tcPr>
          <w:p>
            <w:pPr>
              <w:keepNext/>
              <w:keepLines/>
            </w:pPr>
            <w:r>
              <w:rPr>
                <w:sz w:val="14"/>
              </w:rPr>
              <w:t>8.2</w:t>
            </w:r>
          </w:p>
        </w:tc>
        <w:tc>
          <w:tcPr>
            <w:tcW w:type="dxa" w:w="1054"/>
          </w:tcPr>
          <w:p>
            <w:pPr>
              <w:keepNext/>
              <w:keepLines/>
            </w:pPr>
            <w:r>
              <w:rPr>
                <w:sz w:val="14"/>
              </w:rPr>
              <w:t>9.4</w:t>
            </w:r>
          </w:p>
        </w:tc>
        <w:tc>
          <w:tcPr>
            <w:tcW w:type="dxa" w:w="1054"/>
          </w:tcPr>
          <w:p>
            <w:pPr>
              <w:keepNext/>
              <w:keepLines/>
            </w:pPr>
            <w:r>
              <w:rPr>
                <w:sz w:val="14"/>
              </w:rPr>
              <w:t>10.8</w:t>
            </w:r>
          </w:p>
        </w:tc>
      </w:tr>
      <w:tr>
        <w:trPr>
          <w:cantSplit/>
        </w:trPr>
        <w:tc>
          <w:tcPr>
            <w:tcW w:type="dxa" w:w="1054"/>
          </w:tcPr>
          <w:p>
            <w:pPr>
              <w:keepNext/>
              <w:keepLines/>
            </w:pPr>
            <w:r>
              <w:rPr>
                <w:sz w:val="14"/>
              </w:rPr>
              <w:t>Commercial drug delivery (AMT-130, Parkinson's class) [scenario]</w:t>
            </w:r>
          </w:p>
        </w:tc>
        <w:tc>
          <w:tcPr>
            <w:tcW w:type="dxa" w:w="1054"/>
          </w:tcPr>
          <w:p>
            <w:pPr>
              <w:keepNext/>
              <w:keepLines/>
            </w:pPr>
            <w:r>
              <w:rPr>
                <w:sz w:val="14"/>
              </w:rPr>
              <w:t>–</w:t>
            </w:r>
          </w:p>
        </w:tc>
        <w:tc>
          <w:tcPr>
            <w:tcW w:type="dxa" w:w="1054"/>
          </w:tcPr>
          <w:p>
            <w:pPr>
              <w:keepNext/>
              <w:keepLines/>
            </w:pPr>
            <w:r>
              <w:rPr>
                <w:sz w:val="14"/>
              </w:rPr>
              <w:t>–</w:t>
            </w:r>
          </w:p>
        </w:tc>
        <w:tc>
          <w:tcPr>
            <w:tcW w:type="dxa" w:w="1054"/>
          </w:tcPr>
          <w:p>
            <w:pPr>
              <w:keepNext/>
              <w:keepLines/>
            </w:pPr>
            <w:r>
              <w:rPr>
                <w:sz w:val="14"/>
              </w:rPr>
              <w:t>–</w:t>
            </w:r>
          </w:p>
        </w:tc>
        <w:tc>
          <w:tcPr>
            <w:tcW w:type="dxa" w:w="1054"/>
          </w:tcPr>
          <w:p>
            <w:pPr>
              <w:keepNext/>
              <w:keepLines/>
            </w:pPr>
            <w:r>
              <w:rPr>
                <w:sz w:val="14"/>
              </w:rPr>
              <w:t>–</w:t>
            </w:r>
          </w:p>
        </w:tc>
        <w:tc>
          <w:tcPr>
            <w:tcW w:type="dxa" w:w="1054"/>
          </w:tcPr>
          <w:p>
            <w:pPr>
              <w:keepNext/>
              <w:keepLines/>
            </w:pPr>
            <w:r>
              <w:rPr>
                <w:sz w:val="14"/>
              </w:rPr>
              <w:t>6.6</w:t>
            </w:r>
          </w:p>
        </w:tc>
        <w:tc>
          <w:tcPr>
            <w:tcW w:type="dxa" w:w="1054"/>
          </w:tcPr>
          <w:p>
            <w:pPr>
              <w:keepNext/>
              <w:keepLines/>
            </w:pPr>
            <w:r>
              <w:rPr>
                <w:sz w:val="14"/>
              </w:rPr>
              <w:t>50.0</w:t>
            </w:r>
          </w:p>
        </w:tc>
        <w:tc>
          <w:tcPr>
            <w:tcW w:type="dxa" w:w="1054"/>
          </w:tcPr>
          <w:p>
            <w:pPr>
              <w:keepNext/>
              <w:keepLines/>
            </w:pPr>
            <w:r>
              <w:rPr>
                <w:sz w:val="14"/>
              </w:rPr>
              <w:t>141.8</w:t>
            </w:r>
          </w:p>
        </w:tc>
        <w:tc>
          <w:tcPr>
            <w:tcW w:type="dxa" w:w="1054"/>
          </w:tcPr>
          <w:p>
            <w:pPr>
              <w:keepNext/>
              <w:keepLines/>
            </w:pPr>
            <w:r>
              <w:rPr>
                <w:sz w:val="14"/>
              </w:rPr>
              <w:t>211.9</w:t>
            </w:r>
          </w:p>
        </w:tc>
        <w:tc>
          <w:tcPr>
            <w:tcW w:type="dxa" w:w="1054"/>
          </w:tcPr>
          <w:p>
            <w:pPr>
              <w:keepNext/>
              <w:keepLines/>
            </w:pPr>
            <w:r>
              <w:rPr>
                <w:sz w:val="14"/>
              </w:rPr>
              <w:t>282.5</w:t>
            </w:r>
          </w:p>
        </w:tc>
      </w:tr>
      <w:tr>
        <w:trPr>
          <w:cantSplit/>
        </w:trPr>
        <w:tc>
          <w:tcPr>
            <w:tcW w:type="dxa" w:w="1054"/>
          </w:tcPr>
          <w:p>
            <w:pPr>
              <w:keepNext/>
              <w:keepLines/>
            </w:pPr>
            <w:r>
              <w:rPr>
                <w:sz w:val="14"/>
              </w:rPr>
              <w:t>Preclinical services uplift, CAL GLP facility [scenario]</w:t>
            </w:r>
          </w:p>
        </w:tc>
        <w:tc>
          <w:tcPr>
            <w:tcW w:type="dxa" w:w="1054"/>
          </w:tcPr>
          <w:p>
            <w:pPr>
              <w:keepNext/>
              <w:keepLines/>
            </w:pPr>
            <w:r>
              <w:rPr>
                <w:sz w:val="14"/>
              </w:rPr>
              <w:t>–</w:t>
            </w:r>
          </w:p>
        </w:tc>
        <w:tc>
          <w:tcPr>
            <w:tcW w:type="dxa" w:w="1054"/>
          </w:tcPr>
          <w:p>
            <w:pPr>
              <w:keepNext/>
              <w:keepLines/>
            </w:pPr>
            <w:r>
              <w:rPr>
                <w:sz w:val="14"/>
              </w:rPr>
              <w:t>–</w:t>
            </w:r>
          </w:p>
        </w:tc>
        <w:tc>
          <w:tcPr>
            <w:tcW w:type="dxa" w:w="1054"/>
          </w:tcPr>
          <w:p>
            <w:pPr>
              <w:keepNext/>
              <w:keepLines/>
            </w:pPr>
            <w:r>
              <w:rPr>
                <w:sz w:val="14"/>
              </w:rPr>
              <w:t>–</w:t>
            </w:r>
          </w:p>
        </w:tc>
        <w:tc>
          <w:tcPr>
            <w:tcW w:type="dxa" w:w="1054"/>
          </w:tcPr>
          <w:p>
            <w:pPr>
              <w:keepNext/>
              <w:keepLines/>
            </w:pPr>
            <w:r>
              <w:rPr>
                <w:sz w:val="14"/>
              </w:rPr>
              <w:t>–</w:t>
            </w:r>
          </w:p>
        </w:tc>
        <w:tc>
          <w:tcPr>
            <w:tcW w:type="dxa" w:w="1054"/>
          </w:tcPr>
          <w:p>
            <w:pPr>
              <w:keepNext/>
              <w:keepLines/>
            </w:pPr>
            <w:r>
              <w:rPr>
                <w:sz w:val="14"/>
              </w:rPr>
              <w:t>–</w:t>
            </w:r>
          </w:p>
        </w:tc>
        <w:tc>
          <w:tcPr>
            <w:tcW w:type="dxa" w:w="1054"/>
          </w:tcPr>
          <w:p>
            <w:pPr>
              <w:keepNext/>
              <w:keepLines/>
            </w:pPr>
            <w:r>
              <w:rPr>
                <w:sz w:val="14"/>
              </w:rPr>
              <w:t>7.0</w:t>
            </w:r>
          </w:p>
        </w:tc>
        <w:tc>
          <w:tcPr>
            <w:tcW w:type="dxa" w:w="1054"/>
          </w:tcPr>
          <w:p>
            <w:pPr>
              <w:keepNext/>
              <w:keepLines/>
            </w:pPr>
            <w:r>
              <w:rPr>
                <w:sz w:val="14"/>
              </w:rPr>
              <w:t>14.0</w:t>
            </w:r>
          </w:p>
        </w:tc>
        <w:tc>
          <w:tcPr>
            <w:tcW w:type="dxa" w:w="1054"/>
          </w:tcPr>
          <w:p>
            <w:pPr>
              <w:keepNext/>
              <w:keepLines/>
            </w:pPr>
            <w:r>
              <w:rPr>
                <w:sz w:val="14"/>
              </w:rPr>
              <w:t>22.0</w:t>
            </w:r>
          </w:p>
        </w:tc>
        <w:tc>
          <w:tcPr>
            <w:tcW w:type="dxa" w:w="1054"/>
          </w:tcPr>
          <w:p>
            <w:pPr>
              <w:keepNext/>
              <w:keepLines/>
            </w:pPr>
            <w:r>
              <w:rPr>
                <w:sz w:val="14"/>
              </w:rPr>
              <w:t>29.0</w:t>
            </w:r>
          </w:p>
        </w:tc>
      </w:tr>
      <w:tr>
        <w:trPr>
          <w:cantSplit/>
        </w:trPr>
        <w:tc>
          <w:tcPr>
            <w:tcW w:type="dxa" w:w="1054"/>
          </w:tcPr>
          <w:p>
            <w:pPr>
              <w:keepNext/>
              <w:keepLines/>
            </w:pPr>
            <w:r>
              <w:rPr>
                <w:b/>
                <w:sz w:val="14"/>
              </w:rPr>
              <w:t>Total revenue</w:t>
            </w:r>
          </w:p>
        </w:tc>
        <w:tc>
          <w:tcPr>
            <w:tcW w:type="dxa" w:w="1054"/>
          </w:tcPr>
          <w:p>
            <w:pPr>
              <w:keepNext/>
              <w:keepLines/>
            </w:pPr>
            <w:r>
              <w:rPr>
                <w:b/>
                <w:sz w:val="14"/>
              </w:rPr>
              <w:t>31.4</w:t>
            </w:r>
          </w:p>
        </w:tc>
        <w:tc>
          <w:tcPr>
            <w:tcW w:type="dxa" w:w="1054"/>
          </w:tcPr>
          <w:p>
            <w:pPr>
              <w:keepNext/>
              <w:keepLines/>
            </w:pPr>
            <w:r>
              <w:rPr>
                <w:b/>
                <w:sz w:val="14"/>
              </w:rPr>
              <w:t>37.0</w:t>
            </w:r>
          </w:p>
        </w:tc>
        <w:tc>
          <w:tcPr>
            <w:tcW w:type="dxa" w:w="1054"/>
          </w:tcPr>
          <w:p>
            <w:pPr>
              <w:keepNext/>
              <w:keepLines/>
            </w:pPr>
            <w:r>
              <w:rPr>
                <w:b/>
                <w:sz w:val="14"/>
              </w:rPr>
              <w:t>23.0</w:t>
            </w:r>
          </w:p>
        </w:tc>
        <w:tc>
          <w:tcPr>
            <w:tcW w:type="dxa" w:w="1054"/>
          </w:tcPr>
          <w:p>
            <w:pPr>
              <w:keepNext/>
              <w:keepLines/>
            </w:pPr>
            <w:r>
              <w:rPr>
                <w:b/>
                <w:sz w:val="14"/>
              </w:rPr>
              <w:t>49.0</w:t>
            </w:r>
          </w:p>
        </w:tc>
        <w:tc>
          <w:tcPr>
            <w:tcW w:type="dxa" w:w="1054"/>
          </w:tcPr>
          <w:p>
            <w:pPr>
              <w:keepNext/>
              <w:keepLines/>
            </w:pPr>
            <w:r>
              <w:rPr>
                <w:b/>
                <w:sz w:val="14"/>
              </w:rPr>
              <w:t>63.1</w:t>
            </w:r>
          </w:p>
        </w:tc>
        <w:tc>
          <w:tcPr>
            <w:tcW w:type="dxa" w:w="1054"/>
          </w:tcPr>
          <w:p>
            <w:pPr>
              <w:keepNext/>
              <w:keepLines/>
            </w:pPr>
            <w:r>
              <w:rPr>
                <w:b/>
                <w:sz w:val="14"/>
              </w:rPr>
              <w:t>122.0</w:t>
            </w:r>
          </w:p>
        </w:tc>
        <w:tc>
          <w:tcPr>
            <w:tcW w:type="dxa" w:w="1054"/>
          </w:tcPr>
          <w:p>
            <w:pPr>
              <w:keepNext/>
              <w:keepLines/>
            </w:pPr>
            <w:r>
              <w:rPr>
                <w:b/>
                <w:sz w:val="14"/>
              </w:rPr>
              <w:t>230.6</w:t>
            </w:r>
          </w:p>
        </w:tc>
        <w:tc>
          <w:tcPr>
            <w:tcW w:type="dxa" w:w="1054"/>
          </w:tcPr>
          <w:p>
            <w:pPr>
              <w:keepNext/>
              <w:keepLines/>
            </w:pPr>
            <w:r>
              <w:rPr>
                <w:b/>
                <w:sz w:val="14"/>
              </w:rPr>
              <w:t>319.9</w:t>
            </w:r>
          </w:p>
        </w:tc>
        <w:tc>
          <w:tcPr>
            <w:tcW w:type="dxa" w:w="1054"/>
          </w:tcPr>
          <w:p>
            <w:pPr>
              <w:keepNext/>
              <w:keepLines/>
            </w:pPr>
            <w:r>
              <w:rPr>
                <w:b/>
                <w:sz w:val="14"/>
              </w:rPr>
              <w:t>410.4</w:t>
            </w:r>
          </w:p>
        </w:tc>
      </w:tr>
      <w:tr>
        <w:trPr>
          <w:cantSplit/>
        </w:trPr>
        <w:tc>
          <w:tcPr>
            <w:tcW w:type="dxa" w:w="1054"/>
          </w:tcPr>
          <w:p>
            <w:pPr>
              <w:keepNext/>
              <w:keepLines/>
            </w:pPr>
            <w:r>
              <w:rPr>
                <w:sz w:val="14"/>
              </w:rPr>
              <w:t>Growth</w:t>
            </w:r>
          </w:p>
        </w:tc>
        <w:tc>
          <w:tcPr>
            <w:tcW w:type="dxa" w:w="1054"/>
          </w:tcPr>
          <w:p>
            <w:pPr>
              <w:keepNext/>
              <w:keepLines/>
            </w:pPr>
            <w:r>
              <w:rPr>
                <w:sz w:val="14"/>
              </w:rPr>
              <w:t>–</w:t>
            </w:r>
          </w:p>
        </w:tc>
        <w:tc>
          <w:tcPr>
            <w:tcW w:type="dxa" w:w="1054"/>
          </w:tcPr>
          <w:p>
            <w:pPr>
              <w:keepNext/>
              <w:keepLines/>
            </w:pPr>
            <w:r>
              <w:rPr>
                <w:sz w:val="14"/>
              </w:rPr>
              <w:t>17.8%</w:t>
            </w:r>
          </w:p>
        </w:tc>
        <w:tc>
          <w:tcPr>
            <w:tcW w:type="dxa" w:w="1054"/>
          </w:tcPr>
          <w:p>
            <w:pPr>
              <w:keepNext/>
              <w:keepLines/>
            </w:pPr>
            <w:r>
              <w:rPr>
                <w:sz w:val="14"/>
              </w:rPr>
              <w:t>30.0%</w:t>
            </w:r>
          </w:p>
        </w:tc>
        <w:tc>
          <w:tcPr>
            <w:tcW w:type="dxa" w:w="1054"/>
          </w:tcPr>
          <w:p>
            <w:pPr>
              <w:keepNext/>
              <w:keepLines/>
            </w:pPr>
            <w:r>
              <w:rPr>
                <w:sz w:val="14"/>
              </w:rPr>
              <w:t>32.5%</w:t>
            </w:r>
          </w:p>
        </w:tc>
        <w:tc>
          <w:tcPr>
            <w:tcW w:type="dxa" w:w="1054"/>
          </w:tcPr>
          <w:p>
            <w:pPr>
              <w:keepNext/>
              <w:keepLines/>
            </w:pPr>
            <w:r>
              <w:rPr>
                <w:sz w:val="14"/>
              </w:rPr>
              <w:t>28.9%</w:t>
            </w:r>
          </w:p>
        </w:tc>
        <w:tc>
          <w:tcPr>
            <w:tcW w:type="dxa" w:w="1054"/>
          </w:tcPr>
          <w:p>
            <w:pPr>
              <w:keepNext/>
              <w:keepLines/>
            </w:pPr>
            <w:r>
              <w:rPr>
                <w:sz w:val="14"/>
              </w:rPr>
              <w:t>93.2%</w:t>
            </w:r>
          </w:p>
        </w:tc>
        <w:tc>
          <w:tcPr>
            <w:tcW w:type="dxa" w:w="1054"/>
          </w:tcPr>
          <w:p>
            <w:pPr>
              <w:keepNext/>
              <w:keepLines/>
            </w:pPr>
            <w:r>
              <w:rPr>
                <w:sz w:val="14"/>
              </w:rPr>
              <w:t>88.9%</w:t>
            </w:r>
          </w:p>
        </w:tc>
        <w:tc>
          <w:tcPr>
            <w:tcW w:type="dxa" w:w="1054"/>
          </w:tcPr>
          <w:p>
            <w:pPr>
              <w:keepNext/>
              <w:keepLines/>
            </w:pPr>
            <w:r>
              <w:rPr>
                <w:sz w:val="14"/>
              </w:rPr>
              <w:t>38.7%</w:t>
            </w:r>
          </w:p>
        </w:tc>
        <w:tc>
          <w:tcPr>
            <w:tcW w:type="dxa" w:w="1054"/>
          </w:tcPr>
          <w:p>
            <w:pPr>
              <w:keepNext/>
              <w:keepLines/>
            </w:pPr>
            <w:r>
              <w:rPr>
                <w:sz w:val="14"/>
              </w:rPr>
              <w:t>28.3%</w:t>
            </w:r>
          </w:p>
        </w:tc>
      </w:tr>
      <w:tr>
        <w:trPr>
          <w:cantSplit/>
        </w:trPr>
        <w:tc>
          <w:tcPr>
            <w:tcW w:type="dxa" w:w="1054"/>
          </w:tcPr>
          <w:p>
            <w:pPr>
              <w:keepNext/>
              <w:keepLines/>
            </w:pPr>
            <w:r>
              <w:rPr>
                <w:sz w:val="14"/>
              </w:rPr>
              <w:t>EBITDA (before SBC)</w:t>
            </w:r>
          </w:p>
        </w:tc>
        <w:tc>
          <w:tcPr>
            <w:tcW w:type="dxa" w:w="1054"/>
          </w:tcPr>
          <w:p>
            <w:pPr>
              <w:keepNext/>
              <w:keepLines/>
            </w:pPr>
            <w:r>
              <w:rPr>
                <w:sz w:val="14"/>
              </w:rPr>
              <w:t>–</w:t>
            </w:r>
          </w:p>
        </w:tc>
        <w:tc>
          <w:tcPr>
            <w:tcW w:type="dxa" w:w="1054"/>
          </w:tcPr>
          <w:p>
            <w:pPr>
              <w:keepNext/>
              <w:keepLines/>
            </w:pPr>
            <w:r>
              <w:rPr>
                <w:sz w:val="14"/>
              </w:rPr>
              <w:t>−15.2</w:t>
            </w:r>
          </w:p>
        </w:tc>
        <w:tc>
          <w:tcPr>
            <w:tcW w:type="dxa" w:w="1054"/>
          </w:tcPr>
          <w:p>
            <w:pPr>
              <w:keepNext/>
              <w:keepLines/>
            </w:pPr>
            <w:r>
              <w:rPr>
                <w:sz w:val="14"/>
              </w:rPr>
              <w:t>−13.0</w:t>
            </w:r>
          </w:p>
        </w:tc>
        <w:tc>
          <w:tcPr>
            <w:tcW w:type="dxa" w:w="1054"/>
          </w:tcPr>
          <w:p>
            <w:pPr>
              <w:keepNext/>
              <w:keepLines/>
            </w:pPr>
            <w:r>
              <w:rPr>
                <w:sz w:val="14"/>
              </w:rPr>
              <w:t>−23.6</w:t>
            </w:r>
          </w:p>
        </w:tc>
        <w:tc>
          <w:tcPr>
            <w:tcW w:type="dxa" w:w="1054"/>
          </w:tcPr>
          <w:p>
            <w:pPr>
              <w:keepNext/>
              <w:keepLines/>
            </w:pPr>
            <w:r>
              <w:rPr>
                <w:sz w:val="14"/>
              </w:rPr>
              <w:t>−19.5</w:t>
            </w:r>
          </w:p>
        </w:tc>
        <w:tc>
          <w:tcPr>
            <w:tcW w:type="dxa" w:w="1054"/>
          </w:tcPr>
          <w:p>
            <w:pPr>
              <w:keepNext/>
              <w:keepLines/>
            </w:pPr>
            <w:r>
              <w:rPr>
                <w:sz w:val="14"/>
              </w:rPr>
              <w:t>12.0</w:t>
            </w:r>
          </w:p>
        </w:tc>
        <w:tc>
          <w:tcPr>
            <w:tcW w:type="dxa" w:w="1054"/>
          </w:tcPr>
          <w:p>
            <w:pPr>
              <w:keepNext/>
              <w:keepLines/>
            </w:pPr>
            <w:r>
              <w:rPr>
                <w:sz w:val="14"/>
              </w:rPr>
              <w:t>71.2</w:t>
            </w:r>
          </w:p>
        </w:tc>
        <w:tc>
          <w:tcPr>
            <w:tcW w:type="dxa" w:w="1054"/>
          </w:tcPr>
          <w:p>
            <w:pPr>
              <w:keepNext/>
              <w:keepLines/>
            </w:pPr>
            <w:r>
              <w:rPr>
                <w:sz w:val="14"/>
              </w:rPr>
              <w:t>120.6</w:t>
            </w:r>
          </w:p>
        </w:tc>
        <w:tc>
          <w:tcPr>
            <w:tcW w:type="dxa" w:w="1054"/>
          </w:tcPr>
          <w:p>
            <w:pPr>
              <w:keepNext/>
              <w:keepLines/>
            </w:pPr>
            <w:r>
              <w:rPr>
                <w:sz w:val="14"/>
              </w:rPr>
              <w:t>170.8</w:t>
            </w:r>
          </w:p>
        </w:tc>
      </w:tr>
      <w:tr>
        <w:trPr>
          <w:cantSplit/>
        </w:trPr>
        <w:tc>
          <w:tcPr>
            <w:tcW w:type="dxa" w:w="1054"/>
          </w:tcPr>
          <w:p>
            <w:r>
              <w:rPr>
                <w:sz w:val="14"/>
              </w:rPr>
              <w:t>EBITDA margin</w:t>
            </w:r>
          </w:p>
        </w:tc>
        <w:tc>
          <w:tcPr>
            <w:tcW w:type="dxa" w:w="1054"/>
          </w:tcPr>
          <w:p>
            <w:r>
              <w:rPr>
                <w:sz w:val="14"/>
              </w:rPr>
              <w:t>–</w:t>
            </w:r>
          </w:p>
        </w:tc>
        <w:tc>
          <w:tcPr>
            <w:tcW w:type="dxa" w:w="1054"/>
          </w:tcPr>
          <w:p>
            <w:r>
              <w:rPr>
                <w:sz w:val="14"/>
              </w:rPr>
              <w:t>−41.0%</w:t>
            </w:r>
          </w:p>
        </w:tc>
        <w:tc>
          <w:tcPr>
            <w:tcW w:type="dxa" w:w="1054"/>
          </w:tcPr>
          <w:p>
            <w:r>
              <w:rPr>
                <w:sz w:val="14"/>
              </w:rPr>
              <w:t>−56.5%</w:t>
            </w:r>
          </w:p>
        </w:tc>
        <w:tc>
          <w:tcPr>
            <w:tcW w:type="dxa" w:w="1054"/>
          </w:tcPr>
          <w:p>
            <w:r>
              <w:rPr>
                <w:sz w:val="14"/>
              </w:rPr>
              <w:t>−48.1%</w:t>
            </w:r>
          </w:p>
        </w:tc>
        <w:tc>
          <w:tcPr>
            <w:tcW w:type="dxa" w:w="1054"/>
          </w:tcPr>
          <w:p>
            <w:r>
              <w:rPr>
                <w:sz w:val="14"/>
              </w:rPr>
              <w:t>−30.9%</w:t>
            </w:r>
          </w:p>
        </w:tc>
        <w:tc>
          <w:tcPr>
            <w:tcW w:type="dxa" w:w="1054"/>
          </w:tcPr>
          <w:p>
            <w:r>
              <w:rPr>
                <w:sz w:val="14"/>
              </w:rPr>
              <w:t>9.8%</w:t>
            </w:r>
          </w:p>
        </w:tc>
        <w:tc>
          <w:tcPr>
            <w:tcW w:type="dxa" w:w="1054"/>
          </w:tcPr>
          <w:p>
            <w:r>
              <w:rPr>
                <w:sz w:val="14"/>
              </w:rPr>
              <w:t>30.9%</w:t>
            </w:r>
          </w:p>
        </w:tc>
        <w:tc>
          <w:tcPr>
            <w:tcW w:type="dxa" w:w="1054"/>
          </w:tcPr>
          <w:p>
            <w:r>
              <w:rPr>
                <w:sz w:val="14"/>
              </w:rPr>
              <w:t>37.7%</w:t>
            </w:r>
          </w:p>
        </w:tc>
        <w:tc>
          <w:tcPr>
            <w:tcW w:type="dxa" w:w="1054"/>
          </w:tcPr>
          <w:p>
            <w:r>
              <w:rPr>
                <w:sz w:val="14"/>
              </w:rPr>
              <w:t>41.6%</w:t>
            </w:r>
          </w:p>
        </w:tc>
      </w:tr>
    </w:tbl>
    <w:p/>
    <w:p>
      <w:pPr>
        <w:keepNext/>
        <w:keepLines/>
      </w:pPr>
      <w:r>
        <w:rPr>
          <w:i/>
        </w:rPr>
        <w:t>Source: A1–A4, C2, C5, C7, C9, C10, S1–S7, S15, S20–S26, S30–S32, S37, S38, P2. CAL revenue is reported inside biologics and drug delivery; it is shown separately here. May not sum due to rounding.</w:t>
      </w:r>
    </w:p>
    <w:p>
      <w:pPr>
        <w:keepNext/>
        <w:keepLines/>
      </w:pPr>
      <w:r>
        <w:rPr>
          <w:b/>
        </w:rPr>
        <w:t>Figure 5b – Bull case by line</w:t>
      </w:r>
    </w:p>
    <w:tbl>
      <w:tblPr>
        <w:tblStyle w:val="TableGrid"/>
        <w:tblW w:type="auto" w:w="0"/>
        <w:tblLook w:firstColumn="1" w:firstRow="1" w:lastColumn="0" w:lastRow="0" w:noHBand="0" w:noVBand="1" w:val="04A0"/>
      </w:tblPr>
      <w:tblGrid>
        <w:gridCol w:w="1054"/>
        <w:gridCol w:w="1054"/>
        <w:gridCol w:w="1054"/>
        <w:gridCol w:w="1054"/>
        <w:gridCol w:w="1054"/>
        <w:gridCol w:w="1054"/>
        <w:gridCol w:w="1054"/>
        <w:gridCol w:w="1054"/>
        <w:gridCol w:w="1054"/>
        <w:gridCol w:w="1054"/>
      </w:tblGrid>
      <w:tr>
        <w:trPr>
          <w:cantSplit/>
          <w:tblHeader/>
        </w:trPr>
        <w:tc>
          <w:tcPr>
            <w:tcW w:type="dxa" w:w="1054"/>
          </w:tcPr>
          <w:p>
            <w:pPr>
              <w:keepNext/>
              <w:keepLines/>
            </w:pPr>
            <w:r>
              <w:rPr>
                <w:b/>
                <w:sz w:val="14"/>
              </w:rPr>
              <w:t>US$M</w:t>
            </w:r>
          </w:p>
        </w:tc>
        <w:tc>
          <w:tcPr>
            <w:tcW w:type="dxa" w:w="1054"/>
          </w:tcPr>
          <w:p>
            <w:pPr>
              <w:keepNext/>
              <w:keepLines/>
            </w:pPr>
            <w:r>
              <w:rPr>
                <w:b/>
                <w:sz w:val="14"/>
              </w:rPr>
              <w:t>FY2024A</w:t>
            </w:r>
          </w:p>
        </w:tc>
        <w:tc>
          <w:tcPr>
            <w:tcW w:type="dxa" w:w="1054"/>
          </w:tcPr>
          <w:p>
            <w:pPr>
              <w:keepNext/>
              <w:keepLines/>
            </w:pPr>
            <w:r>
              <w:rPr>
                <w:b/>
                <w:sz w:val="14"/>
              </w:rPr>
              <w:t>FY2025A</w:t>
            </w:r>
          </w:p>
        </w:tc>
        <w:tc>
          <w:tcPr>
            <w:tcW w:type="dxa" w:w="1054"/>
          </w:tcPr>
          <w:p>
            <w:pPr>
              <w:keepNext/>
              <w:keepLines/>
            </w:pPr>
            <w:r>
              <w:rPr>
                <w:b/>
                <w:sz w:val="14"/>
              </w:rPr>
              <w:t>H1 2026A</w:t>
            </w:r>
          </w:p>
        </w:tc>
        <w:tc>
          <w:tcPr>
            <w:tcW w:type="dxa" w:w="1054"/>
          </w:tcPr>
          <w:p>
            <w:pPr>
              <w:keepNext/>
              <w:keepLines/>
            </w:pPr>
            <w:r>
              <w:rPr>
                <w:b/>
                <w:sz w:val="14"/>
              </w:rPr>
              <w:t>FY2026E</w:t>
            </w:r>
          </w:p>
        </w:tc>
        <w:tc>
          <w:tcPr>
            <w:tcW w:type="dxa" w:w="1054"/>
          </w:tcPr>
          <w:p>
            <w:pPr>
              <w:keepNext/>
              <w:keepLines/>
            </w:pPr>
            <w:r>
              <w:rPr>
                <w:b/>
                <w:sz w:val="14"/>
              </w:rPr>
              <w:t>FY2027E</w:t>
            </w:r>
          </w:p>
        </w:tc>
        <w:tc>
          <w:tcPr>
            <w:tcW w:type="dxa" w:w="1054"/>
          </w:tcPr>
          <w:p>
            <w:pPr>
              <w:keepNext/>
              <w:keepLines/>
            </w:pPr>
            <w:r>
              <w:rPr>
                <w:b/>
                <w:sz w:val="14"/>
              </w:rPr>
              <w:t>FY2028E</w:t>
            </w:r>
          </w:p>
        </w:tc>
        <w:tc>
          <w:tcPr>
            <w:tcW w:type="dxa" w:w="1054"/>
          </w:tcPr>
          <w:p>
            <w:pPr>
              <w:keepNext/>
              <w:keepLines/>
            </w:pPr>
            <w:r>
              <w:rPr>
                <w:b/>
                <w:sz w:val="14"/>
              </w:rPr>
              <w:t>FY2029E</w:t>
            </w:r>
          </w:p>
        </w:tc>
        <w:tc>
          <w:tcPr>
            <w:tcW w:type="dxa" w:w="1054"/>
          </w:tcPr>
          <w:p>
            <w:pPr>
              <w:keepNext/>
              <w:keepLines/>
            </w:pPr>
            <w:r>
              <w:rPr>
                <w:b/>
                <w:sz w:val="14"/>
              </w:rPr>
              <w:t>FY2030E</w:t>
            </w:r>
          </w:p>
        </w:tc>
        <w:tc>
          <w:tcPr>
            <w:tcW w:type="dxa" w:w="1054"/>
          </w:tcPr>
          <w:p>
            <w:pPr>
              <w:keepNext/>
              <w:keepLines/>
            </w:pPr>
            <w:r>
              <w:rPr>
                <w:b/>
                <w:sz w:val="14"/>
              </w:rPr>
              <w:t>FY2031E</w:t>
            </w:r>
          </w:p>
        </w:tc>
      </w:tr>
      <w:tr>
        <w:trPr>
          <w:cantSplit/>
        </w:trPr>
        <w:tc>
          <w:tcPr>
            <w:tcW w:type="dxa" w:w="1054"/>
          </w:tcPr>
          <w:p>
            <w:pPr>
              <w:keepNext/>
              <w:keepLines/>
            </w:pPr>
            <w:r>
              <w:rPr>
                <w:sz w:val="14"/>
              </w:rPr>
              <w:t>Biologics and drug delivery</w:t>
            </w:r>
          </w:p>
        </w:tc>
        <w:tc>
          <w:tcPr>
            <w:tcW w:type="dxa" w:w="1054"/>
          </w:tcPr>
          <w:p>
            <w:pPr>
              <w:keepNext/>
              <w:keepLines/>
            </w:pPr>
            <w:r>
              <w:rPr>
                <w:sz w:val="14"/>
              </w:rPr>
              <w:t>17.3</w:t>
            </w:r>
          </w:p>
        </w:tc>
        <w:tc>
          <w:tcPr>
            <w:tcW w:type="dxa" w:w="1054"/>
          </w:tcPr>
          <w:p>
            <w:pPr>
              <w:keepNext/>
              <w:keepLines/>
            </w:pPr>
            <w:r>
              <w:rPr>
                <w:sz w:val="14"/>
              </w:rPr>
              <w:t>19.0</w:t>
            </w:r>
          </w:p>
        </w:tc>
        <w:tc>
          <w:tcPr>
            <w:tcW w:type="dxa" w:w="1054"/>
          </w:tcPr>
          <w:p>
            <w:pPr>
              <w:keepNext/>
              <w:keepLines/>
            </w:pPr>
            <w:r>
              <w:rPr>
                <w:sz w:val="14"/>
              </w:rPr>
              <w:t>8.8</w:t>
            </w:r>
          </w:p>
        </w:tc>
        <w:tc>
          <w:tcPr>
            <w:tcW w:type="dxa" w:w="1054"/>
          </w:tcPr>
          <w:p>
            <w:pPr>
              <w:keepNext/>
              <w:keepLines/>
            </w:pPr>
            <w:r>
              <w:rPr>
                <w:sz w:val="14"/>
              </w:rPr>
              <w:t>20.1</w:t>
            </w:r>
          </w:p>
        </w:tc>
        <w:tc>
          <w:tcPr>
            <w:tcW w:type="dxa" w:w="1054"/>
          </w:tcPr>
          <w:p>
            <w:pPr>
              <w:keepNext/>
              <w:keepLines/>
            </w:pPr>
            <w:r>
              <w:rPr>
                <w:sz w:val="14"/>
              </w:rPr>
              <w:t>23.1</w:t>
            </w:r>
          </w:p>
        </w:tc>
        <w:tc>
          <w:tcPr>
            <w:tcW w:type="dxa" w:w="1054"/>
          </w:tcPr>
          <w:p>
            <w:pPr>
              <w:keepNext/>
              <w:keepLines/>
            </w:pPr>
            <w:r>
              <w:rPr>
                <w:sz w:val="14"/>
              </w:rPr>
              <w:t>27.2</w:t>
            </w:r>
          </w:p>
        </w:tc>
        <w:tc>
          <w:tcPr>
            <w:tcW w:type="dxa" w:w="1054"/>
          </w:tcPr>
          <w:p>
            <w:pPr>
              <w:keepNext/>
              <w:keepLines/>
            </w:pPr>
            <w:r>
              <w:rPr>
                <w:sz w:val="14"/>
              </w:rPr>
              <w:t>32.1</w:t>
            </w:r>
          </w:p>
        </w:tc>
        <w:tc>
          <w:tcPr>
            <w:tcW w:type="dxa" w:w="1054"/>
          </w:tcPr>
          <w:p>
            <w:pPr>
              <w:keepNext/>
              <w:keepLines/>
            </w:pPr>
            <w:r>
              <w:rPr>
                <w:sz w:val="14"/>
              </w:rPr>
              <w:t>37.9</w:t>
            </w:r>
          </w:p>
        </w:tc>
        <w:tc>
          <w:tcPr>
            <w:tcW w:type="dxa" w:w="1054"/>
          </w:tcPr>
          <w:p>
            <w:pPr>
              <w:keepNext/>
              <w:keepLines/>
            </w:pPr>
            <w:r>
              <w:rPr>
                <w:sz w:val="14"/>
              </w:rPr>
              <w:t>44.8</w:t>
            </w:r>
          </w:p>
        </w:tc>
      </w:tr>
      <w:tr>
        <w:trPr>
          <w:cantSplit/>
        </w:trPr>
        <w:tc>
          <w:tcPr>
            <w:tcW w:type="dxa" w:w="1054"/>
          </w:tcPr>
          <w:p>
            <w:pPr>
              <w:keepNext/>
              <w:keepLines/>
            </w:pPr>
            <w:r>
              <w:rPr>
                <w:sz w:val="14"/>
              </w:rPr>
              <w:t>Neurosurgery navigation and therapy</w:t>
            </w:r>
          </w:p>
        </w:tc>
        <w:tc>
          <w:tcPr>
            <w:tcW w:type="dxa" w:w="1054"/>
          </w:tcPr>
          <w:p>
            <w:pPr>
              <w:keepNext/>
              <w:keepLines/>
            </w:pPr>
            <w:r>
              <w:rPr>
                <w:sz w:val="14"/>
              </w:rPr>
              <w:t>10.3</w:t>
            </w:r>
          </w:p>
        </w:tc>
        <w:tc>
          <w:tcPr>
            <w:tcW w:type="dxa" w:w="1054"/>
          </w:tcPr>
          <w:p>
            <w:pPr>
              <w:keepNext/>
              <w:keepLines/>
            </w:pPr>
            <w:r>
              <w:rPr>
                <w:sz w:val="14"/>
              </w:rPr>
              <w:t>14.8</w:t>
            </w:r>
          </w:p>
        </w:tc>
        <w:tc>
          <w:tcPr>
            <w:tcW w:type="dxa" w:w="1054"/>
          </w:tcPr>
          <w:p>
            <w:pPr>
              <w:keepNext/>
              <w:keepLines/>
            </w:pPr>
            <w:r>
              <w:rPr>
                <w:sz w:val="14"/>
              </w:rPr>
              <w:t>11.4</w:t>
            </w:r>
          </w:p>
        </w:tc>
        <w:tc>
          <w:tcPr>
            <w:tcW w:type="dxa" w:w="1054"/>
          </w:tcPr>
          <w:p>
            <w:pPr>
              <w:keepNext/>
              <w:keepLines/>
            </w:pPr>
            <w:r>
              <w:rPr>
                <w:sz w:val="14"/>
              </w:rPr>
              <w:t>24.2</w:t>
            </w:r>
          </w:p>
        </w:tc>
        <w:tc>
          <w:tcPr>
            <w:tcW w:type="dxa" w:w="1054"/>
          </w:tcPr>
          <w:p>
            <w:pPr>
              <w:keepNext/>
              <w:keepLines/>
            </w:pPr>
            <w:r>
              <w:rPr>
                <w:sz w:val="14"/>
              </w:rPr>
              <w:t>27.8</w:t>
            </w:r>
          </w:p>
        </w:tc>
        <w:tc>
          <w:tcPr>
            <w:tcW w:type="dxa" w:w="1054"/>
          </w:tcPr>
          <w:p>
            <w:pPr>
              <w:keepNext/>
              <w:keepLines/>
            </w:pPr>
            <w:r>
              <w:rPr>
                <w:sz w:val="14"/>
              </w:rPr>
              <w:t>32.8</w:t>
            </w:r>
          </w:p>
        </w:tc>
        <w:tc>
          <w:tcPr>
            <w:tcW w:type="dxa" w:w="1054"/>
          </w:tcPr>
          <w:p>
            <w:pPr>
              <w:keepNext/>
              <w:keepLines/>
            </w:pPr>
            <w:r>
              <w:rPr>
                <w:sz w:val="14"/>
              </w:rPr>
              <w:t>38.7</w:t>
            </w:r>
          </w:p>
        </w:tc>
        <w:tc>
          <w:tcPr>
            <w:tcW w:type="dxa" w:w="1054"/>
          </w:tcPr>
          <w:p>
            <w:pPr>
              <w:keepNext/>
              <w:keepLines/>
            </w:pPr>
            <w:r>
              <w:rPr>
                <w:sz w:val="14"/>
              </w:rPr>
              <w:t>45.7</w:t>
            </w:r>
          </w:p>
        </w:tc>
        <w:tc>
          <w:tcPr>
            <w:tcW w:type="dxa" w:w="1054"/>
          </w:tcPr>
          <w:p>
            <w:pPr>
              <w:keepNext/>
              <w:keepLines/>
            </w:pPr>
            <w:r>
              <w:rPr>
                <w:sz w:val="14"/>
              </w:rPr>
              <w:t>53.9</w:t>
            </w:r>
          </w:p>
        </w:tc>
      </w:tr>
      <w:tr>
        <w:trPr>
          <w:cantSplit/>
        </w:trPr>
        <w:tc>
          <w:tcPr>
            <w:tcW w:type="dxa" w:w="1054"/>
          </w:tcPr>
          <w:p>
            <w:pPr>
              <w:keepNext/>
              <w:keepLines/>
            </w:pPr>
            <w:r>
              <w:rPr>
                <w:sz w:val="14"/>
              </w:rPr>
              <w:t>Capital equipment and software</w:t>
            </w:r>
          </w:p>
        </w:tc>
        <w:tc>
          <w:tcPr>
            <w:tcW w:type="dxa" w:w="1054"/>
          </w:tcPr>
          <w:p>
            <w:pPr>
              <w:keepNext/>
              <w:keepLines/>
            </w:pPr>
            <w:r>
              <w:rPr>
                <w:sz w:val="14"/>
              </w:rPr>
              <w:t>3.8</w:t>
            </w:r>
          </w:p>
        </w:tc>
        <w:tc>
          <w:tcPr>
            <w:tcW w:type="dxa" w:w="1054"/>
          </w:tcPr>
          <w:p>
            <w:pPr>
              <w:keepNext/>
              <w:keepLines/>
            </w:pPr>
            <w:r>
              <w:rPr>
                <w:sz w:val="14"/>
              </w:rPr>
              <w:t>3.1</w:t>
            </w:r>
          </w:p>
        </w:tc>
        <w:tc>
          <w:tcPr>
            <w:tcW w:type="dxa" w:w="1054"/>
          </w:tcPr>
          <w:p>
            <w:pPr>
              <w:keepNext/>
              <w:keepLines/>
            </w:pPr>
            <w:r>
              <w:rPr>
                <w:sz w:val="14"/>
              </w:rPr>
              <w:t>2.7</w:t>
            </w:r>
          </w:p>
        </w:tc>
        <w:tc>
          <w:tcPr>
            <w:tcW w:type="dxa" w:w="1054"/>
          </w:tcPr>
          <w:p>
            <w:pPr>
              <w:keepNext/>
              <w:keepLines/>
            </w:pPr>
            <w:r>
              <w:rPr>
                <w:sz w:val="14"/>
              </w:rPr>
              <w:t>5.8</w:t>
            </w:r>
          </w:p>
        </w:tc>
        <w:tc>
          <w:tcPr>
            <w:tcW w:type="dxa" w:w="1054"/>
          </w:tcPr>
          <w:p>
            <w:pPr>
              <w:keepNext/>
              <w:keepLines/>
            </w:pPr>
            <w:r>
              <w:rPr>
                <w:sz w:val="14"/>
              </w:rPr>
              <w:t>6.2</w:t>
            </w:r>
          </w:p>
        </w:tc>
        <w:tc>
          <w:tcPr>
            <w:tcW w:type="dxa" w:w="1054"/>
          </w:tcPr>
          <w:p>
            <w:pPr>
              <w:keepNext/>
              <w:keepLines/>
            </w:pPr>
            <w:r>
              <w:rPr>
                <w:sz w:val="14"/>
              </w:rPr>
              <w:t>7.3</w:t>
            </w:r>
          </w:p>
        </w:tc>
        <w:tc>
          <w:tcPr>
            <w:tcW w:type="dxa" w:w="1054"/>
          </w:tcPr>
          <w:p>
            <w:pPr>
              <w:keepNext/>
              <w:keepLines/>
            </w:pPr>
            <w:r>
              <w:rPr>
                <w:sz w:val="14"/>
              </w:rPr>
              <w:t>8.7</w:t>
            </w:r>
          </w:p>
        </w:tc>
        <w:tc>
          <w:tcPr>
            <w:tcW w:type="dxa" w:w="1054"/>
          </w:tcPr>
          <w:p>
            <w:pPr>
              <w:keepNext/>
              <w:keepLines/>
            </w:pPr>
            <w:r>
              <w:rPr>
                <w:sz w:val="14"/>
              </w:rPr>
              <w:t>10.2</w:t>
            </w:r>
          </w:p>
        </w:tc>
        <w:tc>
          <w:tcPr>
            <w:tcW w:type="dxa" w:w="1054"/>
          </w:tcPr>
          <w:p>
            <w:pPr>
              <w:keepNext/>
              <w:keepLines/>
            </w:pPr>
            <w:r>
              <w:rPr>
                <w:sz w:val="14"/>
              </w:rPr>
              <w:t>12.1</w:t>
            </w:r>
          </w:p>
        </w:tc>
      </w:tr>
      <w:tr>
        <w:trPr>
          <w:cantSplit/>
        </w:trPr>
        <w:tc>
          <w:tcPr>
            <w:tcW w:type="dxa" w:w="1054"/>
          </w:tcPr>
          <w:p>
            <w:pPr>
              <w:keepNext/>
              <w:keepLines/>
            </w:pPr>
            <w:r>
              <w:rPr>
                <w:sz w:val="14"/>
              </w:rPr>
              <w:t>Commercial drug delivery (AMT-130, Parkinson's class) [scenario]</w:t>
            </w:r>
          </w:p>
        </w:tc>
        <w:tc>
          <w:tcPr>
            <w:tcW w:type="dxa" w:w="1054"/>
          </w:tcPr>
          <w:p>
            <w:pPr>
              <w:keepNext/>
              <w:keepLines/>
            </w:pPr>
            <w:r>
              <w:rPr>
                <w:sz w:val="14"/>
              </w:rPr>
              <w:t>–</w:t>
            </w:r>
          </w:p>
        </w:tc>
        <w:tc>
          <w:tcPr>
            <w:tcW w:type="dxa" w:w="1054"/>
          </w:tcPr>
          <w:p>
            <w:pPr>
              <w:keepNext/>
              <w:keepLines/>
            </w:pPr>
            <w:r>
              <w:rPr>
                <w:sz w:val="14"/>
              </w:rPr>
              <w:t>–</w:t>
            </w:r>
          </w:p>
        </w:tc>
        <w:tc>
          <w:tcPr>
            <w:tcW w:type="dxa" w:w="1054"/>
          </w:tcPr>
          <w:p>
            <w:pPr>
              <w:keepNext/>
              <w:keepLines/>
            </w:pPr>
            <w:r>
              <w:rPr>
                <w:sz w:val="14"/>
              </w:rPr>
              <w:t>–</w:t>
            </w:r>
          </w:p>
        </w:tc>
        <w:tc>
          <w:tcPr>
            <w:tcW w:type="dxa" w:w="1054"/>
          </w:tcPr>
          <w:p>
            <w:pPr>
              <w:keepNext/>
              <w:keepLines/>
            </w:pPr>
            <w:r>
              <w:rPr>
                <w:sz w:val="14"/>
              </w:rPr>
              <w:t>–</w:t>
            </w:r>
          </w:p>
        </w:tc>
        <w:tc>
          <w:tcPr>
            <w:tcW w:type="dxa" w:w="1054"/>
          </w:tcPr>
          <w:p>
            <w:pPr>
              <w:keepNext/>
              <w:keepLines/>
            </w:pPr>
            <w:r>
              <w:rPr>
                <w:sz w:val="14"/>
              </w:rPr>
              <w:t>17.6</w:t>
            </w:r>
          </w:p>
        </w:tc>
        <w:tc>
          <w:tcPr>
            <w:tcW w:type="dxa" w:w="1054"/>
          </w:tcPr>
          <w:p>
            <w:pPr>
              <w:keepNext/>
              <w:keepLines/>
            </w:pPr>
            <w:r>
              <w:rPr>
                <w:sz w:val="14"/>
              </w:rPr>
              <w:t>90.0</w:t>
            </w:r>
          </w:p>
        </w:tc>
        <w:tc>
          <w:tcPr>
            <w:tcW w:type="dxa" w:w="1054"/>
          </w:tcPr>
          <w:p>
            <w:pPr>
              <w:keepNext/>
              <w:keepLines/>
            </w:pPr>
            <w:r>
              <w:rPr>
                <w:sz w:val="14"/>
              </w:rPr>
              <w:t>186.9</w:t>
            </w:r>
          </w:p>
        </w:tc>
        <w:tc>
          <w:tcPr>
            <w:tcW w:type="dxa" w:w="1054"/>
          </w:tcPr>
          <w:p>
            <w:pPr>
              <w:keepNext/>
              <w:keepLines/>
            </w:pPr>
            <w:r>
              <w:rPr>
                <w:sz w:val="14"/>
              </w:rPr>
              <w:t>268.3</w:t>
            </w:r>
          </w:p>
        </w:tc>
        <w:tc>
          <w:tcPr>
            <w:tcW w:type="dxa" w:w="1054"/>
          </w:tcPr>
          <w:p>
            <w:pPr>
              <w:keepNext/>
              <w:keepLines/>
            </w:pPr>
            <w:r>
              <w:rPr>
                <w:sz w:val="14"/>
              </w:rPr>
              <w:t>355.4</w:t>
            </w:r>
          </w:p>
        </w:tc>
      </w:tr>
      <w:tr>
        <w:trPr>
          <w:cantSplit/>
        </w:trPr>
        <w:tc>
          <w:tcPr>
            <w:tcW w:type="dxa" w:w="1054"/>
          </w:tcPr>
          <w:p>
            <w:pPr>
              <w:keepNext/>
              <w:keepLines/>
            </w:pPr>
            <w:r>
              <w:rPr>
                <w:sz w:val="14"/>
              </w:rPr>
              <w:t>Preclinical services uplift, CAL GLP facility [scenario]</w:t>
            </w:r>
          </w:p>
        </w:tc>
        <w:tc>
          <w:tcPr>
            <w:tcW w:type="dxa" w:w="1054"/>
          </w:tcPr>
          <w:p>
            <w:pPr>
              <w:keepNext/>
              <w:keepLines/>
            </w:pPr>
            <w:r>
              <w:rPr>
                <w:sz w:val="14"/>
              </w:rPr>
              <w:t>–</w:t>
            </w:r>
          </w:p>
        </w:tc>
        <w:tc>
          <w:tcPr>
            <w:tcW w:type="dxa" w:w="1054"/>
          </w:tcPr>
          <w:p>
            <w:pPr>
              <w:keepNext/>
              <w:keepLines/>
            </w:pPr>
            <w:r>
              <w:rPr>
                <w:sz w:val="14"/>
              </w:rPr>
              <w:t>–</w:t>
            </w:r>
          </w:p>
        </w:tc>
        <w:tc>
          <w:tcPr>
            <w:tcW w:type="dxa" w:w="1054"/>
          </w:tcPr>
          <w:p>
            <w:pPr>
              <w:keepNext/>
              <w:keepLines/>
            </w:pPr>
            <w:r>
              <w:rPr>
                <w:sz w:val="14"/>
              </w:rPr>
              <w:t>–</w:t>
            </w:r>
          </w:p>
        </w:tc>
        <w:tc>
          <w:tcPr>
            <w:tcW w:type="dxa" w:w="1054"/>
          </w:tcPr>
          <w:p>
            <w:pPr>
              <w:keepNext/>
              <w:keepLines/>
            </w:pPr>
            <w:r>
              <w:rPr>
                <w:sz w:val="14"/>
              </w:rPr>
              <w:t>–</w:t>
            </w:r>
          </w:p>
        </w:tc>
        <w:tc>
          <w:tcPr>
            <w:tcW w:type="dxa" w:w="1054"/>
          </w:tcPr>
          <w:p>
            <w:pPr>
              <w:keepNext/>
              <w:keepLines/>
            </w:pPr>
            <w:r>
              <w:rPr>
                <w:sz w:val="14"/>
              </w:rPr>
              <w:t>3.0</w:t>
            </w:r>
          </w:p>
        </w:tc>
        <w:tc>
          <w:tcPr>
            <w:tcW w:type="dxa" w:w="1054"/>
          </w:tcPr>
          <w:p>
            <w:pPr>
              <w:keepNext/>
              <w:keepLines/>
            </w:pPr>
            <w:r>
              <w:rPr>
                <w:sz w:val="14"/>
              </w:rPr>
              <w:t>10.0</w:t>
            </w:r>
          </w:p>
        </w:tc>
        <w:tc>
          <w:tcPr>
            <w:tcW w:type="dxa" w:w="1054"/>
          </w:tcPr>
          <w:p>
            <w:pPr>
              <w:keepNext/>
              <w:keepLines/>
            </w:pPr>
            <w:r>
              <w:rPr>
                <w:sz w:val="14"/>
              </w:rPr>
              <w:t>18.0</w:t>
            </w:r>
          </w:p>
        </w:tc>
        <w:tc>
          <w:tcPr>
            <w:tcW w:type="dxa" w:w="1054"/>
          </w:tcPr>
          <w:p>
            <w:pPr>
              <w:keepNext/>
              <w:keepLines/>
            </w:pPr>
            <w:r>
              <w:rPr>
                <w:sz w:val="14"/>
              </w:rPr>
              <w:t>27.0</w:t>
            </w:r>
          </w:p>
        </w:tc>
        <w:tc>
          <w:tcPr>
            <w:tcW w:type="dxa" w:w="1054"/>
          </w:tcPr>
          <w:p>
            <w:pPr>
              <w:keepNext/>
              <w:keepLines/>
            </w:pPr>
            <w:r>
              <w:rPr>
                <w:sz w:val="14"/>
              </w:rPr>
              <w:t>36.0</w:t>
            </w:r>
          </w:p>
        </w:tc>
      </w:tr>
      <w:tr>
        <w:trPr>
          <w:cantSplit/>
        </w:trPr>
        <w:tc>
          <w:tcPr>
            <w:tcW w:type="dxa" w:w="1054"/>
          </w:tcPr>
          <w:p>
            <w:pPr>
              <w:keepNext/>
              <w:keepLines/>
            </w:pPr>
            <w:r>
              <w:rPr>
                <w:b/>
                <w:sz w:val="14"/>
              </w:rPr>
              <w:t>Total revenue</w:t>
            </w:r>
          </w:p>
        </w:tc>
        <w:tc>
          <w:tcPr>
            <w:tcW w:type="dxa" w:w="1054"/>
          </w:tcPr>
          <w:p>
            <w:pPr>
              <w:keepNext/>
              <w:keepLines/>
            </w:pPr>
            <w:r>
              <w:rPr>
                <w:b/>
                <w:sz w:val="14"/>
              </w:rPr>
              <w:t>31.4</w:t>
            </w:r>
          </w:p>
        </w:tc>
        <w:tc>
          <w:tcPr>
            <w:tcW w:type="dxa" w:w="1054"/>
          </w:tcPr>
          <w:p>
            <w:pPr>
              <w:keepNext/>
              <w:keepLines/>
            </w:pPr>
            <w:r>
              <w:rPr>
                <w:b/>
                <w:sz w:val="14"/>
              </w:rPr>
              <w:t>37.0</w:t>
            </w:r>
          </w:p>
        </w:tc>
        <w:tc>
          <w:tcPr>
            <w:tcW w:type="dxa" w:w="1054"/>
          </w:tcPr>
          <w:p>
            <w:pPr>
              <w:keepNext/>
              <w:keepLines/>
            </w:pPr>
            <w:r>
              <w:rPr>
                <w:b/>
                <w:sz w:val="14"/>
              </w:rPr>
              <w:t>23.0</w:t>
            </w:r>
          </w:p>
        </w:tc>
        <w:tc>
          <w:tcPr>
            <w:tcW w:type="dxa" w:w="1054"/>
          </w:tcPr>
          <w:p>
            <w:pPr>
              <w:keepNext/>
              <w:keepLines/>
            </w:pPr>
            <w:r>
              <w:rPr>
                <w:b/>
                <w:sz w:val="14"/>
              </w:rPr>
              <w:t>50.0</w:t>
            </w:r>
          </w:p>
        </w:tc>
        <w:tc>
          <w:tcPr>
            <w:tcW w:type="dxa" w:w="1054"/>
          </w:tcPr>
          <w:p>
            <w:pPr>
              <w:keepNext/>
              <w:keepLines/>
            </w:pPr>
            <w:r>
              <w:rPr>
                <w:b/>
                <w:sz w:val="14"/>
              </w:rPr>
              <w:t>77.7</w:t>
            </w:r>
          </w:p>
        </w:tc>
        <w:tc>
          <w:tcPr>
            <w:tcW w:type="dxa" w:w="1054"/>
          </w:tcPr>
          <w:p>
            <w:pPr>
              <w:keepNext/>
              <w:keepLines/>
            </w:pPr>
            <w:r>
              <w:rPr>
                <w:b/>
                <w:sz w:val="14"/>
              </w:rPr>
              <w:t>167.4</w:t>
            </w:r>
          </w:p>
        </w:tc>
        <w:tc>
          <w:tcPr>
            <w:tcW w:type="dxa" w:w="1054"/>
          </w:tcPr>
          <w:p>
            <w:pPr>
              <w:keepNext/>
              <w:keepLines/>
            </w:pPr>
            <w:r>
              <w:rPr>
                <w:b/>
                <w:sz w:val="14"/>
              </w:rPr>
              <w:t>284.4</w:t>
            </w:r>
          </w:p>
        </w:tc>
        <w:tc>
          <w:tcPr>
            <w:tcW w:type="dxa" w:w="1054"/>
          </w:tcPr>
          <w:p>
            <w:pPr>
              <w:keepNext/>
              <w:keepLines/>
            </w:pPr>
            <w:r>
              <w:rPr>
                <w:b/>
                <w:sz w:val="14"/>
              </w:rPr>
              <w:t>389.2</w:t>
            </w:r>
          </w:p>
        </w:tc>
        <w:tc>
          <w:tcPr>
            <w:tcW w:type="dxa" w:w="1054"/>
          </w:tcPr>
          <w:p>
            <w:pPr>
              <w:keepNext/>
              <w:keepLines/>
            </w:pPr>
            <w:r>
              <w:rPr>
                <w:b/>
                <w:sz w:val="14"/>
              </w:rPr>
              <w:t>502.1</w:t>
            </w:r>
          </w:p>
        </w:tc>
      </w:tr>
      <w:tr>
        <w:trPr>
          <w:cantSplit/>
        </w:trPr>
        <w:tc>
          <w:tcPr>
            <w:tcW w:type="dxa" w:w="1054"/>
          </w:tcPr>
          <w:p>
            <w:pPr>
              <w:keepNext/>
              <w:keepLines/>
            </w:pPr>
            <w:r>
              <w:rPr>
                <w:sz w:val="14"/>
              </w:rPr>
              <w:t>Growth</w:t>
            </w:r>
          </w:p>
        </w:tc>
        <w:tc>
          <w:tcPr>
            <w:tcW w:type="dxa" w:w="1054"/>
          </w:tcPr>
          <w:p>
            <w:pPr>
              <w:keepNext/>
              <w:keepLines/>
            </w:pPr>
            <w:r>
              <w:rPr>
                <w:sz w:val="14"/>
              </w:rPr>
              <w:t>–</w:t>
            </w:r>
          </w:p>
        </w:tc>
        <w:tc>
          <w:tcPr>
            <w:tcW w:type="dxa" w:w="1054"/>
          </w:tcPr>
          <w:p>
            <w:pPr>
              <w:keepNext/>
              <w:keepLines/>
            </w:pPr>
            <w:r>
              <w:rPr>
                <w:sz w:val="14"/>
              </w:rPr>
              <w:t>17.8%</w:t>
            </w:r>
          </w:p>
        </w:tc>
        <w:tc>
          <w:tcPr>
            <w:tcW w:type="dxa" w:w="1054"/>
          </w:tcPr>
          <w:p>
            <w:pPr>
              <w:keepNext/>
              <w:keepLines/>
            </w:pPr>
            <w:r>
              <w:rPr>
                <w:sz w:val="14"/>
              </w:rPr>
              <w:t>30.0%</w:t>
            </w:r>
          </w:p>
        </w:tc>
        <w:tc>
          <w:tcPr>
            <w:tcW w:type="dxa" w:w="1054"/>
          </w:tcPr>
          <w:p>
            <w:pPr>
              <w:keepNext/>
              <w:keepLines/>
            </w:pPr>
            <w:r>
              <w:rPr>
                <w:sz w:val="14"/>
              </w:rPr>
              <w:t>35.2%</w:t>
            </w:r>
          </w:p>
        </w:tc>
        <w:tc>
          <w:tcPr>
            <w:tcW w:type="dxa" w:w="1054"/>
          </w:tcPr>
          <w:p>
            <w:pPr>
              <w:keepNext/>
              <w:keepLines/>
            </w:pPr>
            <w:r>
              <w:rPr>
                <w:sz w:val="14"/>
              </w:rPr>
              <w:t>55.4%</w:t>
            </w:r>
          </w:p>
        </w:tc>
        <w:tc>
          <w:tcPr>
            <w:tcW w:type="dxa" w:w="1054"/>
          </w:tcPr>
          <w:p>
            <w:pPr>
              <w:keepNext/>
              <w:keepLines/>
            </w:pPr>
            <w:r>
              <w:rPr>
                <w:sz w:val="14"/>
              </w:rPr>
              <w:t>115.4%</w:t>
            </w:r>
          </w:p>
        </w:tc>
        <w:tc>
          <w:tcPr>
            <w:tcW w:type="dxa" w:w="1054"/>
          </w:tcPr>
          <w:p>
            <w:pPr>
              <w:keepNext/>
              <w:keepLines/>
            </w:pPr>
            <w:r>
              <w:rPr>
                <w:sz w:val="14"/>
              </w:rPr>
              <w:t>69.9%</w:t>
            </w:r>
          </w:p>
        </w:tc>
        <w:tc>
          <w:tcPr>
            <w:tcW w:type="dxa" w:w="1054"/>
          </w:tcPr>
          <w:p>
            <w:pPr>
              <w:keepNext/>
              <w:keepLines/>
            </w:pPr>
            <w:r>
              <w:rPr>
                <w:sz w:val="14"/>
              </w:rPr>
              <w:t>36.8%</w:t>
            </w:r>
          </w:p>
        </w:tc>
        <w:tc>
          <w:tcPr>
            <w:tcW w:type="dxa" w:w="1054"/>
          </w:tcPr>
          <w:p>
            <w:pPr>
              <w:keepNext/>
              <w:keepLines/>
            </w:pPr>
            <w:r>
              <w:rPr>
                <w:sz w:val="14"/>
              </w:rPr>
              <w:t>29.0%</w:t>
            </w:r>
          </w:p>
        </w:tc>
      </w:tr>
      <w:tr>
        <w:trPr>
          <w:cantSplit/>
        </w:trPr>
        <w:tc>
          <w:tcPr>
            <w:tcW w:type="dxa" w:w="1054"/>
          </w:tcPr>
          <w:p>
            <w:pPr>
              <w:keepNext/>
              <w:keepLines/>
            </w:pPr>
            <w:r>
              <w:rPr>
                <w:sz w:val="14"/>
              </w:rPr>
              <w:t>EBITDA (before SBC)</w:t>
            </w:r>
          </w:p>
        </w:tc>
        <w:tc>
          <w:tcPr>
            <w:tcW w:type="dxa" w:w="1054"/>
          </w:tcPr>
          <w:p>
            <w:pPr>
              <w:keepNext/>
              <w:keepLines/>
            </w:pPr>
            <w:r>
              <w:rPr>
                <w:sz w:val="14"/>
              </w:rPr>
              <w:t>–</w:t>
            </w:r>
          </w:p>
        </w:tc>
        <w:tc>
          <w:tcPr>
            <w:tcW w:type="dxa" w:w="1054"/>
          </w:tcPr>
          <w:p>
            <w:pPr>
              <w:keepNext/>
              <w:keepLines/>
            </w:pPr>
            <w:r>
              <w:rPr>
                <w:sz w:val="14"/>
              </w:rPr>
              <w:t>−15.2</w:t>
            </w:r>
          </w:p>
        </w:tc>
        <w:tc>
          <w:tcPr>
            <w:tcW w:type="dxa" w:w="1054"/>
          </w:tcPr>
          <w:p>
            <w:pPr>
              <w:keepNext/>
              <w:keepLines/>
            </w:pPr>
            <w:r>
              <w:rPr>
                <w:sz w:val="14"/>
              </w:rPr>
              <w:t>−13.0</w:t>
            </w:r>
          </w:p>
        </w:tc>
        <w:tc>
          <w:tcPr>
            <w:tcW w:type="dxa" w:w="1054"/>
          </w:tcPr>
          <w:p>
            <w:pPr>
              <w:keepNext/>
              <w:keepLines/>
            </w:pPr>
            <w:r>
              <w:rPr>
                <w:sz w:val="14"/>
              </w:rPr>
              <w:t>−22.9</w:t>
            </w:r>
          </w:p>
        </w:tc>
        <w:tc>
          <w:tcPr>
            <w:tcW w:type="dxa" w:w="1054"/>
          </w:tcPr>
          <w:p>
            <w:pPr>
              <w:keepNext/>
              <w:keepLines/>
            </w:pPr>
            <w:r>
              <w:rPr>
                <w:sz w:val="14"/>
              </w:rPr>
              <w:t>−11.3</w:t>
            </w:r>
          </w:p>
        </w:tc>
        <w:tc>
          <w:tcPr>
            <w:tcW w:type="dxa" w:w="1054"/>
          </w:tcPr>
          <w:p>
            <w:pPr>
              <w:keepNext/>
              <w:keepLines/>
            </w:pPr>
            <w:r>
              <w:rPr>
                <w:sz w:val="14"/>
              </w:rPr>
              <w:t>38.8</w:t>
            </w:r>
          </w:p>
        </w:tc>
        <w:tc>
          <w:tcPr>
            <w:tcW w:type="dxa" w:w="1054"/>
          </w:tcPr>
          <w:p>
            <w:pPr>
              <w:keepNext/>
              <w:keepLines/>
            </w:pPr>
            <w:r>
              <w:rPr>
                <w:sz w:val="14"/>
              </w:rPr>
              <w:t>103.0</w:t>
            </w:r>
          </w:p>
        </w:tc>
        <w:tc>
          <w:tcPr>
            <w:tcW w:type="dxa" w:w="1054"/>
          </w:tcPr>
          <w:p>
            <w:pPr>
              <w:keepNext/>
              <w:keepLines/>
            </w:pPr>
            <w:r>
              <w:rPr>
                <w:sz w:val="14"/>
              </w:rPr>
              <w:t>161.5</w:t>
            </w:r>
          </w:p>
        </w:tc>
        <w:tc>
          <w:tcPr>
            <w:tcW w:type="dxa" w:w="1054"/>
          </w:tcPr>
          <w:p>
            <w:pPr>
              <w:keepNext/>
              <w:keepLines/>
            </w:pPr>
            <w:r>
              <w:rPr>
                <w:sz w:val="14"/>
              </w:rPr>
              <w:t>225.0</w:t>
            </w:r>
          </w:p>
        </w:tc>
      </w:tr>
      <w:tr>
        <w:trPr>
          <w:cantSplit/>
        </w:trPr>
        <w:tc>
          <w:tcPr>
            <w:tcW w:type="dxa" w:w="1054"/>
          </w:tcPr>
          <w:p>
            <w:r>
              <w:rPr>
                <w:sz w:val="14"/>
              </w:rPr>
              <w:t>EBITDA margin</w:t>
            </w:r>
          </w:p>
        </w:tc>
        <w:tc>
          <w:tcPr>
            <w:tcW w:type="dxa" w:w="1054"/>
          </w:tcPr>
          <w:p>
            <w:r>
              <w:rPr>
                <w:sz w:val="14"/>
              </w:rPr>
              <w:t>–</w:t>
            </w:r>
          </w:p>
        </w:tc>
        <w:tc>
          <w:tcPr>
            <w:tcW w:type="dxa" w:w="1054"/>
          </w:tcPr>
          <w:p>
            <w:r>
              <w:rPr>
                <w:sz w:val="14"/>
              </w:rPr>
              <w:t>−41.0%</w:t>
            </w:r>
          </w:p>
        </w:tc>
        <w:tc>
          <w:tcPr>
            <w:tcW w:type="dxa" w:w="1054"/>
          </w:tcPr>
          <w:p>
            <w:r>
              <w:rPr>
                <w:sz w:val="14"/>
              </w:rPr>
              <w:t>−56.5%</w:t>
            </w:r>
          </w:p>
        </w:tc>
        <w:tc>
          <w:tcPr>
            <w:tcW w:type="dxa" w:w="1054"/>
          </w:tcPr>
          <w:p>
            <w:r>
              <w:rPr>
                <w:sz w:val="14"/>
              </w:rPr>
              <w:t>−45.9%</w:t>
            </w:r>
          </w:p>
        </w:tc>
        <w:tc>
          <w:tcPr>
            <w:tcW w:type="dxa" w:w="1054"/>
          </w:tcPr>
          <w:p>
            <w:r>
              <w:rPr>
                <w:sz w:val="14"/>
              </w:rPr>
              <w:t>−14.5%</w:t>
            </w:r>
          </w:p>
        </w:tc>
        <w:tc>
          <w:tcPr>
            <w:tcW w:type="dxa" w:w="1054"/>
          </w:tcPr>
          <w:p>
            <w:r>
              <w:rPr>
                <w:sz w:val="14"/>
              </w:rPr>
              <w:t>23.2%</w:t>
            </w:r>
          </w:p>
        </w:tc>
        <w:tc>
          <w:tcPr>
            <w:tcW w:type="dxa" w:w="1054"/>
          </w:tcPr>
          <w:p>
            <w:r>
              <w:rPr>
                <w:sz w:val="14"/>
              </w:rPr>
              <w:t>36.2%</w:t>
            </w:r>
          </w:p>
        </w:tc>
        <w:tc>
          <w:tcPr>
            <w:tcW w:type="dxa" w:w="1054"/>
          </w:tcPr>
          <w:p>
            <w:r>
              <w:rPr>
                <w:sz w:val="14"/>
              </w:rPr>
              <w:t>41.5%</w:t>
            </w:r>
          </w:p>
        </w:tc>
        <w:tc>
          <w:tcPr>
            <w:tcW w:type="dxa" w:w="1054"/>
          </w:tcPr>
          <w:p>
            <w:r>
              <w:rPr>
                <w:sz w:val="14"/>
              </w:rPr>
              <w:t>44.8%</w:t>
            </w:r>
          </w:p>
        </w:tc>
      </w:tr>
    </w:tbl>
    <w:p/>
    <w:p>
      <w:r>
        <w:rPr>
          <w:i/>
        </w:rPr>
        <w:t>Source: forecast.json bull scenario: A1–A4, C2, C7, C9, C10, E1 (bull FY2026E consensus), S1–S7, S15, S20, S21, S26, S30–S32, S37, S38, S59, C46, P2. Growth derived. H1 2026A growth as in Figure 5. CAL revenue is reported inside biologics and drug delivery; it is shown separately here. May not sum due to rounding.</w:t>
      </w:r>
    </w:p>
    <w:p>
      <w:r>
        <w:rPr>
          <w:i/>
        </w:rPr>
        <w:t>What differs from the base.</w:t>
      </w:r>
      <w:r>
        <w:t xml:space="preserve"> The bull adds about $92M of revenue and $54M of EBITDA in FY2031E (derived), mostly from procedures: AMT-130 settles at 3,500 a year instead of 3,000, and 8% of the Parkinson's pool is treated each year instead of 6%, giving 17,772 procedures against 14,126 [S21][S59][C46]. Core lines grow faster and the CAL reaches $36M instead of $29M, and because extra procedure revenue carries a high margin, the FY2031E EBITDA margin is 44.8% against 41.6% (derived from C10) [S26][S37].</w:t>
      </w:r>
    </w:p>
    <w:p>
      <w:pPr>
        <w:pStyle w:val="Heading4"/>
        <w:keepNext/>
        <w:keepLines/>
      </w:pPr>
      <w:r>
        <w:t>Valuation (Finagle)</w:t>
      </w:r>
    </w:p>
    <w:p>
      <w:r>
        <w:rPr>
          <w:b/>
        </w:rPr>
        <w:t>Method.</w:t>
      </w:r>
      <w:r>
        <w:t xml:space="preserve"> Finagle values equity as free cash flow to equity (FCFE) discounted at the cost of equity [C56][S29]. FCFE is EBITDA less interest, tax, stock-based compensation, capex and working capital, plus net borrowing. It takes our FY2026E–FY2031E revenue and EBITDA as given (six explicit years), on David's instruction to end explicit EBITDA growth at FY2031E [P3]. From FY2032E Finagle sets revenue growth to 15% (gsnext), about half of the FY2031E base growth, and fades it in a straight line to its default terminal growth of 4.95% by FY2040E, year 15 of the horizon [P3][C65]. EBITDA after FY2031E grows at the incremental margin (mc) on each extra dollar of revenue. Terminal reinvestment is set by a 25% return on new invested capital (roict) [P3][C64]. Finagle's terminal value is the FY2040E FCFE grown once at 4.95% and capitalised at the cost of equity less that growth [C56].</w:t>
      </w:r>
    </w:p>
    <w:p>
      <w:r>
        <w:t>The balance-sheet assumptions are David's, set on Oct 26, 2026 [P3]:</w:t>
      </w:r>
    </w:p>
    <w:p>
      <w:pPr>
        <w:pStyle w:val="ListBullet"/>
      </w:pPr>
      <w:r>
        <w:rPr>
          <w:b/>
        </w:rPr>
        <w:t>Debt.</w:t>
      </w:r>
      <w:r>
        <w:t xml:space="preserve"> A further $50M draw on the Oberland notes in FY2026E takes debt from $49.077M to $99.077M [P3][D1][D2]. From the first year of positive EBITDA (FY2028E base and bull, FY2031E bear), debt is set to 2.0× EBITDA. David's reference point is Medtronic, which he notes runs at about 2× [P3].</w:t>
      </w:r>
    </w:p>
    <w:p>
      <w:pPr>
        <w:pStyle w:val="ListBullet"/>
      </w:pPr>
      <w:r>
        <w:rPr>
          <w:b/>
        </w:rPr>
        <w:t>Interest.</w:t>
      </w:r>
      <w:r>
        <w:t xml:space="preserve"> 9.2% = 8.25% minimum coupon + about 0.7% for the 98% issue price and costs + about 0.25% for the revenue participation [C63][D2]. Using the 11.3% reported effective rate as well would count the discount and costs twice [P3].</w:t>
      </w:r>
    </w:p>
    <w:p>
      <w:pPr>
        <w:pStyle w:val="ListBullet"/>
      </w:pPr>
      <w:r>
        <w:rPr>
          <w:b/>
        </w:rPr>
        <w:t>Stock-based compensation.</w:t>
      </w:r>
      <w:r>
        <w:t xml:space="preserve"> Held at $8.0M a year until the first positive-EBITDA year, then moved in a straight line, in dollars, to 5% of FY2040E EBITDA [P3][C56].</w:t>
      </w:r>
    </w:p>
    <w:p>
      <w:pPr>
        <w:pStyle w:val="ListBullet"/>
      </w:pPr>
      <w:r>
        <w:rPr>
          <w:b/>
        </w:rPr>
        <w:t>Cost of equity.</w:t>
      </w:r>
      <w:r>
        <w:t xml:space="preserve"> 10.45% = 10-year Treasury yield 4.953% (Yahoo ^TNX, Oct 23, 2026) + Finagle's 5.5% default equity risk premium, with no beta adjustment. David's view is that med-tech betas are low [P3][C56].</w:t>
      </w:r>
    </w:p>
    <w:p>
      <w:pPr>
        <w:pStyle w:val="ListBullet"/>
      </w:pPr>
      <w:r>
        <w:rPr>
          <w:b/>
        </w:rPr>
        <w:t>Distributions.</w:t>
      </w:r>
      <w:r>
        <w:t xml:space="preserve"> Finagle's "none" setting treats each year's FCFE as paid out (negative FCFE as a call on shareholders). No buybacks are modelled [P3][S29].</w:t>
      </w:r>
    </w:p>
    <w:p>
      <w:pPr>
        <w:pStyle w:val="ListBullet"/>
      </w:pPr>
      <w:r>
        <w:rPr>
          <w:b/>
        </w:rPr>
        <w:t>Dilution.</w:t>
      </w:r>
      <w:r>
        <w:t xml:space="preserve"> David's rough estimate of 10% dilution from a $25M equity raise is applied after Finagle as ×0.90 to value per share [P3][C62].</w:t>
      </w:r>
    </w:p>
    <w:p>
      <w:pPr>
        <w:keepNext/>
        <w:keepLines/>
      </w:pPr>
      <w:r>
        <w:rPr>
          <w:b/>
        </w:rPr>
        <w:t>Figure 7 – Valuation inputs</w:t>
      </w:r>
    </w:p>
    <w:tbl>
      <w:tblPr>
        <w:tblStyle w:val="TableGrid"/>
        <w:tblW w:type="auto" w:w="0"/>
        <w:tblLook w:firstColumn="1" w:firstRow="1" w:lastColumn="0" w:lastRow="0" w:noHBand="0" w:noVBand="1" w:val="04A0"/>
      </w:tblPr>
      <w:tblGrid>
        <w:gridCol w:w="2108"/>
        <w:gridCol w:w="2108"/>
        <w:gridCol w:w="2108"/>
        <w:gridCol w:w="2108"/>
        <w:gridCol w:w="2108"/>
      </w:tblGrid>
      <w:tr>
        <w:trPr>
          <w:cantSplit/>
          <w:tblHeader/>
        </w:trPr>
        <w:tc>
          <w:tcPr>
            <w:tcW w:type="dxa" w:w="2108"/>
          </w:tcPr>
          <w:p>
            <w:pPr>
              <w:keepNext/>
              <w:keepLines/>
            </w:pPr>
            <w:r>
              <w:rPr>
                <w:b/>
                <w:sz w:val="16"/>
              </w:rPr>
              <w:t>Input</w:t>
            </w:r>
          </w:p>
        </w:tc>
        <w:tc>
          <w:tcPr>
            <w:tcW w:type="dxa" w:w="2108"/>
          </w:tcPr>
          <w:p>
            <w:pPr>
              <w:keepNext/>
              <w:keepLines/>
            </w:pPr>
            <w:r>
              <w:rPr>
                <w:b/>
                <w:sz w:val="16"/>
              </w:rPr>
              <w:t>Bear</w:t>
            </w:r>
          </w:p>
        </w:tc>
        <w:tc>
          <w:tcPr>
            <w:tcW w:type="dxa" w:w="2108"/>
          </w:tcPr>
          <w:p>
            <w:pPr>
              <w:keepNext/>
              <w:keepLines/>
            </w:pPr>
            <w:r>
              <w:rPr>
                <w:b/>
                <w:sz w:val="16"/>
              </w:rPr>
              <w:t>Base</w:t>
            </w:r>
          </w:p>
        </w:tc>
        <w:tc>
          <w:tcPr>
            <w:tcW w:type="dxa" w:w="2108"/>
          </w:tcPr>
          <w:p>
            <w:pPr>
              <w:keepNext/>
              <w:keepLines/>
            </w:pPr>
            <w:r>
              <w:rPr>
                <w:b/>
                <w:sz w:val="16"/>
              </w:rPr>
              <w:t>Bull</w:t>
            </w:r>
          </w:p>
        </w:tc>
        <w:tc>
          <w:tcPr>
            <w:tcW w:type="dxa" w:w="2108"/>
          </w:tcPr>
          <w:p>
            <w:pPr>
              <w:keepNext/>
              <w:keepLines/>
            </w:pPr>
            <w:r>
              <w:rPr>
                <w:b/>
                <w:sz w:val="16"/>
              </w:rPr>
              <w:t>Source</w:t>
            </w:r>
          </w:p>
        </w:tc>
      </w:tr>
      <w:tr>
        <w:trPr>
          <w:cantSplit/>
        </w:trPr>
        <w:tc>
          <w:tcPr>
            <w:tcW w:type="dxa" w:w="2108"/>
          </w:tcPr>
          <w:p>
            <w:pPr>
              <w:keepNext/>
              <w:keepLines/>
            </w:pPr>
            <w:r>
              <w:rPr>
                <w:sz w:val="16"/>
              </w:rPr>
              <w:t>FY2031E EBITDA margin (me)</w:t>
            </w:r>
          </w:p>
        </w:tc>
        <w:tc>
          <w:tcPr>
            <w:tcW w:type="dxa" w:w="2108"/>
          </w:tcPr>
          <w:p>
            <w:pPr>
              <w:keepNext/>
              <w:keepLines/>
            </w:pPr>
            <w:r>
              <w:rPr>
                <w:sz w:val="16"/>
              </w:rPr>
              <w:t>14.3%</w:t>
            </w:r>
          </w:p>
        </w:tc>
        <w:tc>
          <w:tcPr>
            <w:tcW w:type="dxa" w:w="2108"/>
          </w:tcPr>
          <w:p>
            <w:pPr>
              <w:keepNext/>
              <w:keepLines/>
            </w:pPr>
            <w:r>
              <w:rPr>
                <w:sz w:val="16"/>
              </w:rPr>
              <w:t>41.6%</w:t>
            </w:r>
          </w:p>
        </w:tc>
        <w:tc>
          <w:tcPr>
            <w:tcW w:type="dxa" w:w="2108"/>
          </w:tcPr>
          <w:p>
            <w:pPr>
              <w:keepNext/>
              <w:keepLines/>
            </w:pPr>
            <w:r>
              <w:rPr>
                <w:sz w:val="16"/>
              </w:rPr>
              <w:t>44.8%</w:t>
            </w:r>
          </w:p>
        </w:tc>
        <w:tc>
          <w:tcPr>
            <w:tcW w:type="dxa" w:w="2108"/>
          </w:tcPr>
          <w:p>
            <w:pPr>
              <w:keepNext/>
              <w:keepLines/>
            </w:pPr>
            <w:r>
              <w:rPr>
                <w:sz w:val="16"/>
              </w:rPr>
              <w:t>C65</w:t>
            </w:r>
          </w:p>
        </w:tc>
      </w:tr>
      <w:tr>
        <w:trPr>
          <w:cantSplit/>
        </w:trPr>
        <w:tc>
          <w:tcPr>
            <w:tcW w:type="dxa" w:w="2108"/>
          </w:tcPr>
          <w:p>
            <w:pPr>
              <w:keepNext/>
              <w:keepLines/>
            </w:pPr>
            <w:r>
              <w:rPr>
                <w:sz w:val="16"/>
              </w:rPr>
              <w:t>Incremental margin after FY2031E (mc) ★</w:t>
            </w:r>
          </w:p>
        </w:tc>
        <w:tc>
          <w:tcPr>
            <w:tcW w:type="dxa" w:w="2108"/>
          </w:tcPr>
          <w:p>
            <w:pPr>
              <w:keepNext/>
              <w:keepLines/>
            </w:pPr>
            <w:r>
              <w:rPr>
                <w:sz w:val="16"/>
              </w:rPr>
              <w:t>45%</w:t>
            </w:r>
          </w:p>
        </w:tc>
        <w:tc>
          <w:tcPr>
            <w:tcW w:type="dxa" w:w="2108"/>
          </w:tcPr>
          <w:p>
            <w:pPr>
              <w:keepNext/>
              <w:keepLines/>
            </w:pPr>
            <w:r>
              <w:rPr>
                <w:sz w:val="16"/>
              </w:rPr>
              <w:t>50%</w:t>
            </w:r>
          </w:p>
        </w:tc>
        <w:tc>
          <w:tcPr>
            <w:tcW w:type="dxa" w:w="2108"/>
          </w:tcPr>
          <w:p>
            <w:pPr>
              <w:keepNext/>
              <w:keepLines/>
            </w:pPr>
            <w:r>
              <w:rPr>
                <w:sz w:val="16"/>
              </w:rPr>
              <w:t>55%</w:t>
            </w:r>
          </w:p>
        </w:tc>
        <w:tc>
          <w:tcPr>
            <w:tcW w:type="dxa" w:w="2108"/>
          </w:tcPr>
          <w:p>
            <w:pPr>
              <w:keepNext/>
              <w:keepLines/>
            </w:pPr>
            <w:r>
              <w:rPr>
                <w:sz w:val="16"/>
              </w:rPr>
              <w:t>S17</w:t>
            </w:r>
          </w:p>
        </w:tc>
      </w:tr>
      <w:tr>
        <w:trPr>
          <w:cantSplit/>
        </w:trPr>
        <w:tc>
          <w:tcPr>
            <w:tcW w:type="dxa" w:w="2108"/>
          </w:tcPr>
          <w:p>
            <w:pPr>
              <w:keepNext/>
              <w:keepLines/>
            </w:pPr>
            <w:r>
              <w:rPr>
                <w:sz w:val="16"/>
              </w:rPr>
              <w:t>FY2032E revenue growth (gsnext) ★</w:t>
            </w:r>
          </w:p>
        </w:tc>
        <w:tc>
          <w:tcPr>
            <w:tcW w:type="dxa" w:w="2108"/>
          </w:tcPr>
          <w:p>
            <w:pPr>
              <w:keepNext/>
              <w:keepLines/>
            </w:pPr>
            <w:r>
              <w:rPr>
                <w:sz w:val="16"/>
              </w:rPr>
              <w:t>15.0%</w:t>
            </w:r>
          </w:p>
        </w:tc>
        <w:tc>
          <w:tcPr>
            <w:tcW w:type="dxa" w:w="2108"/>
          </w:tcPr>
          <w:p>
            <w:pPr>
              <w:keepNext/>
              <w:keepLines/>
            </w:pPr>
            <w:r>
              <w:rPr>
                <w:sz w:val="16"/>
              </w:rPr>
              <w:t>15.0%</w:t>
            </w:r>
          </w:p>
        </w:tc>
        <w:tc>
          <w:tcPr>
            <w:tcW w:type="dxa" w:w="2108"/>
          </w:tcPr>
          <w:p>
            <w:pPr>
              <w:keepNext/>
              <w:keepLines/>
            </w:pPr>
            <w:r>
              <w:rPr>
                <w:sz w:val="16"/>
              </w:rPr>
              <w:t>15.0%</w:t>
            </w:r>
          </w:p>
        </w:tc>
        <w:tc>
          <w:tcPr>
            <w:tcW w:type="dxa" w:w="2108"/>
          </w:tcPr>
          <w:p>
            <w:pPr>
              <w:keepNext/>
              <w:keepLines/>
            </w:pPr>
            <w:r>
              <w:rPr>
                <w:sz w:val="16"/>
              </w:rPr>
              <w:t>P3</w:t>
            </w:r>
          </w:p>
        </w:tc>
      </w:tr>
      <w:tr>
        <w:trPr>
          <w:cantSplit/>
        </w:trPr>
        <w:tc>
          <w:tcPr>
            <w:tcW w:type="dxa" w:w="2108"/>
          </w:tcPr>
          <w:p>
            <w:pPr>
              <w:keepNext/>
              <w:keepLines/>
            </w:pPr>
            <w:r>
              <w:rPr>
                <w:sz w:val="16"/>
              </w:rPr>
              <w:t>Horizon (years) / years after explicit</w:t>
            </w:r>
          </w:p>
        </w:tc>
        <w:tc>
          <w:tcPr>
            <w:tcW w:type="dxa" w:w="2108"/>
          </w:tcPr>
          <w:p>
            <w:pPr>
              <w:keepNext/>
              <w:keepLines/>
            </w:pPr>
            <w:r>
              <w:rPr>
                <w:sz w:val="16"/>
              </w:rPr>
              <w:t>15 / 9</w:t>
            </w:r>
          </w:p>
        </w:tc>
        <w:tc>
          <w:tcPr>
            <w:tcW w:type="dxa" w:w="2108"/>
          </w:tcPr>
          <w:p>
            <w:pPr>
              <w:keepNext/>
              <w:keepLines/>
            </w:pPr>
            <w:r>
              <w:rPr>
                <w:sz w:val="16"/>
              </w:rPr>
              <w:t>15 / 9</w:t>
            </w:r>
          </w:p>
        </w:tc>
        <w:tc>
          <w:tcPr>
            <w:tcW w:type="dxa" w:w="2108"/>
          </w:tcPr>
          <w:p>
            <w:pPr>
              <w:keepNext/>
              <w:keepLines/>
            </w:pPr>
            <w:r>
              <w:rPr>
                <w:sz w:val="16"/>
              </w:rPr>
              <w:t>15 / 9</w:t>
            </w:r>
          </w:p>
        </w:tc>
        <w:tc>
          <w:tcPr>
            <w:tcW w:type="dxa" w:w="2108"/>
          </w:tcPr>
          <w:p>
            <w:pPr>
              <w:keepNext/>
              <w:keepLines/>
            </w:pPr>
            <w:r>
              <w:rPr>
                <w:sz w:val="16"/>
              </w:rPr>
              <w:t>P3</w:t>
            </w:r>
          </w:p>
        </w:tc>
      </w:tr>
      <w:tr>
        <w:trPr>
          <w:cantSplit/>
        </w:trPr>
        <w:tc>
          <w:tcPr>
            <w:tcW w:type="dxa" w:w="2108"/>
          </w:tcPr>
          <w:p>
            <w:pPr>
              <w:keepNext/>
              <w:keepLines/>
            </w:pPr>
            <w:r>
              <w:rPr>
                <w:sz w:val="16"/>
              </w:rPr>
              <w:t>Terminal growth (gt, Finagle default)</w:t>
            </w:r>
          </w:p>
        </w:tc>
        <w:tc>
          <w:tcPr>
            <w:tcW w:type="dxa" w:w="2108"/>
          </w:tcPr>
          <w:p>
            <w:pPr>
              <w:keepNext/>
              <w:keepLines/>
            </w:pPr>
            <w:r>
              <w:rPr>
                <w:sz w:val="16"/>
              </w:rPr>
              <w:t>4.95%</w:t>
            </w:r>
          </w:p>
        </w:tc>
        <w:tc>
          <w:tcPr>
            <w:tcW w:type="dxa" w:w="2108"/>
          </w:tcPr>
          <w:p>
            <w:pPr>
              <w:keepNext/>
              <w:keepLines/>
            </w:pPr>
            <w:r>
              <w:rPr>
                <w:sz w:val="16"/>
              </w:rPr>
              <w:t>4.95%</w:t>
            </w:r>
          </w:p>
        </w:tc>
        <w:tc>
          <w:tcPr>
            <w:tcW w:type="dxa" w:w="2108"/>
          </w:tcPr>
          <w:p>
            <w:pPr>
              <w:keepNext/>
              <w:keepLines/>
            </w:pPr>
            <w:r>
              <w:rPr>
                <w:sz w:val="16"/>
              </w:rPr>
              <w:t>4.95%</w:t>
            </w:r>
          </w:p>
        </w:tc>
        <w:tc>
          <w:tcPr>
            <w:tcW w:type="dxa" w:w="2108"/>
          </w:tcPr>
          <w:p>
            <w:pPr>
              <w:keepNext/>
              <w:keepLines/>
            </w:pPr>
            <w:r>
              <w:rPr>
                <w:sz w:val="16"/>
              </w:rPr>
              <w:t>C56</w:t>
            </w:r>
          </w:p>
        </w:tc>
      </w:tr>
      <w:tr>
        <w:trPr>
          <w:cantSplit/>
        </w:trPr>
        <w:tc>
          <w:tcPr>
            <w:tcW w:type="dxa" w:w="2108"/>
          </w:tcPr>
          <w:p>
            <w:pPr>
              <w:keepNext/>
              <w:keepLines/>
            </w:pPr>
            <w:r>
              <w:rPr>
                <w:sz w:val="16"/>
              </w:rPr>
              <w:t>Cost of equity (re = 10-year + 5.5% ERP) ★</w:t>
            </w:r>
          </w:p>
        </w:tc>
        <w:tc>
          <w:tcPr>
            <w:tcW w:type="dxa" w:w="2108"/>
          </w:tcPr>
          <w:p>
            <w:pPr>
              <w:keepNext/>
              <w:keepLines/>
            </w:pPr>
            <w:r>
              <w:rPr>
                <w:sz w:val="16"/>
              </w:rPr>
              <w:t>10.45%</w:t>
            </w:r>
          </w:p>
        </w:tc>
        <w:tc>
          <w:tcPr>
            <w:tcW w:type="dxa" w:w="2108"/>
          </w:tcPr>
          <w:p>
            <w:pPr>
              <w:keepNext/>
              <w:keepLines/>
            </w:pPr>
            <w:r>
              <w:rPr>
                <w:sz w:val="16"/>
              </w:rPr>
              <w:t>10.45%</w:t>
            </w:r>
          </w:p>
        </w:tc>
        <w:tc>
          <w:tcPr>
            <w:tcW w:type="dxa" w:w="2108"/>
          </w:tcPr>
          <w:p>
            <w:pPr>
              <w:keepNext/>
              <w:keepLines/>
            </w:pPr>
            <w:r>
              <w:rPr>
                <w:sz w:val="16"/>
              </w:rPr>
              <w:t>10.45%</w:t>
            </w:r>
          </w:p>
        </w:tc>
        <w:tc>
          <w:tcPr>
            <w:tcW w:type="dxa" w:w="2108"/>
          </w:tcPr>
          <w:p>
            <w:pPr>
              <w:keepNext/>
              <w:keepLines/>
            </w:pPr>
            <w:r>
              <w:rPr>
                <w:sz w:val="16"/>
              </w:rPr>
              <w:t>P3, C56</w:t>
            </w:r>
          </w:p>
        </w:tc>
      </w:tr>
      <w:tr>
        <w:trPr>
          <w:cantSplit/>
        </w:trPr>
        <w:tc>
          <w:tcPr>
            <w:tcW w:type="dxa" w:w="2108"/>
          </w:tcPr>
          <w:p>
            <w:pPr>
              <w:keepNext/>
              <w:keepLines/>
            </w:pPr>
            <w:r>
              <w:rPr>
                <w:sz w:val="16"/>
              </w:rPr>
              <w:t>Return on new invested capital (roict) ★</w:t>
            </w:r>
          </w:p>
        </w:tc>
        <w:tc>
          <w:tcPr>
            <w:tcW w:type="dxa" w:w="2108"/>
          </w:tcPr>
          <w:p>
            <w:pPr>
              <w:keepNext/>
              <w:keepLines/>
            </w:pPr>
            <w:r>
              <w:rPr>
                <w:sz w:val="16"/>
              </w:rPr>
              <w:t>25%</w:t>
            </w:r>
          </w:p>
        </w:tc>
        <w:tc>
          <w:tcPr>
            <w:tcW w:type="dxa" w:w="2108"/>
          </w:tcPr>
          <w:p>
            <w:pPr>
              <w:keepNext/>
              <w:keepLines/>
            </w:pPr>
            <w:r>
              <w:rPr>
                <w:sz w:val="16"/>
              </w:rPr>
              <w:t>25%</w:t>
            </w:r>
          </w:p>
        </w:tc>
        <w:tc>
          <w:tcPr>
            <w:tcW w:type="dxa" w:w="2108"/>
          </w:tcPr>
          <w:p>
            <w:pPr>
              <w:keepNext/>
              <w:keepLines/>
            </w:pPr>
            <w:r>
              <w:rPr>
                <w:sz w:val="16"/>
              </w:rPr>
              <w:t>25%</w:t>
            </w:r>
          </w:p>
        </w:tc>
        <w:tc>
          <w:tcPr>
            <w:tcW w:type="dxa" w:w="2108"/>
          </w:tcPr>
          <w:p>
            <w:pPr>
              <w:keepNext/>
              <w:keepLines/>
            </w:pPr>
            <w:r>
              <w:rPr>
                <w:sz w:val="16"/>
              </w:rPr>
              <w:t>P3, C64</w:t>
            </w:r>
          </w:p>
        </w:tc>
      </w:tr>
      <w:tr>
        <w:trPr>
          <w:cantSplit/>
        </w:trPr>
        <w:tc>
          <w:tcPr>
            <w:tcW w:type="dxa" w:w="2108"/>
          </w:tcPr>
          <w:p>
            <w:pPr>
              <w:keepNext/>
              <w:keepLines/>
            </w:pPr>
            <w:r>
              <w:rPr>
                <w:sz w:val="16"/>
              </w:rPr>
              <w:t>Cost of debt / tax rate ★</w:t>
            </w:r>
          </w:p>
        </w:tc>
        <w:tc>
          <w:tcPr>
            <w:tcW w:type="dxa" w:w="2108"/>
          </w:tcPr>
          <w:p>
            <w:pPr>
              <w:keepNext/>
              <w:keepLines/>
            </w:pPr>
            <w:r>
              <w:rPr>
                <w:sz w:val="16"/>
              </w:rPr>
              <w:t>9.2% / 21%</w:t>
            </w:r>
          </w:p>
        </w:tc>
        <w:tc>
          <w:tcPr>
            <w:tcW w:type="dxa" w:w="2108"/>
          </w:tcPr>
          <w:p>
            <w:pPr>
              <w:keepNext/>
              <w:keepLines/>
            </w:pPr>
            <w:r>
              <w:rPr>
                <w:sz w:val="16"/>
              </w:rPr>
              <w:t>9.2% / 21%</w:t>
            </w:r>
          </w:p>
        </w:tc>
        <w:tc>
          <w:tcPr>
            <w:tcW w:type="dxa" w:w="2108"/>
          </w:tcPr>
          <w:p>
            <w:pPr>
              <w:keepNext/>
              <w:keepLines/>
            </w:pPr>
            <w:r>
              <w:rPr>
                <w:sz w:val="16"/>
              </w:rPr>
              <w:t>9.2% / 21%</w:t>
            </w:r>
          </w:p>
        </w:tc>
        <w:tc>
          <w:tcPr>
            <w:tcW w:type="dxa" w:w="2108"/>
          </w:tcPr>
          <w:p>
            <w:pPr>
              <w:keepNext/>
              <w:keepLines/>
            </w:pPr>
            <w:r>
              <w:rPr>
                <w:sz w:val="16"/>
              </w:rPr>
              <w:t>C63, S29</w:t>
            </w:r>
          </w:p>
        </w:tc>
      </w:tr>
      <w:tr>
        <w:trPr>
          <w:cantSplit/>
        </w:trPr>
        <w:tc>
          <w:tcPr>
            <w:tcW w:type="dxa" w:w="2108"/>
          </w:tcPr>
          <w:p>
            <w:pPr>
              <w:keepNext/>
              <w:keepLines/>
            </w:pPr>
            <w:r>
              <w:rPr>
                <w:sz w:val="16"/>
              </w:rPr>
              <w:t>Debt: FY2026E draw / leverage from</w:t>
            </w:r>
          </w:p>
        </w:tc>
        <w:tc>
          <w:tcPr>
            <w:tcW w:type="dxa" w:w="2108"/>
          </w:tcPr>
          <w:p>
            <w:pPr>
              <w:keepNext/>
              <w:keepLines/>
            </w:pPr>
            <w:r>
              <w:rPr>
                <w:sz w:val="16"/>
              </w:rPr>
              <w:t>+$50M / FY2031E</w:t>
            </w:r>
          </w:p>
        </w:tc>
        <w:tc>
          <w:tcPr>
            <w:tcW w:type="dxa" w:w="2108"/>
          </w:tcPr>
          <w:p>
            <w:pPr>
              <w:keepNext/>
              <w:keepLines/>
            </w:pPr>
            <w:r>
              <w:rPr>
                <w:sz w:val="16"/>
              </w:rPr>
              <w:t>+$50M / FY2028E</w:t>
            </w:r>
          </w:p>
        </w:tc>
        <w:tc>
          <w:tcPr>
            <w:tcW w:type="dxa" w:w="2108"/>
          </w:tcPr>
          <w:p>
            <w:pPr>
              <w:keepNext/>
              <w:keepLines/>
            </w:pPr>
            <w:r>
              <w:rPr>
                <w:sz w:val="16"/>
              </w:rPr>
              <w:t>+$50M / FY2028E</w:t>
            </w:r>
          </w:p>
        </w:tc>
        <w:tc>
          <w:tcPr>
            <w:tcW w:type="dxa" w:w="2108"/>
          </w:tcPr>
          <w:p>
            <w:pPr>
              <w:keepNext/>
              <w:keepLines/>
            </w:pPr>
            <w:r>
              <w:rPr>
                <w:sz w:val="16"/>
              </w:rPr>
              <w:t>P3</w:t>
            </w:r>
          </w:p>
        </w:tc>
      </w:tr>
      <w:tr>
        <w:trPr>
          <w:cantSplit/>
        </w:trPr>
        <w:tc>
          <w:tcPr>
            <w:tcW w:type="dxa" w:w="2108"/>
          </w:tcPr>
          <w:p>
            <w:pPr>
              <w:keepNext/>
              <w:keepLines/>
            </w:pPr>
            <w:r>
              <w:rPr>
                <w:sz w:val="16"/>
              </w:rPr>
              <w:t>Debt-to-EBITDA target ★</w:t>
            </w:r>
          </w:p>
        </w:tc>
        <w:tc>
          <w:tcPr>
            <w:tcW w:type="dxa" w:w="2108"/>
          </w:tcPr>
          <w:p>
            <w:pPr>
              <w:keepNext/>
              <w:keepLines/>
            </w:pPr>
            <w:r>
              <w:rPr>
                <w:sz w:val="16"/>
              </w:rPr>
              <w:t>2.0×</w:t>
            </w:r>
          </w:p>
        </w:tc>
        <w:tc>
          <w:tcPr>
            <w:tcW w:type="dxa" w:w="2108"/>
          </w:tcPr>
          <w:p>
            <w:pPr>
              <w:keepNext/>
              <w:keepLines/>
            </w:pPr>
            <w:r>
              <w:rPr>
                <w:sz w:val="16"/>
              </w:rPr>
              <w:t>2.0×</w:t>
            </w:r>
          </w:p>
        </w:tc>
        <w:tc>
          <w:tcPr>
            <w:tcW w:type="dxa" w:w="2108"/>
          </w:tcPr>
          <w:p>
            <w:pPr>
              <w:keepNext/>
              <w:keepLines/>
            </w:pPr>
            <w:r>
              <w:rPr>
                <w:sz w:val="16"/>
              </w:rPr>
              <w:t>2.0×</w:t>
            </w:r>
          </w:p>
        </w:tc>
        <w:tc>
          <w:tcPr>
            <w:tcW w:type="dxa" w:w="2108"/>
          </w:tcPr>
          <w:p>
            <w:pPr>
              <w:keepNext/>
              <w:keepLines/>
            </w:pPr>
            <w:r>
              <w:rPr>
                <w:sz w:val="16"/>
              </w:rPr>
              <w:t>P3</w:t>
            </w:r>
          </w:p>
        </w:tc>
      </w:tr>
      <w:tr>
        <w:trPr>
          <w:cantSplit/>
        </w:trPr>
        <w:tc>
          <w:tcPr>
            <w:tcW w:type="dxa" w:w="2108"/>
          </w:tcPr>
          <w:p>
            <w:pPr>
              <w:keepNext/>
              <w:keepLines/>
            </w:pPr>
            <w:r>
              <w:rPr>
                <w:sz w:val="16"/>
              </w:rPr>
              <w:t>Terminal WACC (Finagle output)</w:t>
            </w:r>
          </w:p>
        </w:tc>
        <w:tc>
          <w:tcPr>
            <w:tcW w:type="dxa" w:w="2108"/>
          </w:tcPr>
          <w:p>
            <w:pPr>
              <w:keepNext/>
              <w:keepLines/>
            </w:pPr>
            <w:r>
              <w:rPr>
                <w:sz w:val="16"/>
              </w:rPr>
              <w:t>9.9%</w:t>
            </w:r>
          </w:p>
        </w:tc>
        <w:tc>
          <w:tcPr>
            <w:tcW w:type="dxa" w:w="2108"/>
          </w:tcPr>
          <w:p>
            <w:pPr>
              <w:keepNext/>
              <w:keepLines/>
            </w:pPr>
            <w:r>
              <w:rPr>
                <w:sz w:val="16"/>
              </w:rPr>
              <w:t>9.9%</w:t>
            </w:r>
          </w:p>
        </w:tc>
        <w:tc>
          <w:tcPr>
            <w:tcW w:type="dxa" w:w="2108"/>
          </w:tcPr>
          <w:p>
            <w:pPr>
              <w:keepNext/>
              <w:keepLines/>
            </w:pPr>
            <w:r>
              <w:rPr>
                <w:sz w:val="16"/>
              </w:rPr>
              <w:t>9.9%</w:t>
            </w:r>
          </w:p>
        </w:tc>
        <w:tc>
          <w:tcPr>
            <w:tcW w:type="dxa" w:w="2108"/>
          </w:tcPr>
          <w:p>
            <w:pPr>
              <w:keepNext/>
              <w:keepLines/>
            </w:pPr>
            <w:r>
              <w:rPr>
                <w:sz w:val="16"/>
              </w:rPr>
              <w:t>C56–C58</w:t>
            </w:r>
          </w:p>
        </w:tc>
      </w:tr>
      <w:tr>
        <w:trPr>
          <w:cantSplit/>
        </w:trPr>
        <w:tc>
          <w:tcPr>
            <w:tcW w:type="dxa" w:w="2108"/>
          </w:tcPr>
          <w:p>
            <w:pPr>
              <w:keepNext/>
              <w:keepLines/>
            </w:pPr>
            <w:r>
              <w:rPr>
                <w:sz w:val="16"/>
              </w:rPr>
              <w:t>Debt / cash, FY2025A (US$M)</w:t>
            </w:r>
          </w:p>
        </w:tc>
        <w:tc>
          <w:tcPr>
            <w:tcW w:type="dxa" w:w="2108"/>
          </w:tcPr>
          <w:p>
            <w:pPr>
              <w:keepNext/>
              <w:keepLines/>
            </w:pPr>
            <w:r>
              <w:rPr>
                <w:sz w:val="16"/>
              </w:rPr>
              <w:t>49.1 / 45.9</w:t>
            </w:r>
          </w:p>
        </w:tc>
        <w:tc>
          <w:tcPr>
            <w:tcW w:type="dxa" w:w="2108"/>
          </w:tcPr>
          <w:p>
            <w:pPr>
              <w:keepNext/>
              <w:keepLines/>
            </w:pPr>
            <w:r>
              <w:rPr>
                <w:sz w:val="16"/>
              </w:rPr>
              <w:t>49.1 / 45.9</w:t>
            </w:r>
          </w:p>
        </w:tc>
        <w:tc>
          <w:tcPr>
            <w:tcW w:type="dxa" w:w="2108"/>
          </w:tcPr>
          <w:p>
            <w:pPr>
              <w:keepNext/>
              <w:keepLines/>
            </w:pPr>
            <w:r>
              <w:rPr>
                <w:sz w:val="16"/>
              </w:rPr>
              <w:t>49.1 / 45.9</w:t>
            </w:r>
          </w:p>
        </w:tc>
        <w:tc>
          <w:tcPr>
            <w:tcW w:type="dxa" w:w="2108"/>
          </w:tcPr>
          <w:p>
            <w:pPr>
              <w:keepNext/>
              <w:keepLines/>
            </w:pPr>
            <w:r>
              <w:rPr>
                <w:sz w:val="16"/>
              </w:rPr>
              <w:t>D1</w:t>
            </w:r>
          </w:p>
        </w:tc>
      </w:tr>
      <w:tr>
        <w:trPr>
          <w:cantSplit/>
        </w:trPr>
        <w:tc>
          <w:tcPr>
            <w:tcW w:type="dxa" w:w="2108"/>
          </w:tcPr>
          <w:p>
            <w:pPr>
              <w:keepNext/>
              <w:keepLines/>
            </w:pPr>
            <w:r>
              <w:rPr>
                <w:sz w:val="16"/>
              </w:rPr>
              <w:t>Federal NOL (US$M)</w:t>
            </w:r>
          </w:p>
        </w:tc>
        <w:tc>
          <w:tcPr>
            <w:tcW w:type="dxa" w:w="2108"/>
          </w:tcPr>
          <w:p>
            <w:pPr>
              <w:keepNext/>
              <w:keepLines/>
            </w:pPr>
            <w:r>
              <w:rPr>
                <w:sz w:val="16"/>
              </w:rPr>
              <w:t>258.2</w:t>
            </w:r>
          </w:p>
        </w:tc>
        <w:tc>
          <w:tcPr>
            <w:tcW w:type="dxa" w:w="2108"/>
          </w:tcPr>
          <w:p>
            <w:pPr>
              <w:keepNext/>
              <w:keepLines/>
            </w:pPr>
            <w:r>
              <w:rPr>
                <w:sz w:val="16"/>
              </w:rPr>
              <w:t>258.2</w:t>
            </w:r>
          </w:p>
        </w:tc>
        <w:tc>
          <w:tcPr>
            <w:tcW w:type="dxa" w:w="2108"/>
          </w:tcPr>
          <w:p>
            <w:pPr>
              <w:keepNext/>
              <w:keepLines/>
            </w:pPr>
            <w:r>
              <w:rPr>
                <w:sz w:val="16"/>
              </w:rPr>
              <w:t>258.2</w:t>
            </w:r>
          </w:p>
        </w:tc>
        <w:tc>
          <w:tcPr>
            <w:tcW w:type="dxa" w:w="2108"/>
          </w:tcPr>
          <w:p>
            <w:pPr>
              <w:keepNext/>
              <w:keepLines/>
            </w:pPr>
            <w:r>
              <w:rPr>
                <w:sz w:val="16"/>
              </w:rPr>
              <w:t>D1</w:t>
            </w:r>
          </w:p>
        </w:tc>
      </w:tr>
      <w:tr>
        <w:trPr>
          <w:cantSplit/>
        </w:trPr>
        <w:tc>
          <w:tcPr>
            <w:tcW w:type="dxa" w:w="2108"/>
          </w:tcPr>
          <w:p>
            <w:r>
              <w:rPr>
                <w:sz w:val="16"/>
              </w:rPr>
              <w:t>Shares (M) / price (US$)</w:t>
            </w:r>
          </w:p>
        </w:tc>
        <w:tc>
          <w:tcPr>
            <w:tcW w:type="dxa" w:w="2108"/>
          </w:tcPr>
          <w:p>
            <w:r>
              <w:rPr>
                <w:sz w:val="16"/>
              </w:rPr>
              <w:t>30.50 / 9.25</w:t>
            </w:r>
          </w:p>
        </w:tc>
        <w:tc>
          <w:tcPr>
            <w:tcW w:type="dxa" w:w="2108"/>
          </w:tcPr>
          <w:p>
            <w:r>
              <w:rPr>
                <w:sz w:val="16"/>
              </w:rPr>
              <w:t>30.50 / 9.25</w:t>
            </w:r>
          </w:p>
        </w:tc>
        <w:tc>
          <w:tcPr>
            <w:tcW w:type="dxa" w:w="2108"/>
          </w:tcPr>
          <w:p>
            <w:r>
              <w:rPr>
                <w:sz w:val="16"/>
              </w:rPr>
              <w:t>30.50 / 9.25</w:t>
            </w:r>
          </w:p>
        </w:tc>
        <w:tc>
          <w:tcPr>
            <w:tcW w:type="dxa" w:w="2108"/>
          </w:tcPr>
          <w:p>
            <w:r>
              <w:rPr>
                <w:sz w:val="16"/>
              </w:rPr>
              <w:t>D2, C59</w:t>
            </w:r>
          </w:p>
        </w:tc>
      </w:tr>
    </w:tbl>
    <w:p/>
    <w:p>
      <w:pPr>
        <w:keepNext/>
        <w:keepLines/>
      </w:pPr>
      <w:r>
        <w:rPr>
          <w:i/>
        </w:rPr>
        <w:t>Source: tags as shown. ★ = judgment call. me is FY2031E EBITDA ÷ revenue from our forecast [C65]. mc reflects procedure gross margin less specialist cost, blended with core [S17].</w:t>
      </w:r>
    </w:p>
    <w:p>
      <w:pPr>
        <w:keepNext/>
        <w:keepLines/>
      </w:pPr>
      <w:r>
        <w:rPr>
          <w:b/>
        </w:rPr>
        <w:t>Figure 8a – Revenue growth path, FY2027E–FY2040E (explicit to FY2031E, Finagle fade after)</w:t>
      </w:r>
    </w:p>
    <w:tbl>
      <w:tblPr>
        <w:tblStyle w:val="TableGrid"/>
        <w:tblW w:type="auto" w:w="0"/>
        <w:tblLook w:firstColumn="1" w:firstRow="1" w:lastColumn="0" w:lastRow="0" w:noHBand="0" w:noVBand="1" w:val="04A0"/>
      </w:tblPr>
      <w:tblGrid>
        <w:gridCol w:w="703"/>
        <w:gridCol w:w="703"/>
        <w:gridCol w:w="703"/>
        <w:gridCol w:w="703"/>
        <w:gridCol w:w="703"/>
        <w:gridCol w:w="703"/>
        <w:gridCol w:w="703"/>
        <w:gridCol w:w="703"/>
        <w:gridCol w:w="703"/>
        <w:gridCol w:w="703"/>
        <w:gridCol w:w="703"/>
        <w:gridCol w:w="703"/>
        <w:gridCol w:w="703"/>
        <w:gridCol w:w="703"/>
        <w:gridCol w:w="703"/>
      </w:tblGrid>
      <w:tr>
        <w:trPr>
          <w:cantSplit/>
          <w:tblHeader/>
        </w:trPr>
        <w:tc>
          <w:tcPr>
            <w:tcW w:type="dxa" w:w="703"/>
          </w:tcPr>
          <w:p>
            <w:pPr>
              <w:keepNext/>
              <w:keepLines/>
            </w:pPr>
            <w:r>
              <w:rPr>
                <w:b/>
                <w:sz w:val="14"/>
              </w:rPr>
              <w:t>Revenue growth</w:t>
            </w:r>
          </w:p>
        </w:tc>
        <w:tc>
          <w:tcPr>
            <w:tcW w:type="dxa" w:w="703"/>
          </w:tcPr>
          <w:p>
            <w:pPr>
              <w:keepNext/>
              <w:keepLines/>
            </w:pPr>
            <w:r>
              <w:rPr>
                <w:b/>
                <w:sz w:val="14"/>
              </w:rPr>
              <w:t>2027</w:t>
            </w:r>
          </w:p>
        </w:tc>
        <w:tc>
          <w:tcPr>
            <w:tcW w:type="dxa" w:w="703"/>
          </w:tcPr>
          <w:p>
            <w:pPr>
              <w:keepNext/>
              <w:keepLines/>
            </w:pPr>
            <w:r>
              <w:rPr>
                <w:b/>
                <w:sz w:val="14"/>
              </w:rPr>
              <w:t>2028</w:t>
            </w:r>
          </w:p>
        </w:tc>
        <w:tc>
          <w:tcPr>
            <w:tcW w:type="dxa" w:w="703"/>
          </w:tcPr>
          <w:p>
            <w:pPr>
              <w:keepNext/>
              <w:keepLines/>
            </w:pPr>
            <w:r>
              <w:rPr>
                <w:b/>
                <w:sz w:val="14"/>
              </w:rPr>
              <w:t>2029</w:t>
            </w:r>
          </w:p>
        </w:tc>
        <w:tc>
          <w:tcPr>
            <w:tcW w:type="dxa" w:w="703"/>
          </w:tcPr>
          <w:p>
            <w:pPr>
              <w:keepNext/>
              <w:keepLines/>
            </w:pPr>
            <w:r>
              <w:rPr>
                <w:b/>
                <w:sz w:val="14"/>
              </w:rPr>
              <w:t>2030</w:t>
            </w:r>
          </w:p>
        </w:tc>
        <w:tc>
          <w:tcPr>
            <w:tcW w:type="dxa" w:w="703"/>
          </w:tcPr>
          <w:p>
            <w:pPr>
              <w:keepNext/>
              <w:keepLines/>
            </w:pPr>
            <w:r>
              <w:rPr>
                <w:b/>
                <w:sz w:val="14"/>
              </w:rPr>
              <w:t>2031</w:t>
            </w:r>
          </w:p>
        </w:tc>
        <w:tc>
          <w:tcPr>
            <w:tcW w:type="dxa" w:w="703"/>
          </w:tcPr>
          <w:p>
            <w:pPr>
              <w:keepNext/>
              <w:keepLines/>
            </w:pPr>
            <w:r>
              <w:rPr>
                <w:b/>
                <w:sz w:val="14"/>
              </w:rPr>
              <w:t>2032</w:t>
            </w:r>
          </w:p>
        </w:tc>
        <w:tc>
          <w:tcPr>
            <w:tcW w:type="dxa" w:w="703"/>
          </w:tcPr>
          <w:p>
            <w:pPr>
              <w:keepNext/>
              <w:keepLines/>
            </w:pPr>
            <w:r>
              <w:rPr>
                <w:b/>
                <w:sz w:val="14"/>
              </w:rPr>
              <w:t>2033</w:t>
            </w:r>
          </w:p>
        </w:tc>
        <w:tc>
          <w:tcPr>
            <w:tcW w:type="dxa" w:w="703"/>
          </w:tcPr>
          <w:p>
            <w:pPr>
              <w:keepNext/>
              <w:keepLines/>
            </w:pPr>
            <w:r>
              <w:rPr>
                <w:b/>
                <w:sz w:val="14"/>
              </w:rPr>
              <w:t>2034</w:t>
            </w:r>
          </w:p>
        </w:tc>
        <w:tc>
          <w:tcPr>
            <w:tcW w:type="dxa" w:w="703"/>
          </w:tcPr>
          <w:p>
            <w:pPr>
              <w:keepNext/>
              <w:keepLines/>
            </w:pPr>
            <w:r>
              <w:rPr>
                <w:b/>
                <w:sz w:val="14"/>
              </w:rPr>
              <w:t>2035</w:t>
            </w:r>
          </w:p>
        </w:tc>
        <w:tc>
          <w:tcPr>
            <w:tcW w:type="dxa" w:w="703"/>
          </w:tcPr>
          <w:p>
            <w:pPr>
              <w:keepNext/>
              <w:keepLines/>
            </w:pPr>
            <w:r>
              <w:rPr>
                <w:b/>
                <w:sz w:val="14"/>
              </w:rPr>
              <w:t>2036</w:t>
            </w:r>
          </w:p>
        </w:tc>
        <w:tc>
          <w:tcPr>
            <w:tcW w:type="dxa" w:w="703"/>
          </w:tcPr>
          <w:p>
            <w:pPr>
              <w:keepNext/>
              <w:keepLines/>
            </w:pPr>
            <w:r>
              <w:rPr>
                <w:b/>
                <w:sz w:val="14"/>
              </w:rPr>
              <w:t>2037</w:t>
            </w:r>
          </w:p>
        </w:tc>
        <w:tc>
          <w:tcPr>
            <w:tcW w:type="dxa" w:w="703"/>
          </w:tcPr>
          <w:p>
            <w:pPr>
              <w:keepNext/>
              <w:keepLines/>
            </w:pPr>
            <w:r>
              <w:rPr>
                <w:b/>
                <w:sz w:val="14"/>
              </w:rPr>
              <w:t>2038</w:t>
            </w:r>
          </w:p>
        </w:tc>
        <w:tc>
          <w:tcPr>
            <w:tcW w:type="dxa" w:w="703"/>
          </w:tcPr>
          <w:p>
            <w:pPr>
              <w:keepNext/>
              <w:keepLines/>
            </w:pPr>
            <w:r>
              <w:rPr>
                <w:b/>
                <w:sz w:val="14"/>
              </w:rPr>
              <w:t>2039</w:t>
            </w:r>
          </w:p>
        </w:tc>
        <w:tc>
          <w:tcPr>
            <w:tcW w:type="dxa" w:w="703"/>
          </w:tcPr>
          <w:p>
            <w:pPr>
              <w:keepNext/>
              <w:keepLines/>
            </w:pPr>
            <w:r>
              <w:rPr>
                <w:b/>
                <w:sz w:val="14"/>
              </w:rPr>
              <w:t>2040</w:t>
            </w:r>
          </w:p>
        </w:tc>
      </w:tr>
      <w:tr>
        <w:trPr>
          <w:cantSplit/>
        </w:trPr>
        <w:tc>
          <w:tcPr>
            <w:tcW w:type="dxa" w:w="703"/>
          </w:tcPr>
          <w:p>
            <w:pPr>
              <w:keepNext/>
              <w:keepLines/>
            </w:pPr>
            <w:r>
              <w:rPr>
                <w:sz w:val="14"/>
              </w:rPr>
              <w:t>Bear</w:t>
            </w:r>
          </w:p>
        </w:tc>
        <w:tc>
          <w:tcPr>
            <w:tcW w:type="dxa" w:w="703"/>
          </w:tcPr>
          <w:p>
            <w:pPr>
              <w:keepNext/>
              <w:keepLines/>
            </w:pPr>
            <w:r>
              <w:rPr>
                <w:sz w:val="14"/>
              </w:rPr>
              <w:t>16.7%</w:t>
            </w:r>
          </w:p>
        </w:tc>
        <w:tc>
          <w:tcPr>
            <w:tcW w:type="dxa" w:w="703"/>
          </w:tcPr>
          <w:p>
            <w:pPr>
              <w:keepNext/>
              <w:keepLines/>
            </w:pPr>
            <w:r>
              <w:rPr>
                <w:sz w:val="14"/>
              </w:rPr>
              <w:t>21.2%</w:t>
            </w:r>
          </w:p>
        </w:tc>
        <w:tc>
          <w:tcPr>
            <w:tcW w:type="dxa" w:w="703"/>
          </w:tcPr>
          <w:p>
            <w:pPr>
              <w:keepNext/>
              <w:keepLines/>
            </w:pPr>
            <w:r>
              <w:rPr>
                <w:sz w:val="14"/>
              </w:rPr>
              <w:t>31.6%</w:t>
            </w:r>
          </w:p>
        </w:tc>
        <w:tc>
          <w:tcPr>
            <w:tcW w:type="dxa" w:w="703"/>
          </w:tcPr>
          <w:p>
            <w:pPr>
              <w:keepNext/>
              <w:keepLines/>
            </w:pPr>
            <w:r>
              <w:rPr>
                <w:sz w:val="14"/>
              </w:rPr>
              <w:t>33.4%</w:t>
            </w:r>
          </w:p>
        </w:tc>
        <w:tc>
          <w:tcPr>
            <w:tcW w:type="dxa" w:w="703"/>
          </w:tcPr>
          <w:p>
            <w:pPr>
              <w:keepNext/>
              <w:keepLines/>
            </w:pPr>
            <w:r>
              <w:rPr>
                <w:sz w:val="14"/>
              </w:rPr>
              <w:t>51.2%</w:t>
            </w:r>
          </w:p>
        </w:tc>
        <w:tc>
          <w:tcPr>
            <w:tcW w:type="dxa" w:w="703"/>
          </w:tcPr>
          <w:p>
            <w:pPr>
              <w:keepNext/>
              <w:keepLines/>
            </w:pPr>
            <w:r>
              <w:rPr>
                <w:sz w:val="14"/>
              </w:rPr>
              <w:t>15.0%</w:t>
            </w:r>
          </w:p>
        </w:tc>
        <w:tc>
          <w:tcPr>
            <w:tcW w:type="dxa" w:w="703"/>
          </w:tcPr>
          <w:p>
            <w:pPr>
              <w:keepNext/>
              <w:keepLines/>
            </w:pPr>
            <w:r>
              <w:rPr>
                <w:sz w:val="14"/>
              </w:rPr>
              <w:t>13.9%</w:t>
            </w:r>
          </w:p>
        </w:tc>
        <w:tc>
          <w:tcPr>
            <w:tcW w:type="dxa" w:w="703"/>
          </w:tcPr>
          <w:p>
            <w:pPr>
              <w:keepNext/>
              <w:keepLines/>
            </w:pPr>
            <w:r>
              <w:rPr>
                <w:sz w:val="14"/>
              </w:rPr>
              <w:t>12.8%</w:t>
            </w:r>
          </w:p>
        </w:tc>
        <w:tc>
          <w:tcPr>
            <w:tcW w:type="dxa" w:w="703"/>
          </w:tcPr>
          <w:p>
            <w:pPr>
              <w:keepNext/>
              <w:keepLines/>
            </w:pPr>
            <w:r>
              <w:rPr>
                <w:sz w:val="14"/>
              </w:rPr>
              <w:t>11.7%</w:t>
            </w:r>
          </w:p>
        </w:tc>
        <w:tc>
          <w:tcPr>
            <w:tcW w:type="dxa" w:w="703"/>
          </w:tcPr>
          <w:p>
            <w:pPr>
              <w:keepNext/>
              <w:keepLines/>
            </w:pPr>
            <w:r>
              <w:rPr>
                <w:sz w:val="14"/>
              </w:rPr>
              <w:t>10.5%</w:t>
            </w:r>
          </w:p>
        </w:tc>
        <w:tc>
          <w:tcPr>
            <w:tcW w:type="dxa" w:w="703"/>
          </w:tcPr>
          <w:p>
            <w:pPr>
              <w:keepNext/>
              <w:keepLines/>
            </w:pPr>
            <w:r>
              <w:rPr>
                <w:sz w:val="14"/>
              </w:rPr>
              <w:t>9.4%</w:t>
            </w:r>
          </w:p>
        </w:tc>
        <w:tc>
          <w:tcPr>
            <w:tcW w:type="dxa" w:w="703"/>
          </w:tcPr>
          <w:p>
            <w:pPr>
              <w:keepNext/>
              <w:keepLines/>
            </w:pPr>
            <w:r>
              <w:rPr>
                <w:sz w:val="14"/>
              </w:rPr>
              <w:t>8.3%</w:t>
            </w:r>
          </w:p>
        </w:tc>
        <w:tc>
          <w:tcPr>
            <w:tcW w:type="dxa" w:w="703"/>
          </w:tcPr>
          <w:p>
            <w:pPr>
              <w:keepNext/>
              <w:keepLines/>
            </w:pPr>
            <w:r>
              <w:rPr>
                <w:sz w:val="14"/>
              </w:rPr>
              <w:t>7.2%</w:t>
            </w:r>
          </w:p>
        </w:tc>
        <w:tc>
          <w:tcPr>
            <w:tcW w:type="dxa" w:w="703"/>
          </w:tcPr>
          <w:p>
            <w:pPr>
              <w:keepNext/>
              <w:keepLines/>
            </w:pPr>
            <w:r>
              <w:rPr>
                <w:sz w:val="14"/>
              </w:rPr>
              <w:t>6.1%</w:t>
            </w:r>
          </w:p>
        </w:tc>
      </w:tr>
      <w:tr>
        <w:trPr>
          <w:cantSplit/>
        </w:trPr>
        <w:tc>
          <w:tcPr>
            <w:tcW w:type="dxa" w:w="703"/>
          </w:tcPr>
          <w:p>
            <w:pPr>
              <w:keepNext/>
              <w:keepLines/>
            </w:pPr>
            <w:r>
              <w:rPr>
                <w:sz w:val="14"/>
              </w:rPr>
              <w:t>Base</w:t>
            </w:r>
          </w:p>
        </w:tc>
        <w:tc>
          <w:tcPr>
            <w:tcW w:type="dxa" w:w="703"/>
          </w:tcPr>
          <w:p>
            <w:pPr>
              <w:keepNext/>
              <w:keepLines/>
            </w:pPr>
            <w:r>
              <w:rPr>
                <w:sz w:val="14"/>
              </w:rPr>
              <w:t>28.9%</w:t>
            </w:r>
          </w:p>
        </w:tc>
        <w:tc>
          <w:tcPr>
            <w:tcW w:type="dxa" w:w="703"/>
          </w:tcPr>
          <w:p>
            <w:pPr>
              <w:keepNext/>
              <w:keepLines/>
            </w:pPr>
            <w:r>
              <w:rPr>
                <w:sz w:val="14"/>
              </w:rPr>
              <w:t>93.2%</w:t>
            </w:r>
          </w:p>
        </w:tc>
        <w:tc>
          <w:tcPr>
            <w:tcW w:type="dxa" w:w="703"/>
          </w:tcPr>
          <w:p>
            <w:pPr>
              <w:keepNext/>
              <w:keepLines/>
            </w:pPr>
            <w:r>
              <w:rPr>
                <w:sz w:val="14"/>
              </w:rPr>
              <w:t>88.9%</w:t>
            </w:r>
          </w:p>
        </w:tc>
        <w:tc>
          <w:tcPr>
            <w:tcW w:type="dxa" w:w="703"/>
          </w:tcPr>
          <w:p>
            <w:pPr>
              <w:keepNext/>
              <w:keepLines/>
            </w:pPr>
            <w:r>
              <w:rPr>
                <w:sz w:val="14"/>
              </w:rPr>
              <w:t>38.7%</w:t>
            </w:r>
          </w:p>
        </w:tc>
        <w:tc>
          <w:tcPr>
            <w:tcW w:type="dxa" w:w="703"/>
          </w:tcPr>
          <w:p>
            <w:pPr>
              <w:keepNext/>
              <w:keepLines/>
            </w:pPr>
            <w:r>
              <w:rPr>
                <w:sz w:val="14"/>
              </w:rPr>
              <w:t>28.3%</w:t>
            </w:r>
          </w:p>
        </w:tc>
        <w:tc>
          <w:tcPr>
            <w:tcW w:type="dxa" w:w="703"/>
          </w:tcPr>
          <w:p>
            <w:pPr>
              <w:keepNext/>
              <w:keepLines/>
            </w:pPr>
            <w:r>
              <w:rPr>
                <w:sz w:val="14"/>
              </w:rPr>
              <w:t>15.0%</w:t>
            </w:r>
          </w:p>
        </w:tc>
        <w:tc>
          <w:tcPr>
            <w:tcW w:type="dxa" w:w="703"/>
          </w:tcPr>
          <w:p>
            <w:pPr>
              <w:keepNext/>
              <w:keepLines/>
            </w:pPr>
            <w:r>
              <w:rPr>
                <w:sz w:val="14"/>
              </w:rPr>
              <w:t>13.9%</w:t>
            </w:r>
          </w:p>
        </w:tc>
        <w:tc>
          <w:tcPr>
            <w:tcW w:type="dxa" w:w="703"/>
          </w:tcPr>
          <w:p>
            <w:pPr>
              <w:keepNext/>
              <w:keepLines/>
            </w:pPr>
            <w:r>
              <w:rPr>
                <w:sz w:val="14"/>
              </w:rPr>
              <w:t>12.8%</w:t>
            </w:r>
          </w:p>
        </w:tc>
        <w:tc>
          <w:tcPr>
            <w:tcW w:type="dxa" w:w="703"/>
          </w:tcPr>
          <w:p>
            <w:pPr>
              <w:keepNext/>
              <w:keepLines/>
            </w:pPr>
            <w:r>
              <w:rPr>
                <w:sz w:val="14"/>
              </w:rPr>
              <w:t>11.7%</w:t>
            </w:r>
          </w:p>
        </w:tc>
        <w:tc>
          <w:tcPr>
            <w:tcW w:type="dxa" w:w="703"/>
          </w:tcPr>
          <w:p>
            <w:pPr>
              <w:keepNext/>
              <w:keepLines/>
            </w:pPr>
            <w:r>
              <w:rPr>
                <w:sz w:val="14"/>
              </w:rPr>
              <w:t>10.5%</w:t>
            </w:r>
          </w:p>
        </w:tc>
        <w:tc>
          <w:tcPr>
            <w:tcW w:type="dxa" w:w="703"/>
          </w:tcPr>
          <w:p>
            <w:pPr>
              <w:keepNext/>
              <w:keepLines/>
            </w:pPr>
            <w:r>
              <w:rPr>
                <w:sz w:val="14"/>
              </w:rPr>
              <w:t>9.4%</w:t>
            </w:r>
          </w:p>
        </w:tc>
        <w:tc>
          <w:tcPr>
            <w:tcW w:type="dxa" w:w="703"/>
          </w:tcPr>
          <w:p>
            <w:pPr>
              <w:keepNext/>
              <w:keepLines/>
            </w:pPr>
            <w:r>
              <w:rPr>
                <w:sz w:val="14"/>
              </w:rPr>
              <w:t>8.3%</w:t>
            </w:r>
          </w:p>
        </w:tc>
        <w:tc>
          <w:tcPr>
            <w:tcW w:type="dxa" w:w="703"/>
          </w:tcPr>
          <w:p>
            <w:pPr>
              <w:keepNext/>
              <w:keepLines/>
            </w:pPr>
            <w:r>
              <w:rPr>
                <w:sz w:val="14"/>
              </w:rPr>
              <w:t>7.2%</w:t>
            </w:r>
          </w:p>
        </w:tc>
        <w:tc>
          <w:tcPr>
            <w:tcW w:type="dxa" w:w="703"/>
          </w:tcPr>
          <w:p>
            <w:pPr>
              <w:keepNext/>
              <w:keepLines/>
            </w:pPr>
            <w:r>
              <w:rPr>
                <w:sz w:val="14"/>
              </w:rPr>
              <w:t>6.1%</w:t>
            </w:r>
          </w:p>
        </w:tc>
      </w:tr>
      <w:tr>
        <w:trPr>
          <w:cantSplit/>
        </w:trPr>
        <w:tc>
          <w:tcPr>
            <w:tcW w:type="dxa" w:w="703"/>
          </w:tcPr>
          <w:p>
            <w:r>
              <w:rPr>
                <w:sz w:val="14"/>
              </w:rPr>
              <w:t>Bull</w:t>
            </w:r>
          </w:p>
        </w:tc>
        <w:tc>
          <w:tcPr>
            <w:tcW w:type="dxa" w:w="703"/>
          </w:tcPr>
          <w:p>
            <w:r>
              <w:rPr>
                <w:sz w:val="14"/>
              </w:rPr>
              <w:t>55.4%</w:t>
            </w:r>
          </w:p>
        </w:tc>
        <w:tc>
          <w:tcPr>
            <w:tcW w:type="dxa" w:w="703"/>
          </w:tcPr>
          <w:p>
            <w:r>
              <w:rPr>
                <w:sz w:val="14"/>
              </w:rPr>
              <w:t>115.4%</w:t>
            </w:r>
          </w:p>
        </w:tc>
        <w:tc>
          <w:tcPr>
            <w:tcW w:type="dxa" w:w="703"/>
          </w:tcPr>
          <w:p>
            <w:r>
              <w:rPr>
                <w:sz w:val="14"/>
              </w:rPr>
              <w:t>69.9%</w:t>
            </w:r>
          </w:p>
        </w:tc>
        <w:tc>
          <w:tcPr>
            <w:tcW w:type="dxa" w:w="703"/>
          </w:tcPr>
          <w:p>
            <w:r>
              <w:rPr>
                <w:sz w:val="14"/>
              </w:rPr>
              <w:t>36.8%</w:t>
            </w:r>
          </w:p>
        </w:tc>
        <w:tc>
          <w:tcPr>
            <w:tcW w:type="dxa" w:w="703"/>
          </w:tcPr>
          <w:p>
            <w:r>
              <w:rPr>
                <w:sz w:val="14"/>
              </w:rPr>
              <w:t>29.0%</w:t>
            </w:r>
          </w:p>
        </w:tc>
        <w:tc>
          <w:tcPr>
            <w:tcW w:type="dxa" w:w="703"/>
          </w:tcPr>
          <w:p>
            <w:r>
              <w:rPr>
                <w:sz w:val="14"/>
              </w:rPr>
              <w:t>15.0%</w:t>
            </w:r>
          </w:p>
        </w:tc>
        <w:tc>
          <w:tcPr>
            <w:tcW w:type="dxa" w:w="703"/>
          </w:tcPr>
          <w:p>
            <w:r>
              <w:rPr>
                <w:sz w:val="14"/>
              </w:rPr>
              <w:t>13.9%</w:t>
            </w:r>
          </w:p>
        </w:tc>
        <w:tc>
          <w:tcPr>
            <w:tcW w:type="dxa" w:w="703"/>
          </w:tcPr>
          <w:p>
            <w:r>
              <w:rPr>
                <w:sz w:val="14"/>
              </w:rPr>
              <w:t>12.8%</w:t>
            </w:r>
          </w:p>
        </w:tc>
        <w:tc>
          <w:tcPr>
            <w:tcW w:type="dxa" w:w="703"/>
          </w:tcPr>
          <w:p>
            <w:r>
              <w:rPr>
                <w:sz w:val="14"/>
              </w:rPr>
              <w:t>11.7%</w:t>
            </w:r>
          </w:p>
        </w:tc>
        <w:tc>
          <w:tcPr>
            <w:tcW w:type="dxa" w:w="703"/>
          </w:tcPr>
          <w:p>
            <w:r>
              <w:rPr>
                <w:sz w:val="14"/>
              </w:rPr>
              <w:t>10.5%</w:t>
            </w:r>
          </w:p>
        </w:tc>
        <w:tc>
          <w:tcPr>
            <w:tcW w:type="dxa" w:w="703"/>
          </w:tcPr>
          <w:p>
            <w:r>
              <w:rPr>
                <w:sz w:val="14"/>
              </w:rPr>
              <w:t>9.4%</w:t>
            </w:r>
          </w:p>
        </w:tc>
        <w:tc>
          <w:tcPr>
            <w:tcW w:type="dxa" w:w="703"/>
          </w:tcPr>
          <w:p>
            <w:r>
              <w:rPr>
                <w:sz w:val="14"/>
              </w:rPr>
              <w:t>8.3%</w:t>
            </w:r>
          </w:p>
        </w:tc>
        <w:tc>
          <w:tcPr>
            <w:tcW w:type="dxa" w:w="703"/>
          </w:tcPr>
          <w:p>
            <w:r>
              <w:rPr>
                <w:sz w:val="14"/>
              </w:rPr>
              <w:t>7.2%</w:t>
            </w:r>
          </w:p>
        </w:tc>
        <w:tc>
          <w:tcPr>
            <w:tcW w:type="dxa" w:w="703"/>
          </w:tcPr>
          <w:p>
            <w:r>
              <w:rPr>
                <w:sz w:val="14"/>
              </w:rPr>
              <w:t>6.1%</w:t>
            </w:r>
          </w:p>
        </w:tc>
      </w:tr>
    </w:tbl>
    <w:p/>
    <w:p>
      <w:r>
        <w:rPr>
          <w:i/>
        </w:rPr>
        <w:t>Source: C65 (consecutive Finagle revenue). Growth falls by about 1.1 points a year after FY2032E and reaches the 4.95% terminal rate after FY2040E.</w:t>
      </w:r>
    </w:p>
    <w:p>
      <w:pPr>
        <w:keepNext/>
        <w:keepLines/>
      </w:pPr>
      <w:r>
        <w:t>The explicit forecast ends at FY2031E; Finagle's fade begins in FY2032E. All figures from FY2032E onward in this section are Finagle's fade and terminal calculation, not a line forecast [P3][C65].</w:t>
      </w:r>
    </w:p>
    <w:p>
      <w:pPr>
        <w:keepNext/>
        <w:keepLines/>
      </w:pPr>
      <w:r>
        <w:rPr>
          <w:b/>
        </w:rPr>
        <w:t>Figure 8 – Where the value comes from (US$ per share)</w:t>
      </w:r>
    </w:p>
    <w:tbl>
      <w:tblPr>
        <w:tblStyle w:val="TableGrid"/>
        <w:tblW w:type="auto" w:w="0"/>
        <w:tblLook w:firstColumn="1" w:firstRow="1" w:lastColumn="0" w:lastRow="0" w:noHBand="0" w:noVBand="1" w:val="04A0"/>
      </w:tblPr>
      <w:tblGrid>
        <w:gridCol w:w="2635"/>
        <w:gridCol w:w="2635"/>
        <w:gridCol w:w="2635"/>
        <w:gridCol w:w="2635"/>
      </w:tblGrid>
      <w:tr>
        <w:trPr>
          <w:cantSplit/>
          <w:tblHeader/>
        </w:trPr>
        <w:tc>
          <w:tcPr>
            <w:tcW w:type="dxa" w:w="2635"/>
          </w:tcPr>
          <w:p>
            <w:pPr>
              <w:keepNext/>
              <w:keepLines/>
            </w:pPr>
          </w:p>
        </w:tc>
        <w:tc>
          <w:tcPr>
            <w:tcW w:type="dxa" w:w="2635"/>
          </w:tcPr>
          <w:p>
            <w:pPr>
              <w:keepNext/>
              <w:keepLines/>
            </w:pPr>
            <w:r>
              <w:rPr>
                <w:b/>
                <w:sz w:val="16"/>
              </w:rPr>
              <w:t>Bear</w:t>
            </w:r>
          </w:p>
        </w:tc>
        <w:tc>
          <w:tcPr>
            <w:tcW w:type="dxa" w:w="2635"/>
          </w:tcPr>
          <w:p>
            <w:pPr>
              <w:keepNext/>
              <w:keepLines/>
            </w:pPr>
            <w:r>
              <w:rPr>
                <w:b/>
                <w:sz w:val="16"/>
              </w:rPr>
              <w:t>Base</w:t>
            </w:r>
          </w:p>
        </w:tc>
        <w:tc>
          <w:tcPr>
            <w:tcW w:type="dxa" w:w="2635"/>
          </w:tcPr>
          <w:p>
            <w:pPr>
              <w:keepNext/>
              <w:keepLines/>
            </w:pPr>
            <w:r>
              <w:rPr>
                <w:b/>
                <w:sz w:val="16"/>
              </w:rPr>
              <w:t>Bull</w:t>
            </w:r>
          </w:p>
        </w:tc>
      </w:tr>
      <w:tr>
        <w:trPr>
          <w:cantSplit/>
        </w:trPr>
        <w:tc>
          <w:tcPr>
            <w:tcW w:type="dxa" w:w="2635"/>
          </w:tcPr>
          <w:p>
            <w:pPr>
              <w:keepNext/>
              <w:keepLines/>
            </w:pPr>
            <w:r>
              <w:rPr>
                <w:sz w:val="16"/>
              </w:rPr>
              <w:t>PV of FCFE, FY2026E–FY2031E (explicit)</w:t>
            </w:r>
          </w:p>
        </w:tc>
        <w:tc>
          <w:tcPr>
            <w:tcW w:type="dxa" w:w="2635"/>
          </w:tcPr>
          <w:p>
            <w:pPr>
              <w:keepNext/>
              <w:keepLines/>
            </w:pPr>
            <w:r>
              <w:rPr>
                <w:sz w:val="16"/>
              </w:rPr>
              <w:t>−3.34</w:t>
            </w:r>
          </w:p>
        </w:tc>
        <w:tc>
          <w:tcPr>
            <w:tcW w:type="dxa" w:w="2635"/>
          </w:tcPr>
          <w:p>
            <w:pPr>
              <w:keepNext/>
              <w:keepLines/>
            </w:pPr>
            <w:r>
              <w:rPr>
                <w:sz w:val="16"/>
              </w:rPr>
              <w:t>7.74</w:t>
            </w:r>
          </w:p>
        </w:tc>
        <w:tc>
          <w:tcPr>
            <w:tcW w:type="dxa" w:w="2635"/>
          </w:tcPr>
          <w:p>
            <w:pPr>
              <w:keepNext/>
              <w:keepLines/>
            </w:pPr>
            <w:r>
              <w:rPr>
                <w:sz w:val="16"/>
              </w:rPr>
              <w:t>12.12</w:t>
            </w:r>
          </w:p>
        </w:tc>
      </w:tr>
      <w:tr>
        <w:trPr>
          <w:cantSplit/>
        </w:trPr>
        <w:tc>
          <w:tcPr>
            <w:tcW w:type="dxa" w:w="2635"/>
          </w:tcPr>
          <w:p>
            <w:pPr>
              <w:keepNext/>
              <w:keepLines/>
            </w:pPr>
            <w:r>
              <w:rPr>
                <w:sz w:val="16"/>
              </w:rPr>
              <w:t>PV of FCFE, FY2032E–FY2040E (fade)</w:t>
            </w:r>
          </w:p>
        </w:tc>
        <w:tc>
          <w:tcPr>
            <w:tcW w:type="dxa" w:w="2635"/>
          </w:tcPr>
          <w:p>
            <w:pPr>
              <w:keepNext/>
              <w:keepLines/>
            </w:pPr>
            <w:r>
              <w:rPr>
                <w:sz w:val="16"/>
              </w:rPr>
              <w:t>5.97</w:t>
            </w:r>
          </w:p>
        </w:tc>
        <w:tc>
          <w:tcPr>
            <w:tcW w:type="dxa" w:w="2635"/>
          </w:tcPr>
          <w:p>
            <w:pPr>
              <w:keepNext/>
              <w:keepLines/>
            </w:pPr>
            <w:r>
              <w:rPr>
                <w:sz w:val="16"/>
              </w:rPr>
              <w:t>21.06</w:t>
            </w:r>
          </w:p>
        </w:tc>
        <w:tc>
          <w:tcPr>
            <w:tcW w:type="dxa" w:w="2635"/>
          </w:tcPr>
          <w:p>
            <w:pPr>
              <w:keepNext/>
              <w:keepLines/>
            </w:pPr>
            <w:r>
              <w:rPr>
                <w:sz w:val="16"/>
              </w:rPr>
              <w:t>27.92</w:t>
            </w:r>
          </w:p>
        </w:tc>
      </w:tr>
      <w:tr>
        <w:trPr>
          <w:cantSplit/>
        </w:trPr>
        <w:tc>
          <w:tcPr>
            <w:tcW w:type="dxa" w:w="2635"/>
          </w:tcPr>
          <w:p>
            <w:pPr>
              <w:keepNext/>
              <w:keepLines/>
            </w:pPr>
            <w:r>
              <w:rPr>
                <w:sz w:val="16"/>
              </w:rPr>
              <w:t>PV of terminal value (after FY2040E)</w:t>
            </w:r>
          </w:p>
        </w:tc>
        <w:tc>
          <w:tcPr>
            <w:tcW w:type="dxa" w:w="2635"/>
          </w:tcPr>
          <w:p>
            <w:pPr>
              <w:keepNext/>
              <w:keepLines/>
            </w:pPr>
            <w:r>
              <w:rPr>
                <w:sz w:val="16"/>
              </w:rPr>
              <w:t>10.42</w:t>
            </w:r>
          </w:p>
        </w:tc>
        <w:tc>
          <w:tcPr>
            <w:tcW w:type="dxa" w:w="2635"/>
          </w:tcPr>
          <w:p>
            <w:pPr>
              <w:keepNext/>
              <w:keepLines/>
            </w:pPr>
            <w:r>
              <w:rPr>
                <w:sz w:val="16"/>
              </w:rPr>
              <w:t>34.89</w:t>
            </w:r>
          </w:p>
        </w:tc>
        <w:tc>
          <w:tcPr>
            <w:tcW w:type="dxa" w:w="2635"/>
          </w:tcPr>
          <w:p>
            <w:pPr>
              <w:keepNext/>
              <w:keepLines/>
            </w:pPr>
            <w:r>
              <w:rPr>
                <w:sz w:val="16"/>
              </w:rPr>
              <w:t>46.81</w:t>
            </w:r>
          </w:p>
        </w:tc>
      </w:tr>
      <w:tr>
        <w:trPr>
          <w:cantSplit/>
        </w:trPr>
        <w:tc>
          <w:tcPr>
            <w:tcW w:type="dxa" w:w="2635"/>
          </w:tcPr>
          <w:p>
            <w:pPr>
              <w:keepNext/>
              <w:keepLines/>
            </w:pPr>
            <w:r>
              <w:rPr>
                <w:sz w:val="16"/>
              </w:rPr>
              <w:t>Opening cash, FY2025A</w:t>
            </w:r>
          </w:p>
        </w:tc>
        <w:tc>
          <w:tcPr>
            <w:tcW w:type="dxa" w:w="2635"/>
          </w:tcPr>
          <w:p>
            <w:pPr>
              <w:keepNext/>
              <w:keepLines/>
            </w:pPr>
            <w:r>
              <w:rPr>
                <w:sz w:val="16"/>
              </w:rPr>
              <w:t>1.51</w:t>
            </w:r>
          </w:p>
        </w:tc>
        <w:tc>
          <w:tcPr>
            <w:tcW w:type="dxa" w:w="2635"/>
          </w:tcPr>
          <w:p>
            <w:pPr>
              <w:keepNext/>
              <w:keepLines/>
            </w:pPr>
            <w:r>
              <w:rPr>
                <w:sz w:val="16"/>
              </w:rPr>
              <w:t>1.51</w:t>
            </w:r>
          </w:p>
        </w:tc>
        <w:tc>
          <w:tcPr>
            <w:tcW w:type="dxa" w:w="2635"/>
          </w:tcPr>
          <w:p>
            <w:pPr>
              <w:keepNext/>
              <w:keepLines/>
            </w:pPr>
            <w:r>
              <w:rPr>
                <w:sz w:val="16"/>
              </w:rPr>
              <w:t>1.51</w:t>
            </w:r>
          </w:p>
        </w:tc>
      </w:tr>
      <w:tr>
        <w:trPr>
          <w:cantSplit/>
        </w:trPr>
        <w:tc>
          <w:tcPr>
            <w:tcW w:type="dxa" w:w="2635"/>
          </w:tcPr>
          <w:p>
            <w:pPr>
              <w:keepNext/>
              <w:keepLines/>
            </w:pPr>
            <w:r>
              <w:rPr>
                <w:b/>
                <w:sz w:val="16"/>
              </w:rPr>
              <w:t>Value per share</w:t>
            </w:r>
          </w:p>
        </w:tc>
        <w:tc>
          <w:tcPr>
            <w:tcW w:type="dxa" w:w="2635"/>
          </w:tcPr>
          <w:p>
            <w:pPr>
              <w:keepNext/>
              <w:keepLines/>
            </w:pPr>
            <w:r>
              <w:rPr>
                <w:b/>
                <w:sz w:val="16"/>
              </w:rPr>
              <w:t>14.56</w:t>
            </w:r>
          </w:p>
        </w:tc>
        <w:tc>
          <w:tcPr>
            <w:tcW w:type="dxa" w:w="2635"/>
          </w:tcPr>
          <w:p>
            <w:pPr>
              <w:keepNext/>
              <w:keepLines/>
            </w:pPr>
            <w:r>
              <w:rPr>
                <w:b/>
                <w:sz w:val="16"/>
              </w:rPr>
              <w:t>65.20</w:t>
            </w:r>
          </w:p>
        </w:tc>
        <w:tc>
          <w:tcPr>
            <w:tcW w:type="dxa" w:w="2635"/>
          </w:tcPr>
          <w:p>
            <w:pPr>
              <w:keepNext/>
              <w:keepLines/>
            </w:pPr>
            <w:r>
              <w:rPr>
                <w:b/>
                <w:sz w:val="16"/>
              </w:rPr>
              <w:t>88.36</w:t>
            </w:r>
          </w:p>
        </w:tc>
      </w:tr>
      <w:tr>
        <w:trPr>
          <w:cantSplit/>
        </w:trPr>
        <w:tc>
          <w:tcPr>
            <w:tcW w:type="dxa" w:w="2635"/>
          </w:tcPr>
          <w:p>
            <w:pPr>
              <w:keepNext/>
              <w:keepLines/>
            </w:pPr>
            <w:r>
              <w:rPr>
                <w:sz w:val="16"/>
              </w:rPr>
              <w:t>Share from after FY2031E (fade + terminal)</w:t>
            </w:r>
          </w:p>
        </w:tc>
        <w:tc>
          <w:tcPr>
            <w:tcW w:type="dxa" w:w="2635"/>
          </w:tcPr>
          <w:p>
            <w:pPr>
              <w:keepNext/>
              <w:keepLines/>
            </w:pPr>
            <w:r>
              <w:rPr>
                <w:sz w:val="16"/>
              </w:rPr>
              <w:t>112.6%</w:t>
            </w:r>
          </w:p>
        </w:tc>
        <w:tc>
          <w:tcPr>
            <w:tcW w:type="dxa" w:w="2635"/>
          </w:tcPr>
          <w:p>
            <w:pPr>
              <w:keepNext/>
              <w:keepLines/>
            </w:pPr>
            <w:r>
              <w:rPr>
                <w:sz w:val="16"/>
              </w:rPr>
              <w:t>85.8%</w:t>
            </w:r>
          </w:p>
        </w:tc>
        <w:tc>
          <w:tcPr>
            <w:tcW w:type="dxa" w:w="2635"/>
          </w:tcPr>
          <w:p>
            <w:pPr>
              <w:keepNext/>
              <w:keepLines/>
            </w:pPr>
            <w:r>
              <w:rPr>
                <w:sz w:val="16"/>
              </w:rPr>
              <w:t>84.6%</w:t>
            </w:r>
          </w:p>
        </w:tc>
      </w:tr>
      <w:tr>
        <w:trPr>
          <w:cantSplit/>
        </w:trPr>
        <w:tc>
          <w:tcPr>
            <w:tcW w:type="dxa" w:w="2635"/>
          </w:tcPr>
          <w:p>
            <w:r>
              <w:rPr>
                <w:sz w:val="16"/>
              </w:rPr>
              <w:t>Share from terminal value alone</w:t>
            </w:r>
          </w:p>
        </w:tc>
        <w:tc>
          <w:tcPr>
            <w:tcW w:type="dxa" w:w="2635"/>
          </w:tcPr>
          <w:p>
            <w:r>
              <w:rPr>
                <w:sz w:val="16"/>
              </w:rPr>
              <w:t>71.6%</w:t>
            </w:r>
          </w:p>
        </w:tc>
        <w:tc>
          <w:tcPr>
            <w:tcW w:type="dxa" w:w="2635"/>
          </w:tcPr>
          <w:p>
            <w:r>
              <w:rPr>
                <w:sz w:val="16"/>
              </w:rPr>
              <w:t>53.5%</w:t>
            </w:r>
          </w:p>
        </w:tc>
        <w:tc>
          <w:tcPr>
            <w:tcW w:type="dxa" w:w="2635"/>
          </w:tcPr>
          <w:p>
            <w:r>
              <w:rPr>
                <w:sz w:val="16"/>
              </w:rPr>
              <w:t>53.0%</w:t>
            </w:r>
          </w:p>
        </w:tc>
      </w:tr>
    </w:tbl>
    <w:p/>
    <w:p>
      <w:r>
        <w:rPr>
          <w:i/>
        </w:rPr>
        <w:t>Source: C60. Each year's FCFE per share is discounted at 10.45% to FY2025A; terminal value is the remainder after explicit, fade and opening cash, which matches Finagle's own terminal value discounted 15 years. The bear's explicit years are negative, so its post-FY2031E share is above 100%.</w:t>
      </w:r>
    </w:p>
    <w:p>
      <w:pPr>
        <w:keepNext/>
        <w:keepLines/>
      </w:pPr>
      <w:r>
        <w:rPr>
          <w:b/>
        </w:rPr>
        <w:t>Figure 9 – Finagle template table, base case, FY2025A–FY2031E (explicit)</w:t>
      </w:r>
    </w:p>
    <w:tbl>
      <w:tblPr>
        <w:tblStyle w:val="TableGrid"/>
        <w:tblW w:type="auto" w:w="0"/>
        <w:tblLook w:firstColumn="1" w:firstRow="1" w:lastColumn="0" w:lastRow="0" w:noHBand="0" w:noVBand="1" w:val="04A0"/>
      </w:tblPr>
      <w:tblGrid>
        <w:gridCol w:w="1317"/>
        <w:gridCol w:w="1317"/>
        <w:gridCol w:w="1317"/>
        <w:gridCol w:w="1317"/>
        <w:gridCol w:w="1317"/>
        <w:gridCol w:w="1317"/>
        <w:gridCol w:w="1317"/>
        <w:gridCol w:w="1317"/>
      </w:tblGrid>
      <w:tr>
        <w:trPr>
          <w:cantSplit/>
          <w:tblHeader/>
        </w:trPr>
        <w:tc>
          <w:tcPr>
            <w:tcW w:type="dxa" w:w="1317"/>
          </w:tcPr>
          <w:p>
            <w:pPr>
              <w:keepNext/>
              <w:keepLines/>
            </w:pPr>
            <w:r>
              <w:rPr>
                <w:b/>
                <w:sz w:val="16"/>
              </w:rPr>
              <w:t>US$M</w:t>
            </w:r>
          </w:p>
        </w:tc>
        <w:tc>
          <w:tcPr>
            <w:tcW w:type="dxa" w:w="1317"/>
          </w:tcPr>
          <w:p>
            <w:pPr>
              <w:keepNext/>
              <w:keepLines/>
            </w:pPr>
            <w:r>
              <w:rPr>
                <w:b/>
                <w:sz w:val="16"/>
              </w:rPr>
              <w:t>FY2025A</w:t>
            </w:r>
          </w:p>
        </w:tc>
        <w:tc>
          <w:tcPr>
            <w:tcW w:type="dxa" w:w="1317"/>
          </w:tcPr>
          <w:p>
            <w:pPr>
              <w:keepNext/>
              <w:keepLines/>
            </w:pPr>
            <w:r>
              <w:rPr>
                <w:b/>
                <w:sz w:val="16"/>
              </w:rPr>
              <w:t>FY2026E</w:t>
            </w:r>
          </w:p>
        </w:tc>
        <w:tc>
          <w:tcPr>
            <w:tcW w:type="dxa" w:w="1317"/>
          </w:tcPr>
          <w:p>
            <w:pPr>
              <w:keepNext/>
              <w:keepLines/>
            </w:pPr>
            <w:r>
              <w:rPr>
                <w:b/>
                <w:sz w:val="16"/>
              </w:rPr>
              <w:t>FY2027E</w:t>
            </w:r>
          </w:p>
        </w:tc>
        <w:tc>
          <w:tcPr>
            <w:tcW w:type="dxa" w:w="1317"/>
          </w:tcPr>
          <w:p>
            <w:pPr>
              <w:keepNext/>
              <w:keepLines/>
            </w:pPr>
            <w:r>
              <w:rPr>
                <w:b/>
                <w:sz w:val="16"/>
              </w:rPr>
              <w:t>FY2028E</w:t>
            </w:r>
          </w:p>
        </w:tc>
        <w:tc>
          <w:tcPr>
            <w:tcW w:type="dxa" w:w="1317"/>
          </w:tcPr>
          <w:p>
            <w:pPr>
              <w:keepNext/>
              <w:keepLines/>
            </w:pPr>
            <w:r>
              <w:rPr>
                <w:b/>
                <w:sz w:val="16"/>
              </w:rPr>
              <w:t>FY2029E</w:t>
            </w:r>
          </w:p>
        </w:tc>
        <w:tc>
          <w:tcPr>
            <w:tcW w:type="dxa" w:w="1317"/>
          </w:tcPr>
          <w:p>
            <w:pPr>
              <w:keepNext/>
              <w:keepLines/>
            </w:pPr>
            <w:r>
              <w:rPr>
                <w:b/>
                <w:sz w:val="16"/>
              </w:rPr>
              <w:t>FY2030E</w:t>
            </w:r>
          </w:p>
        </w:tc>
        <w:tc>
          <w:tcPr>
            <w:tcW w:type="dxa" w:w="1317"/>
          </w:tcPr>
          <w:p>
            <w:pPr>
              <w:keepNext/>
              <w:keepLines/>
            </w:pPr>
            <w:r>
              <w:rPr>
                <w:b/>
                <w:sz w:val="16"/>
              </w:rPr>
              <w:t>FY2031E</w:t>
            </w:r>
          </w:p>
        </w:tc>
      </w:tr>
      <w:tr>
        <w:trPr>
          <w:cantSplit/>
        </w:trPr>
        <w:tc>
          <w:tcPr>
            <w:tcW w:type="dxa" w:w="1317"/>
          </w:tcPr>
          <w:p>
            <w:pPr>
              <w:keepNext/>
              <w:keepLines/>
            </w:pPr>
            <w:r>
              <w:rPr>
                <w:sz w:val="16"/>
              </w:rPr>
              <w:t>Revenue</w:t>
            </w:r>
          </w:p>
        </w:tc>
        <w:tc>
          <w:tcPr>
            <w:tcW w:type="dxa" w:w="1317"/>
          </w:tcPr>
          <w:p>
            <w:pPr>
              <w:keepNext/>
              <w:keepLines/>
            </w:pPr>
            <w:r>
              <w:rPr>
                <w:sz w:val="16"/>
              </w:rPr>
              <w:t>37.0</w:t>
            </w:r>
          </w:p>
        </w:tc>
        <w:tc>
          <w:tcPr>
            <w:tcW w:type="dxa" w:w="1317"/>
          </w:tcPr>
          <w:p>
            <w:pPr>
              <w:keepNext/>
              <w:keepLines/>
            </w:pPr>
            <w:r>
              <w:rPr>
                <w:sz w:val="16"/>
              </w:rPr>
              <w:t>49.0</w:t>
            </w:r>
          </w:p>
        </w:tc>
        <w:tc>
          <w:tcPr>
            <w:tcW w:type="dxa" w:w="1317"/>
          </w:tcPr>
          <w:p>
            <w:pPr>
              <w:keepNext/>
              <w:keepLines/>
            </w:pPr>
            <w:r>
              <w:rPr>
                <w:sz w:val="16"/>
              </w:rPr>
              <w:t>63.2</w:t>
            </w:r>
          </w:p>
        </w:tc>
        <w:tc>
          <w:tcPr>
            <w:tcW w:type="dxa" w:w="1317"/>
          </w:tcPr>
          <w:p>
            <w:pPr>
              <w:keepNext/>
              <w:keepLines/>
            </w:pPr>
            <w:r>
              <w:rPr>
                <w:sz w:val="16"/>
              </w:rPr>
              <w:t>122</w:t>
            </w:r>
          </w:p>
        </w:tc>
        <w:tc>
          <w:tcPr>
            <w:tcW w:type="dxa" w:w="1317"/>
          </w:tcPr>
          <w:p>
            <w:pPr>
              <w:keepNext/>
              <w:keepLines/>
            </w:pPr>
            <w:r>
              <w:rPr>
                <w:sz w:val="16"/>
              </w:rPr>
              <w:t>231</w:t>
            </w:r>
          </w:p>
        </w:tc>
        <w:tc>
          <w:tcPr>
            <w:tcW w:type="dxa" w:w="1317"/>
          </w:tcPr>
          <w:p>
            <w:pPr>
              <w:keepNext/>
              <w:keepLines/>
            </w:pPr>
            <w:r>
              <w:rPr>
                <w:sz w:val="16"/>
              </w:rPr>
              <w:t>320</w:t>
            </w:r>
          </w:p>
        </w:tc>
        <w:tc>
          <w:tcPr>
            <w:tcW w:type="dxa" w:w="1317"/>
          </w:tcPr>
          <w:p>
            <w:pPr>
              <w:keepNext/>
              <w:keepLines/>
            </w:pPr>
            <w:r>
              <w:rPr>
                <w:sz w:val="16"/>
              </w:rPr>
              <w:t>410</w:t>
            </w:r>
          </w:p>
        </w:tc>
      </w:tr>
      <w:tr>
        <w:trPr>
          <w:cantSplit/>
        </w:trPr>
        <w:tc>
          <w:tcPr>
            <w:tcW w:type="dxa" w:w="1317"/>
          </w:tcPr>
          <w:p>
            <w:pPr>
              <w:keepNext/>
              <w:keepLines/>
            </w:pPr>
            <w:r>
              <w:rPr>
                <w:sz w:val="16"/>
              </w:rPr>
              <w:t>Revenue growth (derived)</w:t>
            </w:r>
          </w:p>
        </w:tc>
        <w:tc>
          <w:tcPr>
            <w:tcW w:type="dxa" w:w="1317"/>
          </w:tcPr>
          <w:p>
            <w:pPr>
              <w:keepNext/>
              <w:keepLines/>
            </w:pPr>
            <w:r>
              <w:rPr>
                <w:sz w:val="16"/>
              </w:rPr>
              <w:t>–</w:t>
            </w:r>
          </w:p>
        </w:tc>
        <w:tc>
          <w:tcPr>
            <w:tcW w:type="dxa" w:w="1317"/>
          </w:tcPr>
          <w:p>
            <w:pPr>
              <w:keepNext/>
              <w:keepLines/>
            </w:pPr>
            <w:r>
              <w:rPr>
                <w:sz w:val="16"/>
              </w:rPr>
              <w:t>32.5%</w:t>
            </w:r>
          </w:p>
        </w:tc>
        <w:tc>
          <w:tcPr>
            <w:tcW w:type="dxa" w:w="1317"/>
          </w:tcPr>
          <w:p>
            <w:pPr>
              <w:keepNext/>
              <w:keepLines/>
            </w:pPr>
            <w:r>
              <w:rPr>
                <w:sz w:val="16"/>
              </w:rPr>
              <w:t>28.9%</w:t>
            </w:r>
          </w:p>
        </w:tc>
        <w:tc>
          <w:tcPr>
            <w:tcW w:type="dxa" w:w="1317"/>
          </w:tcPr>
          <w:p>
            <w:pPr>
              <w:keepNext/>
              <w:keepLines/>
            </w:pPr>
            <w:r>
              <w:rPr>
                <w:sz w:val="16"/>
              </w:rPr>
              <w:t>93.2%</w:t>
            </w:r>
          </w:p>
        </w:tc>
        <w:tc>
          <w:tcPr>
            <w:tcW w:type="dxa" w:w="1317"/>
          </w:tcPr>
          <w:p>
            <w:pPr>
              <w:keepNext/>
              <w:keepLines/>
            </w:pPr>
            <w:r>
              <w:rPr>
                <w:sz w:val="16"/>
              </w:rPr>
              <w:t>88.9%</w:t>
            </w:r>
          </w:p>
        </w:tc>
        <w:tc>
          <w:tcPr>
            <w:tcW w:type="dxa" w:w="1317"/>
          </w:tcPr>
          <w:p>
            <w:pPr>
              <w:keepNext/>
              <w:keepLines/>
            </w:pPr>
            <w:r>
              <w:rPr>
                <w:sz w:val="16"/>
              </w:rPr>
              <w:t>38.7%</w:t>
            </w:r>
          </w:p>
        </w:tc>
        <w:tc>
          <w:tcPr>
            <w:tcW w:type="dxa" w:w="1317"/>
          </w:tcPr>
          <w:p>
            <w:pPr>
              <w:keepNext/>
              <w:keepLines/>
            </w:pPr>
            <w:r>
              <w:rPr>
                <w:sz w:val="16"/>
              </w:rPr>
              <w:t>28.3%</w:t>
            </w:r>
          </w:p>
        </w:tc>
      </w:tr>
      <w:tr>
        <w:trPr>
          <w:cantSplit/>
        </w:trPr>
        <w:tc>
          <w:tcPr>
            <w:tcW w:type="dxa" w:w="1317"/>
          </w:tcPr>
          <w:p>
            <w:pPr>
              <w:keepNext/>
              <w:keepLines/>
            </w:pPr>
            <w:r>
              <w:rPr>
                <w:sz w:val="16"/>
              </w:rPr>
              <w:t>EBITDA</w:t>
            </w:r>
          </w:p>
        </w:tc>
        <w:tc>
          <w:tcPr>
            <w:tcW w:type="dxa" w:w="1317"/>
          </w:tcPr>
          <w:p>
            <w:pPr>
              <w:keepNext/>
              <w:keepLines/>
            </w:pPr>
            <w:r>
              <w:rPr>
                <w:sz w:val="16"/>
              </w:rPr>
              <w:t>−15.2</w:t>
            </w:r>
          </w:p>
        </w:tc>
        <w:tc>
          <w:tcPr>
            <w:tcW w:type="dxa" w:w="1317"/>
          </w:tcPr>
          <w:p>
            <w:pPr>
              <w:keepNext/>
              <w:keepLines/>
            </w:pPr>
            <w:r>
              <w:rPr>
                <w:sz w:val="16"/>
              </w:rPr>
              <w:t>−23.6</w:t>
            </w:r>
          </w:p>
        </w:tc>
        <w:tc>
          <w:tcPr>
            <w:tcW w:type="dxa" w:w="1317"/>
          </w:tcPr>
          <w:p>
            <w:pPr>
              <w:keepNext/>
              <w:keepLines/>
            </w:pPr>
            <w:r>
              <w:rPr>
                <w:sz w:val="16"/>
              </w:rPr>
              <w:t>−19.5</w:t>
            </w:r>
          </w:p>
        </w:tc>
        <w:tc>
          <w:tcPr>
            <w:tcW w:type="dxa" w:w="1317"/>
          </w:tcPr>
          <w:p>
            <w:pPr>
              <w:keepNext/>
              <w:keepLines/>
            </w:pPr>
            <w:r>
              <w:rPr>
                <w:sz w:val="16"/>
              </w:rPr>
              <w:t>12.0</w:t>
            </w:r>
          </w:p>
        </w:tc>
        <w:tc>
          <w:tcPr>
            <w:tcW w:type="dxa" w:w="1317"/>
          </w:tcPr>
          <w:p>
            <w:pPr>
              <w:keepNext/>
              <w:keepLines/>
            </w:pPr>
            <w:r>
              <w:rPr>
                <w:sz w:val="16"/>
              </w:rPr>
              <w:t>71.2</w:t>
            </w:r>
          </w:p>
        </w:tc>
        <w:tc>
          <w:tcPr>
            <w:tcW w:type="dxa" w:w="1317"/>
          </w:tcPr>
          <w:p>
            <w:pPr>
              <w:keepNext/>
              <w:keepLines/>
            </w:pPr>
            <w:r>
              <w:rPr>
                <w:sz w:val="16"/>
              </w:rPr>
              <w:t>121</w:t>
            </w:r>
          </w:p>
        </w:tc>
        <w:tc>
          <w:tcPr>
            <w:tcW w:type="dxa" w:w="1317"/>
          </w:tcPr>
          <w:p>
            <w:pPr>
              <w:keepNext/>
              <w:keepLines/>
            </w:pPr>
            <w:r>
              <w:rPr>
                <w:sz w:val="16"/>
              </w:rPr>
              <w:t>171</w:t>
            </w:r>
          </w:p>
        </w:tc>
      </w:tr>
      <w:tr>
        <w:trPr>
          <w:cantSplit/>
        </w:trPr>
        <w:tc>
          <w:tcPr>
            <w:tcW w:type="dxa" w:w="1317"/>
          </w:tcPr>
          <w:p>
            <w:pPr>
              <w:keepNext/>
              <w:keepLines/>
            </w:pPr>
            <w:r>
              <w:rPr>
                <w:sz w:val="16"/>
              </w:rPr>
              <w:t>Stock-based compensation</w:t>
            </w:r>
          </w:p>
        </w:tc>
        <w:tc>
          <w:tcPr>
            <w:tcW w:type="dxa" w:w="1317"/>
          </w:tcPr>
          <w:p>
            <w:pPr>
              <w:keepNext/>
              <w:keepLines/>
            </w:pPr>
            <w:r>
              <w:rPr>
                <w:sz w:val="16"/>
              </w:rPr>
              <w:t>8.2</w:t>
            </w:r>
          </w:p>
        </w:tc>
        <w:tc>
          <w:tcPr>
            <w:tcW w:type="dxa" w:w="1317"/>
          </w:tcPr>
          <w:p>
            <w:pPr>
              <w:keepNext/>
              <w:keepLines/>
            </w:pPr>
            <w:r>
              <w:rPr>
                <w:sz w:val="16"/>
              </w:rPr>
              <w:t>8.0</w:t>
            </w:r>
          </w:p>
        </w:tc>
        <w:tc>
          <w:tcPr>
            <w:tcW w:type="dxa" w:w="1317"/>
          </w:tcPr>
          <w:p>
            <w:pPr>
              <w:keepNext/>
              <w:keepLines/>
            </w:pPr>
            <w:r>
              <w:rPr>
                <w:sz w:val="16"/>
              </w:rPr>
              <w:t>8.0</w:t>
            </w:r>
          </w:p>
        </w:tc>
        <w:tc>
          <w:tcPr>
            <w:tcW w:type="dxa" w:w="1317"/>
          </w:tcPr>
          <w:p>
            <w:pPr>
              <w:keepNext/>
              <w:keepLines/>
            </w:pPr>
            <w:r>
              <w:rPr>
                <w:sz w:val="16"/>
              </w:rPr>
              <w:t>8.0</w:t>
            </w:r>
          </w:p>
        </w:tc>
        <w:tc>
          <w:tcPr>
            <w:tcW w:type="dxa" w:w="1317"/>
          </w:tcPr>
          <w:p>
            <w:pPr>
              <w:keepNext/>
              <w:keepLines/>
            </w:pPr>
            <w:r>
              <w:rPr>
                <w:sz w:val="16"/>
              </w:rPr>
              <w:t>9.3</w:t>
            </w:r>
          </w:p>
        </w:tc>
        <w:tc>
          <w:tcPr>
            <w:tcW w:type="dxa" w:w="1317"/>
          </w:tcPr>
          <w:p>
            <w:pPr>
              <w:keepNext/>
              <w:keepLines/>
            </w:pPr>
            <w:r>
              <w:rPr>
                <w:sz w:val="16"/>
              </w:rPr>
              <w:t>10.6</w:t>
            </w:r>
          </w:p>
        </w:tc>
        <w:tc>
          <w:tcPr>
            <w:tcW w:type="dxa" w:w="1317"/>
          </w:tcPr>
          <w:p>
            <w:pPr>
              <w:keepNext/>
              <w:keepLines/>
            </w:pPr>
            <w:r>
              <w:rPr>
                <w:sz w:val="16"/>
              </w:rPr>
              <w:t>11.9</w:t>
            </w:r>
          </w:p>
        </w:tc>
      </w:tr>
      <w:tr>
        <w:trPr>
          <w:cantSplit/>
        </w:trPr>
        <w:tc>
          <w:tcPr>
            <w:tcW w:type="dxa" w:w="1317"/>
          </w:tcPr>
          <w:p>
            <w:pPr>
              <w:keepNext/>
              <w:keepLines/>
            </w:pPr>
            <w:r>
              <w:rPr>
                <w:sz w:val="16"/>
              </w:rPr>
              <w:t>Interest</w:t>
            </w:r>
          </w:p>
        </w:tc>
        <w:tc>
          <w:tcPr>
            <w:tcW w:type="dxa" w:w="1317"/>
          </w:tcPr>
          <w:p>
            <w:pPr>
              <w:keepNext/>
              <w:keepLines/>
            </w:pPr>
            <w:r>
              <w:rPr>
                <w:sz w:val="16"/>
              </w:rPr>
              <w:t>2.4</w:t>
            </w:r>
          </w:p>
        </w:tc>
        <w:tc>
          <w:tcPr>
            <w:tcW w:type="dxa" w:w="1317"/>
          </w:tcPr>
          <w:p>
            <w:pPr>
              <w:keepNext/>
              <w:keepLines/>
            </w:pPr>
            <w:r>
              <w:rPr>
                <w:sz w:val="16"/>
              </w:rPr>
              <w:t>4.5</w:t>
            </w:r>
          </w:p>
        </w:tc>
        <w:tc>
          <w:tcPr>
            <w:tcW w:type="dxa" w:w="1317"/>
          </w:tcPr>
          <w:p>
            <w:pPr>
              <w:keepNext/>
              <w:keepLines/>
            </w:pPr>
            <w:r>
              <w:rPr>
                <w:sz w:val="16"/>
              </w:rPr>
              <w:t>9.1</w:t>
            </w:r>
          </w:p>
        </w:tc>
        <w:tc>
          <w:tcPr>
            <w:tcW w:type="dxa" w:w="1317"/>
          </w:tcPr>
          <w:p>
            <w:pPr>
              <w:keepNext/>
              <w:keepLines/>
            </w:pPr>
            <w:r>
              <w:rPr>
                <w:sz w:val="16"/>
              </w:rPr>
              <w:t>9.1</w:t>
            </w:r>
          </w:p>
        </w:tc>
        <w:tc>
          <w:tcPr>
            <w:tcW w:type="dxa" w:w="1317"/>
          </w:tcPr>
          <w:p>
            <w:pPr>
              <w:keepNext/>
              <w:keepLines/>
            </w:pPr>
            <w:r>
              <w:rPr>
                <w:sz w:val="16"/>
              </w:rPr>
              <w:t>10.3</w:t>
            </w:r>
          </w:p>
        </w:tc>
        <w:tc>
          <w:tcPr>
            <w:tcW w:type="dxa" w:w="1317"/>
          </w:tcPr>
          <w:p>
            <w:pPr>
              <w:keepNext/>
              <w:keepLines/>
            </w:pPr>
            <w:r>
              <w:rPr>
                <w:sz w:val="16"/>
              </w:rPr>
              <w:t>13.1</w:t>
            </w:r>
          </w:p>
        </w:tc>
        <w:tc>
          <w:tcPr>
            <w:tcW w:type="dxa" w:w="1317"/>
          </w:tcPr>
          <w:p>
            <w:pPr>
              <w:keepNext/>
              <w:keepLines/>
            </w:pPr>
            <w:r>
              <w:rPr>
                <w:sz w:val="16"/>
              </w:rPr>
              <w:t>22.2</w:t>
            </w:r>
          </w:p>
        </w:tc>
      </w:tr>
      <w:tr>
        <w:trPr>
          <w:cantSplit/>
        </w:trPr>
        <w:tc>
          <w:tcPr>
            <w:tcW w:type="dxa" w:w="1317"/>
          </w:tcPr>
          <w:p>
            <w:pPr>
              <w:keepNext/>
              <w:keepLines/>
            </w:pPr>
            <w:r>
              <w:rPr>
                <w:sz w:val="16"/>
              </w:rPr>
              <w:t>Pre-tax Income</w:t>
            </w:r>
          </w:p>
        </w:tc>
        <w:tc>
          <w:tcPr>
            <w:tcW w:type="dxa" w:w="1317"/>
          </w:tcPr>
          <w:p>
            <w:pPr>
              <w:keepNext/>
              <w:keepLines/>
            </w:pPr>
            <w:r>
              <w:rPr>
                <w:sz w:val="16"/>
              </w:rPr>
              <w:t>−26.6</w:t>
            </w:r>
          </w:p>
        </w:tc>
        <w:tc>
          <w:tcPr>
            <w:tcW w:type="dxa" w:w="1317"/>
          </w:tcPr>
          <w:p>
            <w:pPr>
              <w:keepNext/>
              <w:keepLines/>
            </w:pPr>
            <w:r>
              <w:rPr>
                <w:sz w:val="16"/>
              </w:rPr>
              <w:t>−37.1</w:t>
            </w:r>
          </w:p>
        </w:tc>
        <w:tc>
          <w:tcPr>
            <w:tcW w:type="dxa" w:w="1317"/>
          </w:tcPr>
          <w:p>
            <w:pPr>
              <w:keepNext/>
              <w:keepLines/>
            </w:pPr>
            <w:r>
              <w:rPr>
                <w:sz w:val="16"/>
              </w:rPr>
              <w:t>−38.0</w:t>
            </w:r>
          </w:p>
        </w:tc>
        <w:tc>
          <w:tcPr>
            <w:tcW w:type="dxa" w:w="1317"/>
          </w:tcPr>
          <w:p>
            <w:pPr>
              <w:keepNext/>
              <w:keepLines/>
            </w:pPr>
            <w:r>
              <w:rPr>
                <w:sz w:val="16"/>
              </w:rPr>
              <w:t>−7.8</w:t>
            </w:r>
          </w:p>
        </w:tc>
        <w:tc>
          <w:tcPr>
            <w:tcW w:type="dxa" w:w="1317"/>
          </w:tcPr>
          <w:p>
            <w:pPr>
              <w:keepNext/>
              <w:keepLines/>
            </w:pPr>
            <w:r>
              <w:rPr>
                <w:sz w:val="16"/>
              </w:rPr>
              <w:t>46.5</w:t>
            </w:r>
          </w:p>
        </w:tc>
        <w:tc>
          <w:tcPr>
            <w:tcW w:type="dxa" w:w="1317"/>
          </w:tcPr>
          <w:p>
            <w:pPr>
              <w:keepNext/>
              <w:keepLines/>
            </w:pPr>
            <w:r>
              <w:rPr>
                <w:sz w:val="16"/>
              </w:rPr>
              <w:t>89.9</w:t>
            </w:r>
          </w:p>
        </w:tc>
        <w:tc>
          <w:tcPr>
            <w:tcW w:type="dxa" w:w="1317"/>
          </w:tcPr>
          <w:p>
            <w:pPr>
              <w:keepNext/>
              <w:keepLines/>
            </w:pPr>
            <w:r>
              <w:rPr>
                <w:sz w:val="16"/>
              </w:rPr>
              <w:t>128</w:t>
            </w:r>
          </w:p>
        </w:tc>
      </w:tr>
      <w:tr>
        <w:trPr>
          <w:cantSplit/>
        </w:trPr>
        <w:tc>
          <w:tcPr>
            <w:tcW w:type="dxa" w:w="1317"/>
          </w:tcPr>
          <w:p>
            <w:pPr>
              <w:keepNext/>
              <w:keepLines/>
            </w:pPr>
            <w:r>
              <w:rPr>
                <w:sz w:val="16"/>
              </w:rPr>
              <w:t>Net Operating Loss (NOL)</w:t>
            </w:r>
          </w:p>
        </w:tc>
        <w:tc>
          <w:tcPr>
            <w:tcW w:type="dxa" w:w="1317"/>
          </w:tcPr>
          <w:p>
            <w:pPr>
              <w:keepNext/>
              <w:keepLines/>
            </w:pPr>
            <w:r>
              <w:rPr>
                <w:sz w:val="16"/>
              </w:rPr>
              <w:t>258</w:t>
            </w:r>
          </w:p>
        </w:tc>
        <w:tc>
          <w:tcPr>
            <w:tcW w:type="dxa" w:w="1317"/>
          </w:tcPr>
          <w:p>
            <w:pPr>
              <w:keepNext/>
              <w:keepLines/>
            </w:pPr>
            <w:r>
              <w:rPr>
                <w:sz w:val="16"/>
              </w:rPr>
              <w:t>295</w:t>
            </w:r>
          </w:p>
        </w:tc>
        <w:tc>
          <w:tcPr>
            <w:tcW w:type="dxa" w:w="1317"/>
          </w:tcPr>
          <w:p>
            <w:pPr>
              <w:keepNext/>
              <w:keepLines/>
            </w:pPr>
            <w:r>
              <w:rPr>
                <w:sz w:val="16"/>
              </w:rPr>
              <w:t>333</w:t>
            </w:r>
          </w:p>
        </w:tc>
        <w:tc>
          <w:tcPr>
            <w:tcW w:type="dxa" w:w="1317"/>
          </w:tcPr>
          <w:p>
            <w:pPr>
              <w:keepNext/>
              <w:keepLines/>
            </w:pPr>
            <w:r>
              <w:rPr>
                <w:sz w:val="16"/>
              </w:rPr>
              <w:t>341</w:t>
            </w:r>
          </w:p>
        </w:tc>
        <w:tc>
          <w:tcPr>
            <w:tcW w:type="dxa" w:w="1317"/>
          </w:tcPr>
          <w:p>
            <w:pPr>
              <w:keepNext/>
              <w:keepLines/>
            </w:pPr>
            <w:r>
              <w:rPr>
                <w:sz w:val="16"/>
              </w:rPr>
              <w:t>295</w:t>
            </w:r>
          </w:p>
        </w:tc>
        <w:tc>
          <w:tcPr>
            <w:tcW w:type="dxa" w:w="1317"/>
          </w:tcPr>
          <w:p>
            <w:pPr>
              <w:keepNext/>
              <w:keepLines/>
            </w:pPr>
            <w:r>
              <w:rPr>
                <w:sz w:val="16"/>
              </w:rPr>
              <w:t>205</w:t>
            </w:r>
          </w:p>
        </w:tc>
        <w:tc>
          <w:tcPr>
            <w:tcW w:type="dxa" w:w="1317"/>
          </w:tcPr>
          <w:p>
            <w:pPr>
              <w:keepNext/>
              <w:keepLines/>
            </w:pPr>
            <w:r>
              <w:rPr>
                <w:sz w:val="16"/>
              </w:rPr>
              <w:t>77.1</w:t>
            </w:r>
          </w:p>
        </w:tc>
      </w:tr>
      <w:tr>
        <w:trPr>
          <w:cantSplit/>
        </w:trPr>
        <w:tc>
          <w:tcPr>
            <w:tcW w:type="dxa" w:w="1317"/>
          </w:tcPr>
          <w:p>
            <w:pPr>
              <w:keepNext/>
              <w:keepLines/>
            </w:pPr>
            <w:r>
              <w:rPr>
                <w:sz w:val="16"/>
              </w:rPr>
              <w:t>Cash Taxes</w:t>
            </w:r>
          </w:p>
        </w:tc>
        <w:tc>
          <w:tcPr>
            <w:tcW w:type="dxa" w:w="1317"/>
          </w:tcPr>
          <w:p>
            <w:pPr>
              <w:keepNext/>
              <w:keepLines/>
            </w:pPr>
            <w:r>
              <w:rPr>
                <w:sz w:val="16"/>
              </w:rPr>
              <w:t>0.1</w:t>
            </w:r>
          </w:p>
        </w:tc>
        <w:tc>
          <w:tcPr>
            <w:tcW w:type="dxa" w:w="1317"/>
          </w:tcPr>
          <w:p>
            <w:pPr>
              <w:keepNext/>
              <w:keepLines/>
            </w:pPr>
            <w:r>
              <w:rPr>
                <w:sz w:val="16"/>
              </w:rPr>
              <w:t>0.0</w:t>
            </w:r>
          </w:p>
        </w:tc>
        <w:tc>
          <w:tcPr>
            <w:tcW w:type="dxa" w:w="1317"/>
          </w:tcPr>
          <w:p>
            <w:pPr>
              <w:keepNext/>
              <w:keepLines/>
            </w:pPr>
            <w:r>
              <w:rPr>
                <w:sz w:val="16"/>
              </w:rPr>
              <w:t>0.0</w:t>
            </w:r>
          </w:p>
        </w:tc>
        <w:tc>
          <w:tcPr>
            <w:tcW w:type="dxa" w:w="1317"/>
          </w:tcPr>
          <w:p>
            <w:pPr>
              <w:keepNext/>
              <w:keepLines/>
            </w:pPr>
            <w:r>
              <w:rPr>
                <w:sz w:val="16"/>
              </w:rPr>
              <w:t>0.0</w:t>
            </w:r>
          </w:p>
        </w:tc>
        <w:tc>
          <w:tcPr>
            <w:tcW w:type="dxa" w:w="1317"/>
          </w:tcPr>
          <w:p>
            <w:pPr>
              <w:keepNext/>
              <w:keepLines/>
            </w:pPr>
            <w:r>
              <w:rPr>
                <w:sz w:val="16"/>
              </w:rPr>
              <w:t>0.0</w:t>
            </w:r>
          </w:p>
        </w:tc>
        <w:tc>
          <w:tcPr>
            <w:tcW w:type="dxa" w:w="1317"/>
          </w:tcPr>
          <w:p>
            <w:pPr>
              <w:keepNext/>
              <w:keepLines/>
            </w:pPr>
            <w:r>
              <w:rPr>
                <w:sz w:val="16"/>
              </w:rPr>
              <w:t>0.0</w:t>
            </w:r>
          </w:p>
        </w:tc>
        <w:tc>
          <w:tcPr>
            <w:tcW w:type="dxa" w:w="1317"/>
          </w:tcPr>
          <w:p>
            <w:pPr>
              <w:keepNext/>
              <w:keepLines/>
            </w:pPr>
            <w:r>
              <w:rPr>
                <w:sz w:val="16"/>
              </w:rPr>
              <w:t>0.0</w:t>
            </w:r>
          </w:p>
        </w:tc>
      </w:tr>
      <w:tr>
        <w:trPr>
          <w:cantSplit/>
        </w:trPr>
        <w:tc>
          <w:tcPr>
            <w:tcW w:type="dxa" w:w="1317"/>
          </w:tcPr>
          <w:p>
            <w:pPr>
              <w:keepNext/>
              <w:keepLines/>
            </w:pPr>
            <w:r>
              <w:rPr>
                <w:sz w:val="16"/>
              </w:rPr>
              <w:t>Capex</w:t>
            </w:r>
          </w:p>
        </w:tc>
        <w:tc>
          <w:tcPr>
            <w:tcW w:type="dxa" w:w="1317"/>
          </w:tcPr>
          <w:p>
            <w:pPr>
              <w:keepNext/>
              <w:keepLines/>
            </w:pPr>
            <w:r>
              <w:rPr>
                <w:sz w:val="16"/>
              </w:rPr>
              <w:t>0.5</w:t>
            </w:r>
          </w:p>
        </w:tc>
        <w:tc>
          <w:tcPr>
            <w:tcW w:type="dxa" w:w="1317"/>
          </w:tcPr>
          <w:p>
            <w:pPr>
              <w:keepNext/>
              <w:keepLines/>
            </w:pPr>
            <w:r>
              <w:rPr>
                <w:sz w:val="16"/>
              </w:rPr>
              <w:t>1.6</w:t>
            </w:r>
          </w:p>
        </w:tc>
        <w:tc>
          <w:tcPr>
            <w:tcW w:type="dxa" w:w="1317"/>
          </w:tcPr>
          <w:p>
            <w:pPr>
              <w:keepNext/>
              <w:keepLines/>
            </w:pPr>
            <w:r>
              <w:rPr>
                <w:sz w:val="16"/>
              </w:rPr>
              <w:t>2.9</w:t>
            </w:r>
          </w:p>
        </w:tc>
        <w:tc>
          <w:tcPr>
            <w:tcW w:type="dxa" w:w="1317"/>
          </w:tcPr>
          <w:p>
            <w:pPr>
              <w:keepNext/>
              <w:keepLines/>
            </w:pPr>
            <w:r>
              <w:rPr>
                <w:sz w:val="16"/>
              </w:rPr>
              <w:t>8.2</w:t>
            </w:r>
          </w:p>
        </w:tc>
        <w:tc>
          <w:tcPr>
            <w:tcW w:type="dxa" w:w="1317"/>
          </w:tcPr>
          <w:p>
            <w:pPr>
              <w:keepNext/>
              <w:keepLines/>
            </w:pPr>
            <w:r>
              <w:rPr>
                <w:sz w:val="16"/>
              </w:rPr>
              <w:t>18.1</w:t>
            </w:r>
          </w:p>
        </w:tc>
        <w:tc>
          <w:tcPr>
            <w:tcW w:type="dxa" w:w="1317"/>
          </w:tcPr>
          <w:p>
            <w:pPr>
              <w:keepNext/>
              <w:keepLines/>
            </w:pPr>
            <w:r>
              <w:rPr>
                <w:sz w:val="16"/>
              </w:rPr>
              <w:t>26.2</w:t>
            </w:r>
          </w:p>
        </w:tc>
        <w:tc>
          <w:tcPr>
            <w:tcW w:type="dxa" w:w="1317"/>
          </w:tcPr>
          <w:p>
            <w:pPr>
              <w:keepNext/>
              <w:keepLines/>
            </w:pPr>
            <w:r>
              <w:rPr>
                <w:sz w:val="16"/>
              </w:rPr>
              <w:t>34.4</w:t>
            </w:r>
          </w:p>
        </w:tc>
      </w:tr>
      <w:tr>
        <w:trPr>
          <w:cantSplit/>
        </w:trPr>
        <w:tc>
          <w:tcPr>
            <w:tcW w:type="dxa" w:w="1317"/>
          </w:tcPr>
          <w:p>
            <w:pPr>
              <w:keepNext/>
              <w:keepLines/>
            </w:pPr>
            <w:r>
              <w:rPr>
                <w:sz w:val="16"/>
              </w:rPr>
              <w:t>MnA</w:t>
            </w:r>
          </w:p>
        </w:tc>
        <w:tc>
          <w:tcPr>
            <w:tcW w:type="dxa" w:w="1317"/>
          </w:tcPr>
          <w:p>
            <w:pPr>
              <w:keepNext/>
              <w:keepLines/>
            </w:pPr>
            <w:r>
              <w:rPr>
                <w:sz w:val="16"/>
              </w:rPr>
              <w:t>0.0</w:t>
            </w:r>
          </w:p>
        </w:tc>
        <w:tc>
          <w:tcPr>
            <w:tcW w:type="dxa" w:w="1317"/>
          </w:tcPr>
          <w:p>
            <w:pPr>
              <w:keepNext/>
              <w:keepLines/>
            </w:pPr>
            <w:r>
              <w:rPr>
                <w:sz w:val="16"/>
              </w:rPr>
              <w:t>0.0</w:t>
            </w:r>
          </w:p>
        </w:tc>
        <w:tc>
          <w:tcPr>
            <w:tcW w:type="dxa" w:w="1317"/>
          </w:tcPr>
          <w:p>
            <w:pPr>
              <w:keepNext/>
              <w:keepLines/>
            </w:pPr>
            <w:r>
              <w:rPr>
                <w:sz w:val="16"/>
              </w:rPr>
              <w:t>0.0</w:t>
            </w:r>
          </w:p>
        </w:tc>
        <w:tc>
          <w:tcPr>
            <w:tcW w:type="dxa" w:w="1317"/>
          </w:tcPr>
          <w:p>
            <w:pPr>
              <w:keepNext/>
              <w:keepLines/>
            </w:pPr>
            <w:r>
              <w:rPr>
                <w:sz w:val="16"/>
              </w:rPr>
              <w:t>0.0</w:t>
            </w:r>
          </w:p>
        </w:tc>
        <w:tc>
          <w:tcPr>
            <w:tcW w:type="dxa" w:w="1317"/>
          </w:tcPr>
          <w:p>
            <w:pPr>
              <w:keepNext/>
              <w:keepLines/>
            </w:pPr>
            <w:r>
              <w:rPr>
                <w:sz w:val="16"/>
              </w:rPr>
              <w:t>0.0</w:t>
            </w:r>
          </w:p>
        </w:tc>
        <w:tc>
          <w:tcPr>
            <w:tcW w:type="dxa" w:w="1317"/>
          </w:tcPr>
          <w:p>
            <w:pPr>
              <w:keepNext/>
              <w:keepLines/>
            </w:pPr>
            <w:r>
              <w:rPr>
                <w:sz w:val="16"/>
              </w:rPr>
              <w:t>0.0</w:t>
            </w:r>
          </w:p>
        </w:tc>
        <w:tc>
          <w:tcPr>
            <w:tcW w:type="dxa" w:w="1317"/>
          </w:tcPr>
          <w:p>
            <w:pPr>
              <w:keepNext/>
              <w:keepLines/>
            </w:pPr>
            <w:r>
              <w:rPr>
                <w:sz w:val="16"/>
              </w:rPr>
              <w:t>0.0</w:t>
            </w:r>
          </w:p>
        </w:tc>
      </w:tr>
      <w:tr>
        <w:trPr>
          <w:cantSplit/>
        </w:trPr>
        <w:tc>
          <w:tcPr>
            <w:tcW w:type="dxa" w:w="1317"/>
          </w:tcPr>
          <w:p>
            <w:pPr>
              <w:keepNext/>
              <w:keepLines/>
            </w:pPr>
            <w:r>
              <w:rPr>
                <w:sz w:val="16"/>
              </w:rPr>
              <w:t>dWC</w:t>
            </w:r>
          </w:p>
        </w:tc>
        <w:tc>
          <w:tcPr>
            <w:tcW w:type="dxa" w:w="1317"/>
          </w:tcPr>
          <w:p>
            <w:pPr>
              <w:keepNext/>
              <w:keepLines/>
            </w:pPr>
            <w:r>
              <w:rPr>
                <w:sz w:val="16"/>
              </w:rPr>
              <w:t>0.0</w:t>
            </w:r>
          </w:p>
        </w:tc>
        <w:tc>
          <w:tcPr>
            <w:tcW w:type="dxa" w:w="1317"/>
          </w:tcPr>
          <w:p>
            <w:pPr>
              <w:keepNext/>
              <w:keepLines/>
            </w:pPr>
            <w:r>
              <w:rPr>
                <w:sz w:val="16"/>
              </w:rPr>
              <w:t>0.0</w:t>
            </w:r>
          </w:p>
        </w:tc>
        <w:tc>
          <w:tcPr>
            <w:tcW w:type="dxa" w:w="1317"/>
          </w:tcPr>
          <w:p>
            <w:pPr>
              <w:keepNext/>
              <w:keepLines/>
            </w:pPr>
            <w:r>
              <w:rPr>
                <w:sz w:val="16"/>
              </w:rPr>
              <w:t>0.0</w:t>
            </w:r>
          </w:p>
        </w:tc>
        <w:tc>
          <w:tcPr>
            <w:tcW w:type="dxa" w:w="1317"/>
          </w:tcPr>
          <w:p>
            <w:pPr>
              <w:keepNext/>
              <w:keepLines/>
            </w:pPr>
            <w:r>
              <w:rPr>
                <w:sz w:val="16"/>
              </w:rPr>
              <w:t>0.0</w:t>
            </w:r>
          </w:p>
        </w:tc>
        <w:tc>
          <w:tcPr>
            <w:tcW w:type="dxa" w:w="1317"/>
          </w:tcPr>
          <w:p>
            <w:pPr>
              <w:keepNext/>
              <w:keepLines/>
            </w:pPr>
            <w:r>
              <w:rPr>
                <w:sz w:val="16"/>
              </w:rPr>
              <w:t>0.0</w:t>
            </w:r>
          </w:p>
        </w:tc>
        <w:tc>
          <w:tcPr>
            <w:tcW w:type="dxa" w:w="1317"/>
          </w:tcPr>
          <w:p>
            <w:pPr>
              <w:keepNext/>
              <w:keepLines/>
            </w:pPr>
            <w:r>
              <w:rPr>
                <w:sz w:val="16"/>
              </w:rPr>
              <w:t>0.0</w:t>
            </w:r>
          </w:p>
        </w:tc>
        <w:tc>
          <w:tcPr>
            <w:tcW w:type="dxa" w:w="1317"/>
          </w:tcPr>
          <w:p>
            <w:pPr>
              <w:keepNext/>
              <w:keepLines/>
            </w:pPr>
            <w:r>
              <w:rPr>
                <w:sz w:val="16"/>
              </w:rPr>
              <w:t>0.0</w:t>
            </w:r>
          </w:p>
        </w:tc>
      </w:tr>
      <w:tr>
        <w:trPr>
          <w:cantSplit/>
        </w:trPr>
        <w:tc>
          <w:tcPr>
            <w:tcW w:type="dxa" w:w="1317"/>
          </w:tcPr>
          <w:p>
            <w:pPr>
              <w:keepNext/>
              <w:keepLines/>
            </w:pPr>
            <w:r>
              <w:rPr>
                <w:sz w:val="16"/>
              </w:rPr>
              <w:t>dDebt</w:t>
            </w:r>
          </w:p>
        </w:tc>
        <w:tc>
          <w:tcPr>
            <w:tcW w:type="dxa" w:w="1317"/>
          </w:tcPr>
          <w:p>
            <w:pPr>
              <w:keepNext/>
              <w:keepLines/>
            </w:pPr>
            <w:r>
              <w:rPr>
                <w:sz w:val="16"/>
              </w:rPr>
              <w:t>0.0</w:t>
            </w:r>
          </w:p>
        </w:tc>
        <w:tc>
          <w:tcPr>
            <w:tcW w:type="dxa" w:w="1317"/>
          </w:tcPr>
          <w:p>
            <w:pPr>
              <w:keepNext/>
              <w:keepLines/>
            </w:pPr>
            <w:r>
              <w:rPr>
                <w:sz w:val="16"/>
              </w:rPr>
              <w:t>50.0</w:t>
            </w:r>
          </w:p>
        </w:tc>
        <w:tc>
          <w:tcPr>
            <w:tcW w:type="dxa" w:w="1317"/>
          </w:tcPr>
          <w:p>
            <w:pPr>
              <w:keepNext/>
              <w:keepLines/>
            </w:pPr>
            <w:r>
              <w:rPr>
                <w:sz w:val="16"/>
              </w:rPr>
              <w:t>0.0</w:t>
            </w:r>
          </w:p>
        </w:tc>
        <w:tc>
          <w:tcPr>
            <w:tcW w:type="dxa" w:w="1317"/>
          </w:tcPr>
          <w:p>
            <w:pPr>
              <w:keepNext/>
              <w:keepLines/>
            </w:pPr>
            <w:r>
              <w:rPr>
                <w:sz w:val="16"/>
              </w:rPr>
              <w:t>13.4</w:t>
            </w:r>
          </w:p>
        </w:tc>
        <w:tc>
          <w:tcPr>
            <w:tcW w:type="dxa" w:w="1317"/>
          </w:tcPr>
          <w:p>
            <w:pPr>
              <w:keepNext/>
              <w:keepLines/>
            </w:pPr>
            <w:r>
              <w:rPr>
                <w:sz w:val="16"/>
              </w:rPr>
              <w:t>30.0</w:t>
            </w:r>
          </w:p>
        </w:tc>
        <w:tc>
          <w:tcPr>
            <w:tcW w:type="dxa" w:w="1317"/>
          </w:tcPr>
          <w:p>
            <w:pPr>
              <w:keepNext/>
              <w:keepLines/>
            </w:pPr>
            <w:r>
              <w:rPr>
                <w:sz w:val="16"/>
              </w:rPr>
              <w:t>98.8</w:t>
            </w:r>
          </w:p>
        </w:tc>
        <w:tc>
          <w:tcPr>
            <w:tcW w:type="dxa" w:w="1317"/>
          </w:tcPr>
          <w:p>
            <w:pPr>
              <w:keepNext/>
              <w:keepLines/>
            </w:pPr>
            <w:r>
              <w:rPr>
                <w:sz w:val="16"/>
              </w:rPr>
              <w:t>100</w:t>
            </w:r>
          </w:p>
        </w:tc>
      </w:tr>
      <w:tr>
        <w:trPr>
          <w:cantSplit/>
        </w:trPr>
        <w:tc>
          <w:tcPr>
            <w:tcW w:type="dxa" w:w="1317"/>
          </w:tcPr>
          <w:p>
            <w:pPr>
              <w:keepNext/>
              <w:keepLines/>
            </w:pPr>
            <w:r>
              <w:rPr>
                <w:sz w:val="16"/>
              </w:rPr>
              <w:t>FCF, 'Owners Earnings'</w:t>
            </w:r>
          </w:p>
        </w:tc>
        <w:tc>
          <w:tcPr>
            <w:tcW w:type="dxa" w:w="1317"/>
          </w:tcPr>
          <w:p>
            <w:pPr>
              <w:keepNext/>
              <w:keepLines/>
            </w:pPr>
            <w:r>
              <w:rPr>
                <w:sz w:val="16"/>
              </w:rPr>
              <w:t>−26.3</w:t>
            </w:r>
          </w:p>
        </w:tc>
        <w:tc>
          <w:tcPr>
            <w:tcW w:type="dxa" w:w="1317"/>
          </w:tcPr>
          <w:p>
            <w:pPr>
              <w:keepNext/>
              <w:keepLines/>
            </w:pPr>
            <w:r>
              <w:rPr>
                <w:sz w:val="16"/>
              </w:rPr>
              <w:t>−37.7</w:t>
            </w:r>
          </w:p>
        </w:tc>
        <w:tc>
          <w:tcPr>
            <w:tcW w:type="dxa" w:w="1317"/>
          </w:tcPr>
          <w:p>
            <w:pPr>
              <w:keepNext/>
              <w:keepLines/>
            </w:pPr>
            <w:r>
              <w:rPr>
                <w:sz w:val="16"/>
              </w:rPr>
              <w:t>−39.5</w:t>
            </w:r>
          </w:p>
        </w:tc>
        <w:tc>
          <w:tcPr>
            <w:tcW w:type="dxa" w:w="1317"/>
          </w:tcPr>
          <w:p>
            <w:pPr>
              <w:keepNext/>
              <w:keepLines/>
            </w:pPr>
            <w:r>
              <w:rPr>
                <w:sz w:val="16"/>
              </w:rPr>
              <w:t>−13.4</w:t>
            </w:r>
          </w:p>
        </w:tc>
        <w:tc>
          <w:tcPr>
            <w:tcW w:type="dxa" w:w="1317"/>
          </w:tcPr>
          <w:p>
            <w:pPr>
              <w:keepNext/>
              <w:keepLines/>
            </w:pPr>
            <w:r>
              <w:rPr>
                <w:sz w:val="16"/>
              </w:rPr>
              <w:t>33.5</w:t>
            </w:r>
          </w:p>
        </w:tc>
        <w:tc>
          <w:tcPr>
            <w:tcW w:type="dxa" w:w="1317"/>
          </w:tcPr>
          <w:p>
            <w:pPr>
              <w:keepNext/>
              <w:keepLines/>
            </w:pPr>
            <w:r>
              <w:rPr>
                <w:sz w:val="16"/>
              </w:rPr>
              <w:t>70.8</w:t>
            </w:r>
          </w:p>
        </w:tc>
        <w:tc>
          <w:tcPr>
            <w:tcW w:type="dxa" w:w="1317"/>
          </w:tcPr>
          <w:p>
            <w:pPr>
              <w:keepNext/>
              <w:keepLines/>
            </w:pPr>
            <w:r>
              <w:rPr>
                <w:sz w:val="16"/>
              </w:rPr>
              <w:t>102</w:t>
            </w:r>
          </w:p>
        </w:tc>
      </w:tr>
      <w:tr>
        <w:trPr>
          <w:cantSplit/>
        </w:trPr>
        <w:tc>
          <w:tcPr>
            <w:tcW w:type="dxa" w:w="1317"/>
          </w:tcPr>
          <w:p>
            <w:pPr>
              <w:keepNext/>
              <w:keepLines/>
            </w:pPr>
            <w:r>
              <w:rPr>
                <w:sz w:val="16"/>
              </w:rPr>
              <w:t>FCFE</w:t>
            </w:r>
          </w:p>
        </w:tc>
        <w:tc>
          <w:tcPr>
            <w:tcW w:type="dxa" w:w="1317"/>
          </w:tcPr>
          <w:p>
            <w:pPr>
              <w:keepNext/>
              <w:keepLines/>
            </w:pPr>
            <w:r>
              <w:rPr>
                <w:sz w:val="16"/>
              </w:rPr>
              <w:t>−26.3</w:t>
            </w:r>
          </w:p>
        </w:tc>
        <w:tc>
          <w:tcPr>
            <w:tcW w:type="dxa" w:w="1317"/>
          </w:tcPr>
          <w:p>
            <w:pPr>
              <w:keepNext/>
              <w:keepLines/>
            </w:pPr>
            <w:r>
              <w:rPr>
                <w:sz w:val="16"/>
              </w:rPr>
              <w:t>12.3</w:t>
            </w:r>
          </w:p>
        </w:tc>
        <w:tc>
          <w:tcPr>
            <w:tcW w:type="dxa" w:w="1317"/>
          </w:tcPr>
          <w:p>
            <w:pPr>
              <w:keepNext/>
              <w:keepLines/>
            </w:pPr>
            <w:r>
              <w:rPr>
                <w:sz w:val="16"/>
              </w:rPr>
              <w:t>−39.5</w:t>
            </w:r>
          </w:p>
        </w:tc>
        <w:tc>
          <w:tcPr>
            <w:tcW w:type="dxa" w:w="1317"/>
          </w:tcPr>
          <w:p>
            <w:pPr>
              <w:keepNext/>
              <w:keepLines/>
            </w:pPr>
            <w:r>
              <w:rPr>
                <w:sz w:val="16"/>
              </w:rPr>
              <w:t>0.0</w:t>
            </w:r>
          </w:p>
        </w:tc>
        <w:tc>
          <w:tcPr>
            <w:tcW w:type="dxa" w:w="1317"/>
          </w:tcPr>
          <w:p>
            <w:pPr>
              <w:keepNext/>
              <w:keepLines/>
            </w:pPr>
            <w:r>
              <w:rPr>
                <w:sz w:val="16"/>
              </w:rPr>
              <w:t>63.5</w:t>
            </w:r>
          </w:p>
        </w:tc>
        <w:tc>
          <w:tcPr>
            <w:tcW w:type="dxa" w:w="1317"/>
          </w:tcPr>
          <w:p>
            <w:pPr>
              <w:keepNext/>
              <w:keepLines/>
            </w:pPr>
            <w:r>
              <w:rPr>
                <w:sz w:val="16"/>
              </w:rPr>
              <w:t>170</w:t>
            </w:r>
          </w:p>
        </w:tc>
        <w:tc>
          <w:tcPr>
            <w:tcW w:type="dxa" w:w="1317"/>
          </w:tcPr>
          <w:p>
            <w:pPr>
              <w:keepNext/>
              <w:keepLines/>
            </w:pPr>
            <w:r>
              <w:rPr>
                <w:sz w:val="16"/>
              </w:rPr>
              <w:t>203</w:t>
            </w:r>
          </w:p>
        </w:tc>
      </w:tr>
      <w:tr>
        <w:trPr>
          <w:cantSplit/>
        </w:trPr>
        <w:tc>
          <w:tcPr>
            <w:tcW w:type="dxa" w:w="1317"/>
          </w:tcPr>
          <w:p>
            <w:pPr>
              <w:keepNext/>
              <w:keepLines/>
            </w:pPr>
            <w:r>
              <w:rPr>
                <w:sz w:val="16"/>
              </w:rPr>
              <w:t>FCFF</w:t>
            </w:r>
          </w:p>
        </w:tc>
        <w:tc>
          <w:tcPr>
            <w:tcW w:type="dxa" w:w="1317"/>
          </w:tcPr>
          <w:p>
            <w:pPr>
              <w:keepNext/>
              <w:keepLines/>
            </w:pPr>
            <w:r>
              <w:rPr>
                <w:sz w:val="16"/>
              </w:rPr>
              <w:t>−24.4</w:t>
            </w:r>
          </w:p>
        </w:tc>
        <w:tc>
          <w:tcPr>
            <w:tcW w:type="dxa" w:w="1317"/>
          </w:tcPr>
          <w:p>
            <w:pPr>
              <w:keepNext/>
              <w:keepLines/>
            </w:pPr>
            <w:r>
              <w:rPr>
                <w:sz w:val="16"/>
              </w:rPr>
              <w:t>−34.1</w:t>
            </w:r>
          </w:p>
        </w:tc>
        <w:tc>
          <w:tcPr>
            <w:tcW w:type="dxa" w:w="1317"/>
          </w:tcPr>
          <w:p>
            <w:pPr>
              <w:keepNext/>
              <w:keepLines/>
            </w:pPr>
            <w:r>
              <w:rPr>
                <w:sz w:val="16"/>
              </w:rPr>
              <w:t>−32.3</w:t>
            </w:r>
          </w:p>
        </w:tc>
        <w:tc>
          <w:tcPr>
            <w:tcW w:type="dxa" w:w="1317"/>
          </w:tcPr>
          <w:p>
            <w:pPr>
              <w:keepNext/>
              <w:keepLines/>
            </w:pPr>
            <w:r>
              <w:rPr>
                <w:sz w:val="16"/>
              </w:rPr>
              <w:t>−6.2</w:t>
            </w:r>
          </w:p>
        </w:tc>
        <w:tc>
          <w:tcPr>
            <w:tcW w:type="dxa" w:w="1317"/>
          </w:tcPr>
          <w:p>
            <w:pPr>
              <w:keepNext/>
              <w:keepLines/>
            </w:pPr>
            <w:r>
              <w:rPr>
                <w:sz w:val="16"/>
              </w:rPr>
              <w:t>41.7</w:t>
            </w:r>
          </w:p>
        </w:tc>
        <w:tc>
          <w:tcPr>
            <w:tcW w:type="dxa" w:w="1317"/>
          </w:tcPr>
          <w:p>
            <w:pPr>
              <w:keepNext/>
              <w:keepLines/>
            </w:pPr>
            <w:r>
              <w:rPr>
                <w:sz w:val="16"/>
              </w:rPr>
              <w:t>81.1</w:t>
            </w:r>
          </w:p>
        </w:tc>
        <w:tc>
          <w:tcPr>
            <w:tcW w:type="dxa" w:w="1317"/>
          </w:tcPr>
          <w:p>
            <w:pPr>
              <w:keepNext/>
              <w:keepLines/>
            </w:pPr>
            <w:r>
              <w:rPr>
                <w:sz w:val="16"/>
              </w:rPr>
              <w:t>120</w:t>
            </w:r>
          </w:p>
        </w:tc>
      </w:tr>
      <w:tr>
        <w:trPr>
          <w:cantSplit/>
        </w:trPr>
        <w:tc>
          <w:tcPr>
            <w:tcW w:type="dxa" w:w="1317"/>
          </w:tcPr>
          <w:p>
            <w:pPr>
              <w:keepNext/>
              <w:keepLines/>
            </w:pPr>
            <w:r>
              <w:rPr>
                <w:sz w:val="16"/>
              </w:rPr>
              <w:t>Firm, Intrinsic Value</w:t>
            </w:r>
          </w:p>
        </w:tc>
        <w:tc>
          <w:tcPr>
            <w:tcW w:type="dxa" w:w="1317"/>
          </w:tcPr>
          <w:p>
            <w:pPr>
              <w:keepNext/>
              <w:keepLines/>
            </w:pPr>
            <w:r>
              <w:rPr>
                <w:sz w:val="16"/>
              </w:rPr>
              <w:t>1,992</w:t>
            </w:r>
          </w:p>
        </w:tc>
        <w:tc>
          <w:tcPr>
            <w:tcW w:type="dxa" w:w="1317"/>
          </w:tcPr>
          <w:p>
            <w:pPr>
              <w:keepNext/>
              <w:keepLines/>
            </w:pPr>
            <w:r>
              <w:rPr>
                <w:sz w:val="16"/>
              </w:rPr>
              <w:t>2,233</w:t>
            </w:r>
          </w:p>
        </w:tc>
        <w:tc>
          <w:tcPr>
            <w:tcW w:type="dxa" w:w="1317"/>
          </w:tcPr>
          <w:p>
            <w:pPr>
              <w:keepNext/>
              <w:keepLines/>
            </w:pPr>
            <w:r>
              <w:rPr>
                <w:sz w:val="16"/>
              </w:rPr>
              <w:t>2,495</w:t>
            </w:r>
          </w:p>
        </w:tc>
        <w:tc>
          <w:tcPr>
            <w:tcW w:type="dxa" w:w="1317"/>
          </w:tcPr>
          <w:p>
            <w:pPr>
              <w:keepNext/>
              <w:keepLines/>
            </w:pPr>
            <w:r>
              <w:rPr>
                <w:sz w:val="16"/>
              </w:rPr>
              <w:t>2,759</w:t>
            </w:r>
          </w:p>
        </w:tc>
        <w:tc>
          <w:tcPr>
            <w:tcW w:type="dxa" w:w="1317"/>
          </w:tcPr>
          <w:p>
            <w:pPr>
              <w:keepNext/>
              <w:keepLines/>
            </w:pPr>
            <w:r>
              <w:rPr>
                <w:sz w:val="16"/>
              </w:rPr>
              <w:t>3,002</w:t>
            </w:r>
          </w:p>
        </w:tc>
        <w:tc>
          <w:tcPr>
            <w:tcW w:type="dxa" w:w="1317"/>
          </w:tcPr>
          <w:p>
            <w:pPr>
              <w:keepNext/>
              <w:keepLines/>
            </w:pPr>
            <w:r>
              <w:rPr>
                <w:sz w:val="16"/>
              </w:rPr>
              <w:t>3,231</w:t>
            </w:r>
          </w:p>
        </w:tc>
        <w:tc>
          <w:tcPr>
            <w:tcW w:type="dxa" w:w="1317"/>
          </w:tcPr>
          <w:p>
            <w:pPr>
              <w:keepNext/>
              <w:keepLines/>
            </w:pPr>
            <w:r>
              <w:rPr>
                <w:sz w:val="16"/>
              </w:rPr>
              <w:t>3,441</w:t>
            </w:r>
          </w:p>
        </w:tc>
      </w:tr>
      <w:tr>
        <w:trPr>
          <w:cantSplit/>
        </w:trPr>
        <w:tc>
          <w:tcPr>
            <w:tcW w:type="dxa" w:w="1317"/>
          </w:tcPr>
          <w:p>
            <w:pPr>
              <w:keepNext/>
              <w:keepLines/>
            </w:pPr>
            <w:r>
              <w:rPr>
                <w:sz w:val="16"/>
              </w:rPr>
              <w:t>Debt, Market Value</w:t>
            </w:r>
          </w:p>
        </w:tc>
        <w:tc>
          <w:tcPr>
            <w:tcW w:type="dxa" w:w="1317"/>
          </w:tcPr>
          <w:p>
            <w:pPr>
              <w:keepNext/>
              <w:keepLines/>
            </w:pPr>
            <w:r>
              <w:rPr>
                <w:sz w:val="16"/>
              </w:rPr>
              <w:t>49.1</w:t>
            </w:r>
          </w:p>
        </w:tc>
        <w:tc>
          <w:tcPr>
            <w:tcW w:type="dxa" w:w="1317"/>
          </w:tcPr>
          <w:p>
            <w:pPr>
              <w:keepNext/>
              <w:keepLines/>
            </w:pPr>
            <w:r>
              <w:rPr>
                <w:sz w:val="16"/>
              </w:rPr>
              <w:t>99.1</w:t>
            </w:r>
          </w:p>
        </w:tc>
        <w:tc>
          <w:tcPr>
            <w:tcW w:type="dxa" w:w="1317"/>
          </w:tcPr>
          <w:p>
            <w:pPr>
              <w:keepNext/>
              <w:keepLines/>
            </w:pPr>
            <w:r>
              <w:rPr>
                <w:sz w:val="16"/>
              </w:rPr>
              <w:t>99.1</w:t>
            </w:r>
          </w:p>
        </w:tc>
        <w:tc>
          <w:tcPr>
            <w:tcW w:type="dxa" w:w="1317"/>
          </w:tcPr>
          <w:p>
            <w:pPr>
              <w:keepNext/>
              <w:keepLines/>
            </w:pPr>
            <w:r>
              <w:rPr>
                <w:sz w:val="16"/>
              </w:rPr>
              <w:t>112</w:t>
            </w:r>
          </w:p>
        </w:tc>
        <w:tc>
          <w:tcPr>
            <w:tcW w:type="dxa" w:w="1317"/>
          </w:tcPr>
          <w:p>
            <w:pPr>
              <w:keepNext/>
              <w:keepLines/>
            </w:pPr>
            <w:r>
              <w:rPr>
                <w:sz w:val="16"/>
              </w:rPr>
              <w:t>142</w:t>
            </w:r>
          </w:p>
        </w:tc>
        <w:tc>
          <w:tcPr>
            <w:tcW w:type="dxa" w:w="1317"/>
          </w:tcPr>
          <w:p>
            <w:pPr>
              <w:keepNext/>
              <w:keepLines/>
            </w:pPr>
            <w:r>
              <w:rPr>
                <w:sz w:val="16"/>
              </w:rPr>
              <w:t>241</w:t>
            </w:r>
          </w:p>
        </w:tc>
        <w:tc>
          <w:tcPr>
            <w:tcW w:type="dxa" w:w="1317"/>
          </w:tcPr>
          <w:p>
            <w:pPr>
              <w:keepNext/>
              <w:keepLines/>
            </w:pPr>
            <w:r>
              <w:rPr>
                <w:sz w:val="16"/>
              </w:rPr>
              <w:t>342</w:t>
            </w:r>
          </w:p>
        </w:tc>
      </w:tr>
      <w:tr>
        <w:trPr>
          <w:cantSplit/>
        </w:trPr>
        <w:tc>
          <w:tcPr>
            <w:tcW w:type="dxa" w:w="1317"/>
          </w:tcPr>
          <w:p>
            <w:pPr>
              <w:keepNext/>
              <w:keepLines/>
            </w:pPr>
            <w:r>
              <w:rPr>
                <w:sz w:val="16"/>
              </w:rPr>
              <w:t>Enterprise Value</w:t>
            </w:r>
          </w:p>
        </w:tc>
        <w:tc>
          <w:tcPr>
            <w:tcW w:type="dxa" w:w="1317"/>
          </w:tcPr>
          <w:p>
            <w:pPr>
              <w:keepNext/>
              <w:keepLines/>
            </w:pPr>
            <w:r>
              <w:rPr>
                <w:sz w:val="16"/>
              </w:rPr>
              <w:t>1,992</w:t>
            </w:r>
          </w:p>
        </w:tc>
        <w:tc>
          <w:tcPr>
            <w:tcW w:type="dxa" w:w="1317"/>
          </w:tcPr>
          <w:p>
            <w:pPr>
              <w:keepNext/>
              <w:keepLines/>
            </w:pPr>
            <w:r>
              <w:rPr>
                <w:sz w:val="16"/>
              </w:rPr>
              <w:t>2,233</w:t>
            </w:r>
          </w:p>
        </w:tc>
        <w:tc>
          <w:tcPr>
            <w:tcW w:type="dxa" w:w="1317"/>
          </w:tcPr>
          <w:p>
            <w:pPr>
              <w:keepNext/>
              <w:keepLines/>
            </w:pPr>
            <w:r>
              <w:rPr>
                <w:sz w:val="16"/>
              </w:rPr>
              <w:t>2,495</w:t>
            </w:r>
          </w:p>
        </w:tc>
        <w:tc>
          <w:tcPr>
            <w:tcW w:type="dxa" w:w="1317"/>
          </w:tcPr>
          <w:p>
            <w:pPr>
              <w:keepNext/>
              <w:keepLines/>
            </w:pPr>
            <w:r>
              <w:rPr>
                <w:sz w:val="16"/>
              </w:rPr>
              <w:t>2,759</w:t>
            </w:r>
          </w:p>
        </w:tc>
        <w:tc>
          <w:tcPr>
            <w:tcW w:type="dxa" w:w="1317"/>
          </w:tcPr>
          <w:p>
            <w:pPr>
              <w:keepNext/>
              <w:keepLines/>
            </w:pPr>
            <w:r>
              <w:rPr>
                <w:sz w:val="16"/>
              </w:rPr>
              <w:t>3,002</w:t>
            </w:r>
          </w:p>
        </w:tc>
        <w:tc>
          <w:tcPr>
            <w:tcW w:type="dxa" w:w="1317"/>
          </w:tcPr>
          <w:p>
            <w:pPr>
              <w:keepNext/>
              <w:keepLines/>
            </w:pPr>
            <w:r>
              <w:rPr>
                <w:sz w:val="16"/>
              </w:rPr>
              <w:t>3,231</w:t>
            </w:r>
          </w:p>
        </w:tc>
        <w:tc>
          <w:tcPr>
            <w:tcW w:type="dxa" w:w="1317"/>
          </w:tcPr>
          <w:p>
            <w:pPr>
              <w:keepNext/>
              <w:keepLines/>
            </w:pPr>
            <w:r>
              <w:rPr>
                <w:sz w:val="16"/>
              </w:rPr>
              <w:t>3,441</w:t>
            </w:r>
          </w:p>
        </w:tc>
      </w:tr>
      <w:tr>
        <w:trPr>
          <w:cantSplit/>
        </w:trPr>
        <w:tc>
          <w:tcPr>
            <w:tcW w:type="dxa" w:w="1317"/>
          </w:tcPr>
          <w:p>
            <w:pPr>
              <w:keepNext/>
              <w:keepLines/>
            </w:pPr>
            <w:r>
              <w:rPr>
                <w:sz w:val="16"/>
              </w:rPr>
              <w:t>Equity, Intrinsic Value</w:t>
            </w:r>
          </w:p>
        </w:tc>
        <w:tc>
          <w:tcPr>
            <w:tcW w:type="dxa" w:w="1317"/>
          </w:tcPr>
          <w:p>
            <w:pPr>
              <w:keepNext/>
              <w:keepLines/>
            </w:pPr>
            <w:r>
              <w:rPr>
                <w:sz w:val="16"/>
              </w:rPr>
              <w:t>1,943</w:t>
            </w:r>
          </w:p>
        </w:tc>
        <w:tc>
          <w:tcPr>
            <w:tcW w:type="dxa" w:w="1317"/>
          </w:tcPr>
          <w:p>
            <w:pPr>
              <w:keepNext/>
              <w:keepLines/>
            </w:pPr>
            <w:r>
              <w:rPr>
                <w:sz w:val="16"/>
              </w:rPr>
              <w:t>2,134</w:t>
            </w:r>
          </w:p>
        </w:tc>
        <w:tc>
          <w:tcPr>
            <w:tcW w:type="dxa" w:w="1317"/>
          </w:tcPr>
          <w:p>
            <w:pPr>
              <w:keepNext/>
              <w:keepLines/>
            </w:pPr>
            <w:r>
              <w:rPr>
                <w:sz w:val="16"/>
              </w:rPr>
              <w:t>2,396</w:t>
            </w:r>
          </w:p>
        </w:tc>
        <w:tc>
          <w:tcPr>
            <w:tcW w:type="dxa" w:w="1317"/>
          </w:tcPr>
          <w:p>
            <w:pPr>
              <w:keepNext/>
              <w:keepLines/>
            </w:pPr>
            <w:r>
              <w:rPr>
                <w:sz w:val="16"/>
              </w:rPr>
              <w:t>2,647</w:t>
            </w:r>
          </w:p>
        </w:tc>
        <w:tc>
          <w:tcPr>
            <w:tcW w:type="dxa" w:w="1317"/>
          </w:tcPr>
          <w:p>
            <w:pPr>
              <w:keepNext/>
              <w:keepLines/>
            </w:pPr>
            <w:r>
              <w:rPr>
                <w:sz w:val="16"/>
              </w:rPr>
              <w:t>2,860</w:t>
            </w:r>
          </w:p>
        </w:tc>
        <w:tc>
          <w:tcPr>
            <w:tcW w:type="dxa" w:w="1317"/>
          </w:tcPr>
          <w:p>
            <w:pPr>
              <w:keepNext/>
              <w:keepLines/>
            </w:pPr>
            <w:r>
              <w:rPr>
                <w:sz w:val="16"/>
              </w:rPr>
              <w:t>2,989</w:t>
            </w:r>
          </w:p>
        </w:tc>
        <w:tc>
          <w:tcPr>
            <w:tcW w:type="dxa" w:w="1317"/>
          </w:tcPr>
          <w:p>
            <w:pPr>
              <w:keepNext/>
              <w:keepLines/>
            </w:pPr>
            <w:r>
              <w:rPr>
                <w:sz w:val="16"/>
              </w:rPr>
              <w:t>3,099</w:t>
            </w:r>
          </w:p>
        </w:tc>
      </w:tr>
      <w:tr>
        <w:trPr>
          <w:cantSplit/>
        </w:trPr>
        <w:tc>
          <w:tcPr>
            <w:tcW w:type="dxa" w:w="1317"/>
          </w:tcPr>
          <w:p>
            <w:pPr>
              <w:keepNext/>
              <w:keepLines/>
            </w:pPr>
            <w:r>
              <w:rPr>
                <w:sz w:val="16"/>
              </w:rPr>
              <w:t>Cash</w:t>
            </w:r>
          </w:p>
        </w:tc>
        <w:tc>
          <w:tcPr>
            <w:tcW w:type="dxa" w:w="1317"/>
          </w:tcPr>
          <w:p>
            <w:pPr>
              <w:keepNext/>
              <w:keepLines/>
            </w:pPr>
            <w:r>
              <w:rPr>
                <w:sz w:val="16"/>
              </w:rPr>
              <w:t>45.9</w:t>
            </w:r>
          </w:p>
        </w:tc>
        <w:tc>
          <w:tcPr>
            <w:tcW w:type="dxa" w:w="1317"/>
          </w:tcPr>
          <w:p>
            <w:pPr>
              <w:keepNext/>
              <w:keepLines/>
            </w:pPr>
            <w:r>
              <w:rPr>
                <w:sz w:val="16"/>
              </w:rPr>
              <w:t>58.2</w:t>
            </w:r>
          </w:p>
        </w:tc>
        <w:tc>
          <w:tcPr>
            <w:tcW w:type="dxa" w:w="1317"/>
          </w:tcPr>
          <w:p>
            <w:pPr>
              <w:keepNext/>
              <w:keepLines/>
            </w:pPr>
            <w:r>
              <w:rPr>
                <w:sz w:val="16"/>
              </w:rPr>
              <w:t>18.7</w:t>
            </w:r>
          </w:p>
        </w:tc>
        <w:tc>
          <w:tcPr>
            <w:tcW w:type="dxa" w:w="1317"/>
          </w:tcPr>
          <w:p>
            <w:pPr>
              <w:keepNext/>
              <w:keepLines/>
            </w:pPr>
            <w:r>
              <w:rPr>
                <w:sz w:val="16"/>
              </w:rPr>
              <w:t>18.7</w:t>
            </w:r>
          </w:p>
        </w:tc>
        <w:tc>
          <w:tcPr>
            <w:tcW w:type="dxa" w:w="1317"/>
          </w:tcPr>
          <w:p>
            <w:pPr>
              <w:keepNext/>
              <w:keepLines/>
            </w:pPr>
            <w:r>
              <w:rPr>
                <w:sz w:val="16"/>
              </w:rPr>
              <w:t>82.2</w:t>
            </w:r>
          </w:p>
        </w:tc>
        <w:tc>
          <w:tcPr>
            <w:tcW w:type="dxa" w:w="1317"/>
          </w:tcPr>
          <w:p>
            <w:pPr>
              <w:keepNext/>
              <w:keepLines/>
            </w:pPr>
            <w:r>
              <w:rPr>
                <w:sz w:val="16"/>
              </w:rPr>
              <w:t>252</w:t>
            </w:r>
          </w:p>
        </w:tc>
        <w:tc>
          <w:tcPr>
            <w:tcW w:type="dxa" w:w="1317"/>
          </w:tcPr>
          <w:p>
            <w:pPr>
              <w:keepNext/>
              <w:keepLines/>
            </w:pPr>
            <w:r>
              <w:rPr>
                <w:sz w:val="16"/>
              </w:rPr>
              <w:t>454</w:t>
            </w:r>
          </w:p>
        </w:tc>
      </w:tr>
      <w:tr>
        <w:trPr>
          <w:cantSplit/>
        </w:trPr>
        <w:tc>
          <w:tcPr>
            <w:tcW w:type="dxa" w:w="1317"/>
          </w:tcPr>
          <w:p>
            <w:pPr>
              <w:keepNext/>
              <w:keepLines/>
            </w:pPr>
            <w:r>
              <w:rPr>
                <w:sz w:val="16"/>
              </w:rPr>
              <w:t>Cost of Capital, WACC</w:t>
            </w:r>
          </w:p>
        </w:tc>
        <w:tc>
          <w:tcPr>
            <w:tcW w:type="dxa" w:w="1317"/>
          </w:tcPr>
          <w:p>
            <w:pPr>
              <w:keepNext/>
              <w:keepLines/>
            </w:pPr>
            <w:r>
              <w:rPr>
                <w:sz w:val="16"/>
              </w:rPr>
              <w:t>10.4%</w:t>
            </w:r>
          </w:p>
        </w:tc>
        <w:tc>
          <w:tcPr>
            <w:tcW w:type="dxa" w:w="1317"/>
          </w:tcPr>
          <w:p>
            <w:pPr>
              <w:keepNext/>
              <w:keepLines/>
            </w:pPr>
            <w:r>
              <w:rPr>
                <w:sz w:val="16"/>
              </w:rPr>
              <w:t>10.3%</w:t>
            </w:r>
          </w:p>
        </w:tc>
        <w:tc>
          <w:tcPr>
            <w:tcW w:type="dxa" w:w="1317"/>
          </w:tcPr>
          <w:p>
            <w:pPr>
              <w:keepNext/>
              <w:keepLines/>
            </w:pPr>
            <w:r>
              <w:rPr>
                <w:sz w:val="16"/>
              </w:rPr>
              <w:t>10.3%</w:t>
            </w:r>
          </w:p>
        </w:tc>
        <w:tc>
          <w:tcPr>
            <w:tcW w:type="dxa" w:w="1317"/>
          </w:tcPr>
          <w:p>
            <w:pPr>
              <w:keepNext/>
              <w:keepLines/>
            </w:pPr>
            <w:r>
              <w:rPr>
                <w:sz w:val="16"/>
              </w:rPr>
              <w:t>10.3%</w:t>
            </w:r>
          </w:p>
        </w:tc>
        <w:tc>
          <w:tcPr>
            <w:tcW w:type="dxa" w:w="1317"/>
          </w:tcPr>
          <w:p>
            <w:pPr>
              <w:keepNext/>
              <w:keepLines/>
            </w:pPr>
            <w:r>
              <w:rPr>
                <w:sz w:val="16"/>
              </w:rPr>
              <w:t>10.3%</w:t>
            </w:r>
          </w:p>
        </w:tc>
        <w:tc>
          <w:tcPr>
            <w:tcW w:type="dxa" w:w="1317"/>
          </w:tcPr>
          <w:p>
            <w:pPr>
              <w:keepNext/>
              <w:keepLines/>
            </w:pPr>
            <w:r>
              <w:rPr>
                <w:sz w:val="16"/>
              </w:rPr>
              <w:t>10.2%</w:t>
            </w:r>
          </w:p>
        </w:tc>
        <w:tc>
          <w:tcPr>
            <w:tcW w:type="dxa" w:w="1317"/>
          </w:tcPr>
          <w:p>
            <w:pPr>
              <w:keepNext/>
              <w:keepLines/>
            </w:pPr>
            <w:r>
              <w:rPr>
                <w:sz w:val="16"/>
              </w:rPr>
              <w:t>10.1%</w:t>
            </w:r>
          </w:p>
        </w:tc>
      </w:tr>
      <w:tr>
        <w:trPr>
          <w:cantSplit/>
        </w:trPr>
        <w:tc>
          <w:tcPr>
            <w:tcW w:type="dxa" w:w="1317"/>
          </w:tcPr>
          <w:p>
            <w:r>
              <w:rPr>
                <w:sz w:val="16"/>
              </w:rPr>
              <w:t>Intrinsic Value per Share (US$)</w:t>
            </w:r>
          </w:p>
        </w:tc>
        <w:tc>
          <w:tcPr>
            <w:tcW w:type="dxa" w:w="1317"/>
          </w:tcPr>
          <w:p>
            <w:r>
              <w:rPr>
                <w:sz w:val="16"/>
              </w:rPr>
              <w:t>65.20</w:t>
            </w:r>
          </w:p>
        </w:tc>
        <w:tc>
          <w:tcPr>
            <w:tcW w:type="dxa" w:w="1317"/>
          </w:tcPr>
          <w:p>
            <w:r>
              <w:rPr>
                <w:sz w:val="16"/>
              </w:rPr>
              <w:t>69.95</w:t>
            </w:r>
          </w:p>
        </w:tc>
        <w:tc>
          <w:tcPr>
            <w:tcW w:type="dxa" w:w="1317"/>
          </w:tcPr>
          <w:p>
            <w:r>
              <w:rPr>
                <w:sz w:val="16"/>
              </w:rPr>
              <w:t>78.56</w:t>
            </w:r>
          </w:p>
        </w:tc>
        <w:tc>
          <w:tcPr>
            <w:tcW w:type="dxa" w:w="1317"/>
          </w:tcPr>
          <w:p>
            <w:r>
              <w:rPr>
                <w:sz w:val="16"/>
              </w:rPr>
              <w:t>86.77</w:t>
            </w:r>
          </w:p>
        </w:tc>
        <w:tc>
          <w:tcPr>
            <w:tcW w:type="dxa" w:w="1317"/>
          </w:tcPr>
          <w:p>
            <w:r>
              <w:rPr>
                <w:sz w:val="16"/>
              </w:rPr>
              <w:t>93.76</w:t>
            </w:r>
          </w:p>
        </w:tc>
        <w:tc>
          <w:tcPr>
            <w:tcW w:type="dxa" w:w="1317"/>
          </w:tcPr>
          <w:p>
            <w:r>
              <w:rPr>
                <w:sz w:val="16"/>
              </w:rPr>
              <w:t>98.00</w:t>
            </w:r>
          </w:p>
        </w:tc>
        <w:tc>
          <w:tcPr>
            <w:tcW w:type="dxa" w:w="1317"/>
          </w:tcPr>
          <w:p>
            <w:r>
              <w:rPr>
                <w:sz w:val="16"/>
              </w:rPr>
              <w:t>101.60</w:t>
            </w:r>
          </w:p>
        </w:tc>
      </w:tr>
    </w:tbl>
    <w:p/>
    <w:p>
      <w:r>
        <w:rPr>
          <w:i/>
        </w:rPr>
        <w:t>Source: C30, C56. Finagle output in its standard company template. dDebt = new borrowing; FCFE = FCF + dDebt. Under "none" distributions, FCFE is paid out each year, so Finagle's cash line is a running total that Finagle does not count again in value.</w:t>
      </w:r>
    </w:p>
    <w:p>
      <w:pPr>
        <w:keepNext/>
        <w:keepLines/>
      </w:pPr>
      <w:r>
        <w:rPr>
          <w:b/>
        </w:rPr>
        <w:t>Figure 9 (cont.) – Finagle template table, base case, FY2032E–FY2040E (Finagle fade)</w:t>
      </w:r>
    </w:p>
    <w:tbl>
      <w:tblPr>
        <w:tblStyle w:val="TableGrid"/>
        <w:tblW w:type="auto" w:w="0"/>
        <w:tblLook w:firstColumn="1" w:firstRow="1" w:lastColumn="0" w:lastRow="0" w:noHBand="0" w:noVBand="1" w:val="04A0"/>
      </w:tblPr>
      <w:tblGrid>
        <w:gridCol w:w="1054"/>
        <w:gridCol w:w="1054"/>
        <w:gridCol w:w="1054"/>
        <w:gridCol w:w="1054"/>
        <w:gridCol w:w="1054"/>
        <w:gridCol w:w="1054"/>
        <w:gridCol w:w="1054"/>
        <w:gridCol w:w="1054"/>
        <w:gridCol w:w="1054"/>
        <w:gridCol w:w="1054"/>
      </w:tblGrid>
      <w:tr>
        <w:trPr>
          <w:cantSplit/>
          <w:tblHeader/>
        </w:trPr>
        <w:tc>
          <w:tcPr>
            <w:tcW w:type="dxa" w:w="1054"/>
          </w:tcPr>
          <w:p>
            <w:pPr>
              <w:keepNext/>
              <w:keepLines/>
            </w:pPr>
            <w:r>
              <w:rPr>
                <w:b/>
                <w:sz w:val="14"/>
              </w:rPr>
              <w:t>US$M</w:t>
            </w:r>
          </w:p>
        </w:tc>
        <w:tc>
          <w:tcPr>
            <w:tcW w:type="dxa" w:w="1054"/>
          </w:tcPr>
          <w:p>
            <w:pPr>
              <w:keepNext/>
              <w:keepLines/>
            </w:pPr>
            <w:r>
              <w:rPr>
                <w:b/>
                <w:sz w:val="14"/>
              </w:rPr>
              <w:t>FY2032E</w:t>
            </w:r>
          </w:p>
        </w:tc>
        <w:tc>
          <w:tcPr>
            <w:tcW w:type="dxa" w:w="1054"/>
          </w:tcPr>
          <w:p>
            <w:pPr>
              <w:keepNext/>
              <w:keepLines/>
            </w:pPr>
            <w:r>
              <w:rPr>
                <w:b/>
                <w:sz w:val="14"/>
              </w:rPr>
              <w:t>FY2033E</w:t>
            </w:r>
          </w:p>
        </w:tc>
        <w:tc>
          <w:tcPr>
            <w:tcW w:type="dxa" w:w="1054"/>
          </w:tcPr>
          <w:p>
            <w:pPr>
              <w:keepNext/>
              <w:keepLines/>
            </w:pPr>
            <w:r>
              <w:rPr>
                <w:b/>
                <w:sz w:val="14"/>
              </w:rPr>
              <w:t>FY2034E</w:t>
            </w:r>
          </w:p>
        </w:tc>
        <w:tc>
          <w:tcPr>
            <w:tcW w:type="dxa" w:w="1054"/>
          </w:tcPr>
          <w:p>
            <w:pPr>
              <w:keepNext/>
              <w:keepLines/>
            </w:pPr>
            <w:r>
              <w:rPr>
                <w:b/>
                <w:sz w:val="14"/>
              </w:rPr>
              <w:t>FY2035E</w:t>
            </w:r>
          </w:p>
        </w:tc>
        <w:tc>
          <w:tcPr>
            <w:tcW w:type="dxa" w:w="1054"/>
          </w:tcPr>
          <w:p>
            <w:pPr>
              <w:keepNext/>
              <w:keepLines/>
            </w:pPr>
            <w:r>
              <w:rPr>
                <w:b/>
                <w:sz w:val="14"/>
              </w:rPr>
              <w:t>FY2036E</w:t>
            </w:r>
          </w:p>
        </w:tc>
        <w:tc>
          <w:tcPr>
            <w:tcW w:type="dxa" w:w="1054"/>
          </w:tcPr>
          <w:p>
            <w:pPr>
              <w:keepNext/>
              <w:keepLines/>
            </w:pPr>
            <w:r>
              <w:rPr>
                <w:b/>
                <w:sz w:val="14"/>
              </w:rPr>
              <w:t>FY2037E</w:t>
            </w:r>
          </w:p>
        </w:tc>
        <w:tc>
          <w:tcPr>
            <w:tcW w:type="dxa" w:w="1054"/>
          </w:tcPr>
          <w:p>
            <w:pPr>
              <w:keepNext/>
              <w:keepLines/>
            </w:pPr>
            <w:r>
              <w:rPr>
                <w:b/>
                <w:sz w:val="14"/>
              </w:rPr>
              <w:t>FY2038E</w:t>
            </w:r>
          </w:p>
        </w:tc>
        <w:tc>
          <w:tcPr>
            <w:tcW w:type="dxa" w:w="1054"/>
          </w:tcPr>
          <w:p>
            <w:pPr>
              <w:keepNext/>
              <w:keepLines/>
            </w:pPr>
            <w:r>
              <w:rPr>
                <w:b/>
                <w:sz w:val="14"/>
              </w:rPr>
              <w:t>FY2039E</w:t>
            </w:r>
          </w:p>
        </w:tc>
        <w:tc>
          <w:tcPr>
            <w:tcW w:type="dxa" w:w="1054"/>
          </w:tcPr>
          <w:p>
            <w:pPr>
              <w:keepNext/>
              <w:keepLines/>
            </w:pPr>
            <w:r>
              <w:rPr>
                <w:b/>
                <w:sz w:val="14"/>
              </w:rPr>
              <w:t>FY2040E</w:t>
            </w:r>
          </w:p>
        </w:tc>
      </w:tr>
      <w:tr>
        <w:trPr>
          <w:cantSplit/>
        </w:trPr>
        <w:tc>
          <w:tcPr>
            <w:tcW w:type="dxa" w:w="1054"/>
          </w:tcPr>
          <w:p>
            <w:pPr>
              <w:keepNext/>
              <w:keepLines/>
            </w:pPr>
            <w:r>
              <w:rPr>
                <w:sz w:val="14"/>
              </w:rPr>
              <w:t>Revenue</w:t>
            </w:r>
          </w:p>
        </w:tc>
        <w:tc>
          <w:tcPr>
            <w:tcW w:type="dxa" w:w="1054"/>
          </w:tcPr>
          <w:p>
            <w:pPr>
              <w:keepNext/>
              <w:keepLines/>
            </w:pPr>
            <w:r>
              <w:rPr>
                <w:sz w:val="14"/>
              </w:rPr>
              <w:t>472</w:t>
            </w:r>
          </w:p>
        </w:tc>
        <w:tc>
          <w:tcPr>
            <w:tcW w:type="dxa" w:w="1054"/>
          </w:tcPr>
          <w:p>
            <w:pPr>
              <w:keepNext/>
              <w:keepLines/>
            </w:pPr>
            <w:r>
              <w:rPr>
                <w:sz w:val="14"/>
              </w:rPr>
              <w:t>538</w:t>
            </w:r>
          </w:p>
        </w:tc>
        <w:tc>
          <w:tcPr>
            <w:tcW w:type="dxa" w:w="1054"/>
          </w:tcPr>
          <w:p>
            <w:pPr>
              <w:keepNext/>
              <w:keepLines/>
            </w:pPr>
            <w:r>
              <w:rPr>
                <w:sz w:val="14"/>
              </w:rPr>
              <w:t>606</w:t>
            </w:r>
          </w:p>
        </w:tc>
        <w:tc>
          <w:tcPr>
            <w:tcW w:type="dxa" w:w="1054"/>
          </w:tcPr>
          <w:p>
            <w:pPr>
              <w:keepNext/>
              <w:keepLines/>
            </w:pPr>
            <w:r>
              <w:rPr>
                <w:sz w:val="14"/>
              </w:rPr>
              <w:t>677</w:t>
            </w:r>
          </w:p>
        </w:tc>
        <w:tc>
          <w:tcPr>
            <w:tcW w:type="dxa" w:w="1054"/>
          </w:tcPr>
          <w:p>
            <w:pPr>
              <w:keepNext/>
              <w:keepLines/>
            </w:pPr>
            <w:r>
              <w:rPr>
                <w:sz w:val="14"/>
              </w:rPr>
              <w:t>748</w:t>
            </w:r>
          </w:p>
        </w:tc>
        <w:tc>
          <w:tcPr>
            <w:tcW w:type="dxa" w:w="1054"/>
          </w:tcPr>
          <w:p>
            <w:pPr>
              <w:keepNext/>
              <w:keepLines/>
            </w:pPr>
            <w:r>
              <w:rPr>
                <w:sz w:val="14"/>
              </w:rPr>
              <w:t>819</w:t>
            </w:r>
          </w:p>
        </w:tc>
        <w:tc>
          <w:tcPr>
            <w:tcW w:type="dxa" w:w="1054"/>
          </w:tcPr>
          <w:p>
            <w:pPr>
              <w:keepNext/>
              <w:keepLines/>
            </w:pPr>
            <w:r>
              <w:rPr>
                <w:sz w:val="14"/>
              </w:rPr>
              <w:t>886</w:t>
            </w:r>
          </w:p>
        </w:tc>
        <w:tc>
          <w:tcPr>
            <w:tcW w:type="dxa" w:w="1054"/>
          </w:tcPr>
          <w:p>
            <w:pPr>
              <w:keepNext/>
              <w:keepLines/>
            </w:pPr>
            <w:r>
              <w:rPr>
                <w:sz w:val="14"/>
              </w:rPr>
              <w:t>950</w:t>
            </w:r>
          </w:p>
        </w:tc>
        <w:tc>
          <w:tcPr>
            <w:tcW w:type="dxa" w:w="1054"/>
          </w:tcPr>
          <w:p>
            <w:pPr>
              <w:keepNext/>
              <w:keepLines/>
            </w:pPr>
            <w:r>
              <w:rPr>
                <w:sz w:val="14"/>
              </w:rPr>
              <w:t>1,008</w:t>
            </w:r>
          </w:p>
        </w:tc>
      </w:tr>
      <w:tr>
        <w:trPr>
          <w:cantSplit/>
        </w:trPr>
        <w:tc>
          <w:tcPr>
            <w:tcW w:type="dxa" w:w="1054"/>
          </w:tcPr>
          <w:p>
            <w:pPr>
              <w:keepNext/>
              <w:keepLines/>
            </w:pPr>
            <w:r>
              <w:rPr>
                <w:sz w:val="14"/>
              </w:rPr>
              <w:t>Revenue growth (derived)</w:t>
            </w:r>
          </w:p>
        </w:tc>
        <w:tc>
          <w:tcPr>
            <w:tcW w:type="dxa" w:w="1054"/>
          </w:tcPr>
          <w:p>
            <w:pPr>
              <w:keepNext/>
              <w:keepLines/>
            </w:pPr>
            <w:r>
              <w:rPr>
                <w:sz w:val="14"/>
              </w:rPr>
              <w:t>15.0%</w:t>
            </w:r>
          </w:p>
        </w:tc>
        <w:tc>
          <w:tcPr>
            <w:tcW w:type="dxa" w:w="1054"/>
          </w:tcPr>
          <w:p>
            <w:pPr>
              <w:keepNext/>
              <w:keepLines/>
            </w:pPr>
            <w:r>
              <w:rPr>
                <w:sz w:val="14"/>
              </w:rPr>
              <w:t>13.9%</w:t>
            </w:r>
          </w:p>
        </w:tc>
        <w:tc>
          <w:tcPr>
            <w:tcW w:type="dxa" w:w="1054"/>
          </w:tcPr>
          <w:p>
            <w:pPr>
              <w:keepNext/>
              <w:keepLines/>
            </w:pPr>
            <w:r>
              <w:rPr>
                <w:sz w:val="14"/>
              </w:rPr>
              <w:t>12.8%</w:t>
            </w:r>
          </w:p>
        </w:tc>
        <w:tc>
          <w:tcPr>
            <w:tcW w:type="dxa" w:w="1054"/>
          </w:tcPr>
          <w:p>
            <w:pPr>
              <w:keepNext/>
              <w:keepLines/>
            </w:pPr>
            <w:r>
              <w:rPr>
                <w:sz w:val="14"/>
              </w:rPr>
              <w:t>11.7%</w:t>
            </w:r>
          </w:p>
        </w:tc>
        <w:tc>
          <w:tcPr>
            <w:tcW w:type="dxa" w:w="1054"/>
          </w:tcPr>
          <w:p>
            <w:pPr>
              <w:keepNext/>
              <w:keepLines/>
            </w:pPr>
            <w:r>
              <w:rPr>
                <w:sz w:val="14"/>
              </w:rPr>
              <w:t>10.5%</w:t>
            </w:r>
          </w:p>
        </w:tc>
        <w:tc>
          <w:tcPr>
            <w:tcW w:type="dxa" w:w="1054"/>
          </w:tcPr>
          <w:p>
            <w:pPr>
              <w:keepNext/>
              <w:keepLines/>
            </w:pPr>
            <w:r>
              <w:rPr>
                <w:sz w:val="14"/>
              </w:rPr>
              <w:t>9.4%</w:t>
            </w:r>
          </w:p>
        </w:tc>
        <w:tc>
          <w:tcPr>
            <w:tcW w:type="dxa" w:w="1054"/>
          </w:tcPr>
          <w:p>
            <w:pPr>
              <w:keepNext/>
              <w:keepLines/>
            </w:pPr>
            <w:r>
              <w:rPr>
                <w:sz w:val="14"/>
              </w:rPr>
              <w:t>8.3%</w:t>
            </w:r>
          </w:p>
        </w:tc>
        <w:tc>
          <w:tcPr>
            <w:tcW w:type="dxa" w:w="1054"/>
          </w:tcPr>
          <w:p>
            <w:pPr>
              <w:keepNext/>
              <w:keepLines/>
            </w:pPr>
            <w:r>
              <w:rPr>
                <w:sz w:val="14"/>
              </w:rPr>
              <w:t>7.2%</w:t>
            </w:r>
          </w:p>
        </w:tc>
        <w:tc>
          <w:tcPr>
            <w:tcW w:type="dxa" w:w="1054"/>
          </w:tcPr>
          <w:p>
            <w:pPr>
              <w:keepNext/>
              <w:keepLines/>
            </w:pPr>
            <w:r>
              <w:rPr>
                <w:sz w:val="14"/>
              </w:rPr>
              <w:t>6.1%</w:t>
            </w:r>
          </w:p>
        </w:tc>
      </w:tr>
      <w:tr>
        <w:trPr>
          <w:cantSplit/>
        </w:trPr>
        <w:tc>
          <w:tcPr>
            <w:tcW w:type="dxa" w:w="1054"/>
          </w:tcPr>
          <w:p>
            <w:pPr>
              <w:keepNext/>
              <w:keepLines/>
            </w:pPr>
            <w:r>
              <w:rPr>
                <w:sz w:val="14"/>
              </w:rPr>
              <w:t>EBITDA</w:t>
            </w:r>
          </w:p>
        </w:tc>
        <w:tc>
          <w:tcPr>
            <w:tcW w:type="dxa" w:w="1054"/>
          </w:tcPr>
          <w:p>
            <w:pPr>
              <w:keepNext/>
              <w:keepLines/>
            </w:pPr>
            <w:r>
              <w:rPr>
                <w:sz w:val="14"/>
              </w:rPr>
              <w:t>202</w:t>
            </w:r>
          </w:p>
        </w:tc>
        <w:tc>
          <w:tcPr>
            <w:tcW w:type="dxa" w:w="1054"/>
          </w:tcPr>
          <w:p>
            <w:pPr>
              <w:keepNext/>
              <w:keepLines/>
            </w:pPr>
            <w:r>
              <w:rPr>
                <w:sz w:val="14"/>
              </w:rPr>
              <w:t>234</w:t>
            </w:r>
          </w:p>
        </w:tc>
        <w:tc>
          <w:tcPr>
            <w:tcW w:type="dxa" w:w="1054"/>
          </w:tcPr>
          <w:p>
            <w:pPr>
              <w:keepNext/>
              <w:keepLines/>
            </w:pPr>
            <w:r>
              <w:rPr>
                <w:sz w:val="14"/>
              </w:rPr>
              <w:t>269</w:t>
            </w:r>
          </w:p>
        </w:tc>
        <w:tc>
          <w:tcPr>
            <w:tcW w:type="dxa" w:w="1054"/>
          </w:tcPr>
          <w:p>
            <w:pPr>
              <w:keepNext/>
              <w:keepLines/>
            </w:pPr>
            <w:r>
              <w:rPr>
                <w:sz w:val="14"/>
              </w:rPr>
              <w:t>304</w:t>
            </w:r>
          </w:p>
        </w:tc>
        <w:tc>
          <w:tcPr>
            <w:tcW w:type="dxa" w:w="1054"/>
          </w:tcPr>
          <w:p>
            <w:pPr>
              <w:keepNext/>
              <w:keepLines/>
            </w:pPr>
            <w:r>
              <w:rPr>
                <w:sz w:val="14"/>
              </w:rPr>
              <w:t>340</w:t>
            </w:r>
          </w:p>
        </w:tc>
        <w:tc>
          <w:tcPr>
            <w:tcW w:type="dxa" w:w="1054"/>
          </w:tcPr>
          <w:p>
            <w:pPr>
              <w:keepNext/>
              <w:keepLines/>
            </w:pPr>
            <w:r>
              <w:rPr>
                <w:sz w:val="14"/>
              </w:rPr>
              <w:t>375</w:t>
            </w:r>
          </w:p>
        </w:tc>
        <w:tc>
          <w:tcPr>
            <w:tcW w:type="dxa" w:w="1054"/>
          </w:tcPr>
          <w:p>
            <w:pPr>
              <w:keepNext/>
              <w:keepLines/>
            </w:pPr>
            <w:r>
              <w:rPr>
                <w:sz w:val="14"/>
              </w:rPr>
              <w:t>409</w:t>
            </w:r>
          </w:p>
        </w:tc>
        <w:tc>
          <w:tcPr>
            <w:tcW w:type="dxa" w:w="1054"/>
          </w:tcPr>
          <w:p>
            <w:pPr>
              <w:keepNext/>
              <w:keepLines/>
            </w:pPr>
            <w:r>
              <w:rPr>
                <w:sz w:val="14"/>
              </w:rPr>
              <w:t>441</w:t>
            </w:r>
          </w:p>
        </w:tc>
        <w:tc>
          <w:tcPr>
            <w:tcW w:type="dxa" w:w="1054"/>
          </w:tcPr>
          <w:p>
            <w:pPr>
              <w:keepNext/>
              <w:keepLines/>
            </w:pPr>
            <w:r>
              <w:rPr>
                <w:sz w:val="14"/>
              </w:rPr>
              <w:t>470</w:t>
            </w:r>
          </w:p>
        </w:tc>
      </w:tr>
      <w:tr>
        <w:trPr>
          <w:cantSplit/>
        </w:trPr>
        <w:tc>
          <w:tcPr>
            <w:tcW w:type="dxa" w:w="1054"/>
          </w:tcPr>
          <w:p>
            <w:pPr>
              <w:keepNext/>
              <w:keepLines/>
            </w:pPr>
            <w:r>
              <w:rPr>
                <w:sz w:val="14"/>
              </w:rPr>
              <w:t>Stock-based compensation</w:t>
            </w:r>
          </w:p>
        </w:tc>
        <w:tc>
          <w:tcPr>
            <w:tcW w:type="dxa" w:w="1054"/>
          </w:tcPr>
          <w:p>
            <w:pPr>
              <w:keepNext/>
              <w:keepLines/>
            </w:pPr>
            <w:r>
              <w:rPr>
                <w:sz w:val="14"/>
              </w:rPr>
              <w:t>13.2</w:t>
            </w:r>
          </w:p>
        </w:tc>
        <w:tc>
          <w:tcPr>
            <w:tcW w:type="dxa" w:w="1054"/>
          </w:tcPr>
          <w:p>
            <w:pPr>
              <w:keepNext/>
              <w:keepLines/>
            </w:pPr>
            <w:r>
              <w:rPr>
                <w:sz w:val="14"/>
              </w:rPr>
              <w:t>14.4</w:t>
            </w:r>
          </w:p>
        </w:tc>
        <w:tc>
          <w:tcPr>
            <w:tcW w:type="dxa" w:w="1054"/>
          </w:tcPr>
          <w:p>
            <w:pPr>
              <w:keepNext/>
              <w:keepLines/>
            </w:pPr>
            <w:r>
              <w:rPr>
                <w:sz w:val="14"/>
              </w:rPr>
              <w:t>15.7</w:t>
            </w:r>
          </w:p>
        </w:tc>
        <w:tc>
          <w:tcPr>
            <w:tcW w:type="dxa" w:w="1054"/>
          </w:tcPr>
          <w:p>
            <w:pPr>
              <w:keepNext/>
              <w:keepLines/>
            </w:pPr>
            <w:r>
              <w:rPr>
                <w:sz w:val="14"/>
              </w:rPr>
              <w:t>17.0</w:t>
            </w:r>
          </w:p>
        </w:tc>
        <w:tc>
          <w:tcPr>
            <w:tcW w:type="dxa" w:w="1054"/>
          </w:tcPr>
          <w:p>
            <w:pPr>
              <w:keepNext/>
              <w:keepLines/>
            </w:pPr>
            <w:r>
              <w:rPr>
                <w:sz w:val="14"/>
              </w:rPr>
              <w:t>18.3</w:t>
            </w:r>
          </w:p>
        </w:tc>
        <w:tc>
          <w:tcPr>
            <w:tcW w:type="dxa" w:w="1054"/>
          </w:tcPr>
          <w:p>
            <w:pPr>
              <w:keepNext/>
              <w:keepLines/>
            </w:pPr>
            <w:r>
              <w:rPr>
                <w:sz w:val="14"/>
              </w:rPr>
              <w:t>19.6</w:t>
            </w:r>
          </w:p>
        </w:tc>
        <w:tc>
          <w:tcPr>
            <w:tcW w:type="dxa" w:w="1054"/>
          </w:tcPr>
          <w:p>
            <w:pPr>
              <w:keepNext/>
              <w:keepLines/>
            </w:pPr>
            <w:r>
              <w:rPr>
                <w:sz w:val="14"/>
              </w:rPr>
              <w:t>20.9</w:t>
            </w:r>
          </w:p>
        </w:tc>
        <w:tc>
          <w:tcPr>
            <w:tcW w:type="dxa" w:w="1054"/>
          </w:tcPr>
          <w:p>
            <w:pPr>
              <w:keepNext/>
              <w:keepLines/>
            </w:pPr>
            <w:r>
              <w:rPr>
                <w:sz w:val="14"/>
              </w:rPr>
              <w:t>22.2</w:t>
            </w:r>
          </w:p>
        </w:tc>
        <w:tc>
          <w:tcPr>
            <w:tcW w:type="dxa" w:w="1054"/>
          </w:tcPr>
          <w:p>
            <w:pPr>
              <w:keepNext/>
              <w:keepLines/>
            </w:pPr>
            <w:r>
              <w:rPr>
                <w:sz w:val="14"/>
              </w:rPr>
              <w:t>23.5</w:t>
            </w:r>
          </w:p>
        </w:tc>
      </w:tr>
      <w:tr>
        <w:trPr>
          <w:cantSplit/>
        </w:trPr>
        <w:tc>
          <w:tcPr>
            <w:tcW w:type="dxa" w:w="1054"/>
          </w:tcPr>
          <w:p>
            <w:pPr>
              <w:keepNext/>
              <w:keepLines/>
            </w:pPr>
            <w:r>
              <w:rPr>
                <w:sz w:val="14"/>
              </w:rPr>
              <w:t>Interest</w:t>
            </w:r>
          </w:p>
        </w:tc>
        <w:tc>
          <w:tcPr>
            <w:tcW w:type="dxa" w:w="1054"/>
          </w:tcPr>
          <w:p>
            <w:pPr>
              <w:keepNext/>
              <w:keepLines/>
            </w:pPr>
            <w:r>
              <w:rPr>
                <w:sz w:val="14"/>
              </w:rPr>
              <w:t>31.4</w:t>
            </w:r>
          </w:p>
        </w:tc>
        <w:tc>
          <w:tcPr>
            <w:tcW w:type="dxa" w:w="1054"/>
          </w:tcPr>
          <w:p>
            <w:pPr>
              <w:keepNext/>
              <w:keepLines/>
            </w:pPr>
            <w:r>
              <w:rPr>
                <w:sz w:val="14"/>
              </w:rPr>
              <w:t>37.1</w:t>
            </w:r>
          </w:p>
        </w:tc>
        <w:tc>
          <w:tcPr>
            <w:tcW w:type="dxa" w:w="1054"/>
          </w:tcPr>
          <w:p>
            <w:pPr>
              <w:keepNext/>
              <w:keepLines/>
            </w:pPr>
            <w:r>
              <w:rPr>
                <w:sz w:val="14"/>
              </w:rPr>
              <w:t>43.1</w:t>
            </w:r>
          </w:p>
        </w:tc>
        <w:tc>
          <w:tcPr>
            <w:tcW w:type="dxa" w:w="1054"/>
          </w:tcPr>
          <w:p>
            <w:pPr>
              <w:keepNext/>
              <w:keepLines/>
            </w:pPr>
            <w:r>
              <w:rPr>
                <w:sz w:val="14"/>
              </w:rPr>
              <w:t>49.4</w:t>
            </w:r>
          </w:p>
        </w:tc>
        <w:tc>
          <w:tcPr>
            <w:tcW w:type="dxa" w:w="1054"/>
          </w:tcPr>
          <w:p>
            <w:pPr>
              <w:keepNext/>
              <w:keepLines/>
            </w:pPr>
            <w:r>
              <w:rPr>
                <w:sz w:val="14"/>
              </w:rPr>
              <w:t>55.9</w:t>
            </w:r>
          </w:p>
        </w:tc>
        <w:tc>
          <w:tcPr>
            <w:tcW w:type="dxa" w:w="1054"/>
          </w:tcPr>
          <w:p>
            <w:pPr>
              <w:keepNext/>
              <w:keepLines/>
            </w:pPr>
            <w:r>
              <w:rPr>
                <w:sz w:val="14"/>
              </w:rPr>
              <w:t>62.5</w:t>
            </w:r>
          </w:p>
        </w:tc>
        <w:tc>
          <w:tcPr>
            <w:tcW w:type="dxa" w:w="1054"/>
          </w:tcPr>
          <w:p>
            <w:pPr>
              <w:keepNext/>
              <w:keepLines/>
            </w:pPr>
            <w:r>
              <w:rPr>
                <w:sz w:val="14"/>
              </w:rPr>
              <w:t>69.0</w:t>
            </w:r>
          </w:p>
        </w:tc>
        <w:tc>
          <w:tcPr>
            <w:tcW w:type="dxa" w:w="1054"/>
          </w:tcPr>
          <w:p>
            <w:pPr>
              <w:keepNext/>
              <w:keepLines/>
            </w:pPr>
            <w:r>
              <w:rPr>
                <w:sz w:val="14"/>
              </w:rPr>
              <w:t>75.2</w:t>
            </w:r>
          </w:p>
        </w:tc>
        <w:tc>
          <w:tcPr>
            <w:tcW w:type="dxa" w:w="1054"/>
          </w:tcPr>
          <w:p>
            <w:pPr>
              <w:keepNext/>
              <w:keepLines/>
            </w:pPr>
            <w:r>
              <w:rPr>
                <w:sz w:val="14"/>
              </w:rPr>
              <w:t>81.1</w:t>
            </w:r>
          </w:p>
        </w:tc>
      </w:tr>
      <w:tr>
        <w:trPr>
          <w:cantSplit/>
        </w:trPr>
        <w:tc>
          <w:tcPr>
            <w:tcW w:type="dxa" w:w="1054"/>
          </w:tcPr>
          <w:p>
            <w:pPr>
              <w:keepNext/>
              <w:keepLines/>
            </w:pPr>
            <w:r>
              <w:rPr>
                <w:sz w:val="14"/>
              </w:rPr>
              <w:t>Pre-tax Income</w:t>
            </w:r>
          </w:p>
        </w:tc>
        <w:tc>
          <w:tcPr>
            <w:tcW w:type="dxa" w:w="1054"/>
          </w:tcPr>
          <w:p>
            <w:pPr>
              <w:keepNext/>
              <w:keepLines/>
            </w:pPr>
            <w:r>
              <w:rPr>
                <w:sz w:val="14"/>
              </w:rPr>
              <w:t>147</w:t>
            </w:r>
          </w:p>
        </w:tc>
        <w:tc>
          <w:tcPr>
            <w:tcW w:type="dxa" w:w="1054"/>
          </w:tcPr>
          <w:p>
            <w:pPr>
              <w:keepNext/>
              <w:keepLines/>
            </w:pPr>
            <w:r>
              <w:rPr>
                <w:sz w:val="14"/>
              </w:rPr>
              <w:t>171</w:t>
            </w:r>
          </w:p>
        </w:tc>
        <w:tc>
          <w:tcPr>
            <w:tcW w:type="dxa" w:w="1054"/>
          </w:tcPr>
          <w:p>
            <w:pPr>
              <w:keepNext/>
              <w:keepLines/>
            </w:pPr>
            <w:r>
              <w:rPr>
                <w:sz w:val="14"/>
              </w:rPr>
              <w:t>196</w:t>
            </w:r>
          </w:p>
        </w:tc>
        <w:tc>
          <w:tcPr>
            <w:tcW w:type="dxa" w:w="1054"/>
          </w:tcPr>
          <w:p>
            <w:pPr>
              <w:keepNext/>
              <w:keepLines/>
            </w:pPr>
            <w:r>
              <w:rPr>
                <w:sz w:val="14"/>
              </w:rPr>
              <w:t>223</w:t>
            </w:r>
          </w:p>
        </w:tc>
        <w:tc>
          <w:tcPr>
            <w:tcW w:type="dxa" w:w="1054"/>
          </w:tcPr>
          <w:p>
            <w:pPr>
              <w:keepNext/>
              <w:keepLines/>
            </w:pPr>
            <w:r>
              <w:rPr>
                <w:sz w:val="14"/>
              </w:rPr>
              <w:t>249</w:t>
            </w:r>
          </w:p>
        </w:tc>
        <w:tc>
          <w:tcPr>
            <w:tcW w:type="dxa" w:w="1054"/>
          </w:tcPr>
          <w:p>
            <w:pPr>
              <w:keepNext/>
              <w:keepLines/>
            </w:pPr>
            <w:r>
              <w:rPr>
                <w:sz w:val="14"/>
              </w:rPr>
              <w:t>275</w:t>
            </w:r>
          </w:p>
        </w:tc>
        <w:tc>
          <w:tcPr>
            <w:tcW w:type="dxa" w:w="1054"/>
          </w:tcPr>
          <w:p>
            <w:pPr>
              <w:keepNext/>
              <w:keepLines/>
            </w:pPr>
            <w:r>
              <w:rPr>
                <w:sz w:val="14"/>
              </w:rPr>
              <w:t>299</w:t>
            </w:r>
          </w:p>
        </w:tc>
        <w:tc>
          <w:tcPr>
            <w:tcW w:type="dxa" w:w="1054"/>
          </w:tcPr>
          <w:p>
            <w:pPr>
              <w:keepNext/>
              <w:keepLines/>
            </w:pPr>
            <w:r>
              <w:rPr>
                <w:sz w:val="14"/>
              </w:rPr>
              <w:t>322</w:t>
            </w:r>
          </w:p>
        </w:tc>
        <w:tc>
          <w:tcPr>
            <w:tcW w:type="dxa" w:w="1054"/>
          </w:tcPr>
          <w:p>
            <w:pPr>
              <w:keepNext/>
              <w:keepLines/>
            </w:pPr>
            <w:r>
              <w:rPr>
                <w:sz w:val="14"/>
              </w:rPr>
              <w:t>343</w:t>
            </w:r>
          </w:p>
        </w:tc>
      </w:tr>
      <w:tr>
        <w:trPr>
          <w:cantSplit/>
        </w:trPr>
        <w:tc>
          <w:tcPr>
            <w:tcW w:type="dxa" w:w="1054"/>
          </w:tcPr>
          <w:p>
            <w:pPr>
              <w:keepNext/>
              <w:keepLines/>
            </w:pPr>
            <w:r>
              <w:rPr>
                <w:sz w:val="14"/>
              </w:rPr>
              <w:t>Net Operating Loss (NOL)</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r>
      <w:tr>
        <w:trPr>
          <w:cantSplit/>
        </w:trPr>
        <w:tc>
          <w:tcPr>
            <w:tcW w:type="dxa" w:w="1054"/>
          </w:tcPr>
          <w:p>
            <w:pPr>
              <w:keepNext/>
              <w:keepLines/>
            </w:pPr>
            <w:r>
              <w:rPr>
                <w:sz w:val="14"/>
              </w:rPr>
              <w:t>Cash Taxes</w:t>
            </w:r>
          </w:p>
        </w:tc>
        <w:tc>
          <w:tcPr>
            <w:tcW w:type="dxa" w:w="1054"/>
          </w:tcPr>
          <w:p>
            <w:pPr>
              <w:keepNext/>
              <w:keepLines/>
            </w:pPr>
            <w:r>
              <w:rPr>
                <w:sz w:val="14"/>
              </w:rPr>
              <w:t>14.6</w:t>
            </w:r>
          </w:p>
        </w:tc>
        <w:tc>
          <w:tcPr>
            <w:tcW w:type="dxa" w:w="1054"/>
          </w:tcPr>
          <w:p>
            <w:pPr>
              <w:keepNext/>
              <w:keepLines/>
            </w:pPr>
            <w:r>
              <w:rPr>
                <w:sz w:val="14"/>
              </w:rPr>
              <w:t>35.9</w:t>
            </w:r>
          </w:p>
        </w:tc>
        <w:tc>
          <w:tcPr>
            <w:tcW w:type="dxa" w:w="1054"/>
          </w:tcPr>
          <w:p>
            <w:pPr>
              <w:keepNext/>
              <w:keepLines/>
            </w:pPr>
            <w:r>
              <w:rPr>
                <w:sz w:val="14"/>
              </w:rPr>
              <w:t>41.3</w:t>
            </w:r>
          </w:p>
        </w:tc>
        <w:tc>
          <w:tcPr>
            <w:tcW w:type="dxa" w:w="1054"/>
          </w:tcPr>
          <w:p>
            <w:pPr>
              <w:keepNext/>
              <w:keepLines/>
            </w:pPr>
            <w:r>
              <w:rPr>
                <w:sz w:val="14"/>
              </w:rPr>
              <w:t>46.7</w:t>
            </w:r>
          </w:p>
        </w:tc>
        <w:tc>
          <w:tcPr>
            <w:tcW w:type="dxa" w:w="1054"/>
          </w:tcPr>
          <w:p>
            <w:pPr>
              <w:keepNext/>
              <w:keepLines/>
            </w:pPr>
            <w:r>
              <w:rPr>
                <w:sz w:val="14"/>
              </w:rPr>
              <w:t>52.3</w:t>
            </w:r>
          </w:p>
        </w:tc>
        <w:tc>
          <w:tcPr>
            <w:tcW w:type="dxa" w:w="1054"/>
          </w:tcPr>
          <w:p>
            <w:pPr>
              <w:keepNext/>
              <w:keepLines/>
            </w:pPr>
            <w:r>
              <w:rPr>
                <w:sz w:val="14"/>
              </w:rPr>
              <w:t>57.7</w:t>
            </w:r>
          </w:p>
        </w:tc>
        <w:tc>
          <w:tcPr>
            <w:tcW w:type="dxa" w:w="1054"/>
          </w:tcPr>
          <w:p>
            <w:pPr>
              <w:keepNext/>
              <w:keepLines/>
            </w:pPr>
            <w:r>
              <w:rPr>
                <w:sz w:val="14"/>
              </w:rPr>
              <w:t>62.9</w:t>
            </w:r>
          </w:p>
        </w:tc>
        <w:tc>
          <w:tcPr>
            <w:tcW w:type="dxa" w:w="1054"/>
          </w:tcPr>
          <w:p>
            <w:pPr>
              <w:keepNext/>
              <w:keepLines/>
            </w:pPr>
            <w:r>
              <w:rPr>
                <w:sz w:val="14"/>
              </w:rPr>
              <w:t>67.7</w:t>
            </w:r>
          </w:p>
        </w:tc>
        <w:tc>
          <w:tcPr>
            <w:tcW w:type="dxa" w:w="1054"/>
          </w:tcPr>
          <w:p>
            <w:pPr>
              <w:keepNext/>
              <w:keepLines/>
            </w:pPr>
            <w:r>
              <w:rPr>
                <w:sz w:val="14"/>
              </w:rPr>
              <w:t>72.0</w:t>
            </w:r>
          </w:p>
        </w:tc>
      </w:tr>
      <w:tr>
        <w:trPr>
          <w:cantSplit/>
        </w:trPr>
        <w:tc>
          <w:tcPr>
            <w:tcW w:type="dxa" w:w="1054"/>
          </w:tcPr>
          <w:p>
            <w:pPr>
              <w:keepNext/>
              <w:keepLines/>
            </w:pPr>
            <w:r>
              <w:rPr>
                <w:sz w:val="14"/>
              </w:rPr>
              <w:t>Capex</w:t>
            </w:r>
          </w:p>
        </w:tc>
        <w:tc>
          <w:tcPr>
            <w:tcW w:type="dxa" w:w="1054"/>
          </w:tcPr>
          <w:p>
            <w:pPr>
              <w:keepNext/>
              <w:keepLines/>
            </w:pPr>
            <w:r>
              <w:rPr>
                <w:sz w:val="14"/>
              </w:rPr>
              <w:t>40.0</w:t>
            </w:r>
          </w:p>
        </w:tc>
        <w:tc>
          <w:tcPr>
            <w:tcW w:type="dxa" w:w="1054"/>
          </w:tcPr>
          <w:p>
            <w:pPr>
              <w:keepNext/>
              <w:keepLines/>
            </w:pPr>
            <w:r>
              <w:rPr>
                <w:sz w:val="14"/>
              </w:rPr>
              <w:t>45.9</w:t>
            </w:r>
          </w:p>
        </w:tc>
        <w:tc>
          <w:tcPr>
            <w:tcW w:type="dxa" w:w="1054"/>
          </w:tcPr>
          <w:p>
            <w:pPr>
              <w:keepNext/>
              <w:keepLines/>
            </w:pPr>
            <w:r>
              <w:rPr>
                <w:sz w:val="14"/>
              </w:rPr>
              <w:t>52.1</w:t>
            </w:r>
          </w:p>
        </w:tc>
        <w:tc>
          <w:tcPr>
            <w:tcW w:type="dxa" w:w="1054"/>
          </w:tcPr>
          <w:p>
            <w:pPr>
              <w:keepNext/>
              <w:keepLines/>
            </w:pPr>
            <w:r>
              <w:rPr>
                <w:sz w:val="14"/>
              </w:rPr>
              <w:t>58.5</w:t>
            </w:r>
          </w:p>
        </w:tc>
        <w:tc>
          <w:tcPr>
            <w:tcW w:type="dxa" w:w="1054"/>
          </w:tcPr>
          <w:p>
            <w:pPr>
              <w:keepNext/>
              <w:keepLines/>
            </w:pPr>
            <w:r>
              <w:rPr>
                <w:sz w:val="14"/>
              </w:rPr>
              <w:t>65.0</w:t>
            </w:r>
          </w:p>
        </w:tc>
        <w:tc>
          <w:tcPr>
            <w:tcW w:type="dxa" w:w="1054"/>
          </w:tcPr>
          <w:p>
            <w:pPr>
              <w:keepNext/>
              <w:keepLines/>
            </w:pPr>
            <w:r>
              <w:rPr>
                <w:sz w:val="14"/>
              </w:rPr>
              <w:t>71.4</w:t>
            </w:r>
          </w:p>
        </w:tc>
        <w:tc>
          <w:tcPr>
            <w:tcW w:type="dxa" w:w="1054"/>
          </w:tcPr>
          <w:p>
            <w:pPr>
              <w:keepNext/>
              <w:keepLines/>
            </w:pPr>
            <w:r>
              <w:rPr>
                <w:sz w:val="14"/>
              </w:rPr>
              <w:t>77.5</w:t>
            </w:r>
          </w:p>
        </w:tc>
        <w:tc>
          <w:tcPr>
            <w:tcW w:type="dxa" w:w="1054"/>
          </w:tcPr>
          <w:p>
            <w:pPr>
              <w:keepNext/>
              <w:keepLines/>
            </w:pPr>
            <w:r>
              <w:rPr>
                <w:sz w:val="14"/>
              </w:rPr>
              <w:t>83.3</w:t>
            </w:r>
          </w:p>
        </w:tc>
        <w:tc>
          <w:tcPr>
            <w:tcW w:type="dxa" w:w="1054"/>
          </w:tcPr>
          <w:p>
            <w:pPr>
              <w:keepNext/>
              <w:keepLines/>
            </w:pPr>
            <w:r>
              <w:rPr>
                <w:sz w:val="14"/>
              </w:rPr>
              <w:t>88.5</w:t>
            </w:r>
          </w:p>
        </w:tc>
      </w:tr>
      <w:tr>
        <w:trPr>
          <w:cantSplit/>
        </w:trPr>
        <w:tc>
          <w:tcPr>
            <w:tcW w:type="dxa" w:w="1054"/>
          </w:tcPr>
          <w:p>
            <w:pPr>
              <w:keepNext/>
              <w:keepLines/>
            </w:pPr>
            <w:r>
              <w:rPr>
                <w:sz w:val="14"/>
              </w:rPr>
              <w:t>MnA</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r>
      <w:tr>
        <w:trPr>
          <w:cantSplit/>
        </w:trPr>
        <w:tc>
          <w:tcPr>
            <w:tcW w:type="dxa" w:w="1054"/>
          </w:tcPr>
          <w:p>
            <w:pPr>
              <w:keepNext/>
              <w:keepLines/>
            </w:pPr>
            <w:r>
              <w:rPr>
                <w:sz w:val="14"/>
              </w:rPr>
              <w:t>dWC</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r>
      <w:tr>
        <w:trPr>
          <w:cantSplit/>
        </w:trPr>
        <w:tc>
          <w:tcPr>
            <w:tcW w:type="dxa" w:w="1054"/>
          </w:tcPr>
          <w:p>
            <w:pPr>
              <w:keepNext/>
              <w:keepLines/>
            </w:pPr>
            <w:r>
              <w:rPr>
                <w:sz w:val="14"/>
              </w:rPr>
              <w:t>dDebt</w:t>
            </w:r>
          </w:p>
        </w:tc>
        <w:tc>
          <w:tcPr>
            <w:tcW w:type="dxa" w:w="1054"/>
          </w:tcPr>
          <w:p>
            <w:pPr>
              <w:keepNext/>
              <w:keepLines/>
            </w:pPr>
            <w:r>
              <w:rPr>
                <w:sz w:val="14"/>
              </w:rPr>
              <w:t>61.6</w:t>
            </w:r>
          </w:p>
        </w:tc>
        <w:tc>
          <w:tcPr>
            <w:tcW w:type="dxa" w:w="1054"/>
          </w:tcPr>
          <w:p>
            <w:pPr>
              <w:keepNext/>
              <w:keepLines/>
            </w:pPr>
            <w:r>
              <w:rPr>
                <w:sz w:val="14"/>
              </w:rPr>
              <w:t>65.5</w:t>
            </w:r>
          </w:p>
        </w:tc>
        <w:tc>
          <w:tcPr>
            <w:tcW w:type="dxa" w:w="1054"/>
          </w:tcPr>
          <w:p>
            <w:pPr>
              <w:keepNext/>
              <w:keepLines/>
            </w:pPr>
            <w:r>
              <w:rPr>
                <w:sz w:val="14"/>
              </w:rPr>
              <w:t>68.6</w:t>
            </w:r>
          </w:p>
        </w:tc>
        <w:tc>
          <w:tcPr>
            <w:tcW w:type="dxa" w:w="1054"/>
          </w:tcPr>
          <w:p>
            <w:pPr>
              <w:keepNext/>
              <w:keepLines/>
            </w:pPr>
            <w:r>
              <w:rPr>
                <w:sz w:val="14"/>
              </w:rPr>
              <w:t>70.6</w:t>
            </w:r>
          </w:p>
        </w:tc>
        <w:tc>
          <w:tcPr>
            <w:tcW w:type="dxa" w:w="1054"/>
          </w:tcPr>
          <w:p>
            <w:pPr>
              <w:keepNext/>
              <w:keepLines/>
            </w:pPr>
            <w:r>
              <w:rPr>
                <w:sz w:val="14"/>
              </w:rPr>
              <w:t>71.3</w:t>
            </w:r>
          </w:p>
        </w:tc>
        <w:tc>
          <w:tcPr>
            <w:tcW w:type="dxa" w:w="1054"/>
          </w:tcPr>
          <w:p>
            <w:pPr>
              <w:keepNext/>
              <w:keepLines/>
            </w:pPr>
            <w:r>
              <w:rPr>
                <w:sz w:val="14"/>
              </w:rPr>
              <w:t>70.5</w:t>
            </w:r>
          </w:p>
        </w:tc>
        <w:tc>
          <w:tcPr>
            <w:tcW w:type="dxa" w:w="1054"/>
          </w:tcPr>
          <w:p>
            <w:pPr>
              <w:keepNext/>
              <w:keepLines/>
            </w:pPr>
            <w:r>
              <w:rPr>
                <w:sz w:val="14"/>
              </w:rPr>
              <w:t>68.0</w:t>
            </w:r>
          </w:p>
        </w:tc>
        <w:tc>
          <w:tcPr>
            <w:tcW w:type="dxa" w:w="1054"/>
          </w:tcPr>
          <w:p>
            <w:pPr>
              <w:keepNext/>
              <w:keepLines/>
            </w:pPr>
            <w:r>
              <w:rPr>
                <w:sz w:val="14"/>
              </w:rPr>
              <w:t>63.7</w:t>
            </w:r>
          </w:p>
        </w:tc>
        <w:tc>
          <w:tcPr>
            <w:tcW w:type="dxa" w:w="1054"/>
          </w:tcPr>
          <w:p>
            <w:pPr>
              <w:keepNext/>
              <w:keepLines/>
            </w:pPr>
            <w:r>
              <w:rPr>
                <w:sz w:val="14"/>
              </w:rPr>
              <w:t>57.7</w:t>
            </w:r>
          </w:p>
        </w:tc>
      </w:tr>
      <w:tr>
        <w:trPr>
          <w:cantSplit/>
        </w:trPr>
        <w:tc>
          <w:tcPr>
            <w:tcW w:type="dxa" w:w="1054"/>
          </w:tcPr>
          <w:p>
            <w:pPr>
              <w:keepNext/>
              <w:keepLines/>
            </w:pPr>
            <w:r>
              <w:rPr>
                <w:sz w:val="14"/>
              </w:rPr>
              <w:t>FCF, 'Owners Earnings'</w:t>
            </w:r>
          </w:p>
        </w:tc>
        <w:tc>
          <w:tcPr>
            <w:tcW w:type="dxa" w:w="1054"/>
          </w:tcPr>
          <w:p>
            <w:pPr>
              <w:keepNext/>
              <w:keepLines/>
            </w:pPr>
            <w:r>
              <w:rPr>
                <w:sz w:val="14"/>
              </w:rPr>
              <w:t>102</w:t>
            </w:r>
          </w:p>
        </w:tc>
        <w:tc>
          <w:tcPr>
            <w:tcW w:type="dxa" w:w="1054"/>
          </w:tcPr>
          <w:p>
            <w:pPr>
              <w:keepNext/>
              <w:keepLines/>
            </w:pPr>
            <w:r>
              <w:rPr>
                <w:sz w:val="14"/>
              </w:rPr>
              <w:t>101</w:t>
            </w:r>
          </w:p>
        </w:tc>
        <w:tc>
          <w:tcPr>
            <w:tcW w:type="dxa" w:w="1054"/>
          </w:tcPr>
          <w:p>
            <w:pPr>
              <w:keepNext/>
              <w:keepLines/>
            </w:pPr>
            <w:r>
              <w:rPr>
                <w:sz w:val="14"/>
              </w:rPr>
              <w:t>116</w:t>
            </w:r>
          </w:p>
        </w:tc>
        <w:tc>
          <w:tcPr>
            <w:tcW w:type="dxa" w:w="1054"/>
          </w:tcPr>
          <w:p>
            <w:pPr>
              <w:keepNext/>
              <w:keepLines/>
            </w:pPr>
            <w:r>
              <w:rPr>
                <w:sz w:val="14"/>
              </w:rPr>
              <w:t>132</w:t>
            </w:r>
          </w:p>
        </w:tc>
        <w:tc>
          <w:tcPr>
            <w:tcW w:type="dxa" w:w="1054"/>
          </w:tcPr>
          <w:p>
            <w:pPr>
              <w:keepNext/>
              <w:keepLines/>
            </w:pPr>
            <w:r>
              <w:rPr>
                <w:sz w:val="14"/>
              </w:rPr>
              <w:t>148</w:t>
            </w:r>
          </w:p>
        </w:tc>
        <w:tc>
          <w:tcPr>
            <w:tcW w:type="dxa" w:w="1054"/>
          </w:tcPr>
          <w:p>
            <w:pPr>
              <w:keepNext/>
              <w:keepLines/>
            </w:pPr>
            <w:r>
              <w:rPr>
                <w:sz w:val="14"/>
              </w:rPr>
              <w:t>164</w:t>
            </w:r>
          </w:p>
        </w:tc>
        <w:tc>
          <w:tcPr>
            <w:tcW w:type="dxa" w:w="1054"/>
          </w:tcPr>
          <w:p>
            <w:pPr>
              <w:keepNext/>
              <w:keepLines/>
            </w:pPr>
            <w:r>
              <w:rPr>
                <w:sz w:val="14"/>
              </w:rPr>
              <w:t>179</w:t>
            </w:r>
          </w:p>
        </w:tc>
        <w:tc>
          <w:tcPr>
            <w:tcW w:type="dxa" w:w="1054"/>
          </w:tcPr>
          <w:p>
            <w:pPr>
              <w:keepNext/>
              <w:keepLines/>
            </w:pPr>
            <w:r>
              <w:rPr>
                <w:sz w:val="14"/>
              </w:rPr>
              <w:t>192</w:t>
            </w:r>
          </w:p>
        </w:tc>
        <w:tc>
          <w:tcPr>
            <w:tcW w:type="dxa" w:w="1054"/>
          </w:tcPr>
          <w:p>
            <w:pPr>
              <w:keepNext/>
              <w:keepLines/>
            </w:pPr>
            <w:r>
              <w:rPr>
                <w:sz w:val="14"/>
              </w:rPr>
              <w:t>204</w:t>
            </w:r>
          </w:p>
        </w:tc>
      </w:tr>
      <w:tr>
        <w:trPr>
          <w:cantSplit/>
        </w:trPr>
        <w:tc>
          <w:tcPr>
            <w:tcW w:type="dxa" w:w="1054"/>
          </w:tcPr>
          <w:p>
            <w:pPr>
              <w:keepNext/>
              <w:keepLines/>
            </w:pPr>
            <w:r>
              <w:rPr>
                <w:sz w:val="14"/>
              </w:rPr>
              <w:t>FCFE</w:t>
            </w:r>
          </w:p>
        </w:tc>
        <w:tc>
          <w:tcPr>
            <w:tcW w:type="dxa" w:w="1054"/>
          </w:tcPr>
          <w:p>
            <w:pPr>
              <w:keepNext/>
              <w:keepLines/>
            </w:pPr>
            <w:r>
              <w:rPr>
                <w:sz w:val="14"/>
              </w:rPr>
              <w:t>164</w:t>
            </w:r>
          </w:p>
        </w:tc>
        <w:tc>
          <w:tcPr>
            <w:tcW w:type="dxa" w:w="1054"/>
          </w:tcPr>
          <w:p>
            <w:pPr>
              <w:keepNext/>
              <w:keepLines/>
            </w:pPr>
            <w:r>
              <w:rPr>
                <w:sz w:val="14"/>
              </w:rPr>
              <w:t>167</w:t>
            </w:r>
          </w:p>
        </w:tc>
        <w:tc>
          <w:tcPr>
            <w:tcW w:type="dxa" w:w="1054"/>
          </w:tcPr>
          <w:p>
            <w:pPr>
              <w:keepNext/>
              <w:keepLines/>
            </w:pPr>
            <w:r>
              <w:rPr>
                <w:sz w:val="14"/>
              </w:rPr>
              <w:t>185</w:t>
            </w:r>
          </w:p>
        </w:tc>
        <w:tc>
          <w:tcPr>
            <w:tcW w:type="dxa" w:w="1054"/>
          </w:tcPr>
          <w:p>
            <w:pPr>
              <w:keepNext/>
              <w:keepLines/>
            </w:pPr>
            <w:r>
              <w:rPr>
                <w:sz w:val="14"/>
              </w:rPr>
              <w:t>203</w:t>
            </w:r>
          </w:p>
        </w:tc>
        <w:tc>
          <w:tcPr>
            <w:tcW w:type="dxa" w:w="1054"/>
          </w:tcPr>
          <w:p>
            <w:pPr>
              <w:keepNext/>
              <w:keepLines/>
            </w:pPr>
            <w:r>
              <w:rPr>
                <w:sz w:val="14"/>
              </w:rPr>
              <w:t>219</w:t>
            </w:r>
          </w:p>
        </w:tc>
        <w:tc>
          <w:tcPr>
            <w:tcW w:type="dxa" w:w="1054"/>
          </w:tcPr>
          <w:p>
            <w:pPr>
              <w:keepNext/>
              <w:keepLines/>
            </w:pPr>
            <w:r>
              <w:rPr>
                <w:sz w:val="14"/>
              </w:rPr>
              <w:t>234</w:t>
            </w:r>
          </w:p>
        </w:tc>
        <w:tc>
          <w:tcPr>
            <w:tcW w:type="dxa" w:w="1054"/>
          </w:tcPr>
          <w:p>
            <w:pPr>
              <w:keepNext/>
              <w:keepLines/>
            </w:pPr>
            <w:r>
              <w:rPr>
                <w:sz w:val="14"/>
              </w:rPr>
              <w:t>246</w:t>
            </w:r>
          </w:p>
        </w:tc>
        <w:tc>
          <w:tcPr>
            <w:tcW w:type="dxa" w:w="1054"/>
          </w:tcPr>
          <w:p>
            <w:pPr>
              <w:keepNext/>
              <w:keepLines/>
            </w:pPr>
            <w:r>
              <w:rPr>
                <w:sz w:val="14"/>
              </w:rPr>
              <w:t>256</w:t>
            </w:r>
          </w:p>
        </w:tc>
        <w:tc>
          <w:tcPr>
            <w:tcW w:type="dxa" w:w="1054"/>
          </w:tcPr>
          <w:p>
            <w:pPr>
              <w:keepNext/>
              <w:keepLines/>
            </w:pPr>
            <w:r>
              <w:rPr>
                <w:sz w:val="14"/>
              </w:rPr>
              <w:t>262</w:t>
            </w:r>
          </w:p>
        </w:tc>
      </w:tr>
      <w:tr>
        <w:trPr>
          <w:cantSplit/>
        </w:trPr>
        <w:tc>
          <w:tcPr>
            <w:tcW w:type="dxa" w:w="1054"/>
          </w:tcPr>
          <w:p>
            <w:pPr>
              <w:keepNext/>
              <w:keepLines/>
            </w:pPr>
            <w:r>
              <w:rPr>
                <w:sz w:val="14"/>
              </w:rPr>
              <w:t>FCFF</w:t>
            </w:r>
          </w:p>
        </w:tc>
        <w:tc>
          <w:tcPr>
            <w:tcW w:type="dxa" w:w="1054"/>
          </w:tcPr>
          <w:p>
            <w:pPr>
              <w:keepNext/>
              <w:keepLines/>
            </w:pPr>
            <w:r>
              <w:rPr>
                <w:sz w:val="14"/>
              </w:rPr>
              <w:t>127</w:t>
            </w:r>
          </w:p>
        </w:tc>
        <w:tc>
          <w:tcPr>
            <w:tcW w:type="dxa" w:w="1054"/>
          </w:tcPr>
          <w:p>
            <w:pPr>
              <w:keepNext/>
              <w:keepLines/>
            </w:pPr>
            <w:r>
              <w:rPr>
                <w:sz w:val="14"/>
              </w:rPr>
              <w:t>130</w:t>
            </w:r>
          </w:p>
        </w:tc>
        <w:tc>
          <w:tcPr>
            <w:tcW w:type="dxa" w:w="1054"/>
          </w:tcPr>
          <w:p>
            <w:pPr>
              <w:keepNext/>
              <w:keepLines/>
            </w:pPr>
            <w:r>
              <w:rPr>
                <w:sz w:val="14"/>
              </w:rPr>
              <w:t>150</w:t>
            </w:r>
          </w:p>
        </w:tc>
        <w:tc>
          <w:tcPr>
            <w:tcW w:type="dxa" w:w="1054"/>
          </w:tcPr>
          <w:p>
            <w:pPr>
              <w:keepNext/>
              <w:keepLines/>
            </w:pPr>
            <w:r>
              <w:rPr>
                <w:sz w:val="14"/>
              </w:rPr>
              <w:t>171</w:t>
            </w:r>
          </w:p>
        </w:tc>
        <w:tc>
          <w:tcPr>
            <w:tcW w:type="dxa" w:w="1054"/>
          </w:tcPr>
          <w:p>
            <w:pPr>
              <w:keepNext/>
              <w:keepLines/>
            </w:pPr>
            <w:r>
              <w:rPr>
                <w:sz w:val="14"/>
              </w:rPr>
              <w:t>192</w:t>
            </w:r>
          </w:p>
        </w:tc>
        <w:tc>
          <w:tcPr>
            <w:tcW w:type="dxa" w:w="1054"/>
          </w:tcPr>
          <w:p>
            <w:pPr>
              <w:keepNext/>
              <w:keepLines/>
            </w:pPr>
            <w:r>
              <w:rPr>
                <w:sz w:val="14"/>
              </w:rPr>
              <w:t>213</w:t>
            </w:r>
          </w:p>
        </w:tc>
        <w:tc>
          <w:tcPr>
            <w:tcW w:type="dxa" w:w="1054"/>
          </w:tcPr>
          <w:p>
            <w:pPr>
              <w:keepNext/>
              <w:keepLines/>
            </w:pPr>
            <w:r>
              <w:rPr>
                <w:sz w:val="14"/>
              </w:rPr>
              <w:t>233</w:t>
            </w:r>
          </w:p>
        </w:tc>
        <w:tc>
          <w:tcPr>
            <w:tcW w:type="dxa" w:w="1054"/>
          </w:tcPr>
          <w:p>
            <w:pPr>
              <w:keepNext/>
              <w:keepLines/>
            </w:pPr>
            <w:r>
              <w:rPr>
                <w:sz w:val="14"/>
              </w:rPr>
              <w:t>252</w:t>
            </w:r>
          </w:p>
        </w:tc>
        <w:tc>
          <w:tcPr>
            <w:tcW w:type="dxa" w:w="1054"/>
          </w:tcPr>
          <w:p>
            <w:pPr>
              <w:keepNext/>
              <w:keepLines/>
            </w:pPr>
            <w:r>
              <w:rPr>
                <w:sz w:val="14"/>
              </w:rPr>
              <w:t>268</w:t>
            </w:r>
          </w:p>
        </w:tc>
      </w:tr>
      <w:tr>
        <w:trPr>
          <w:cantSplit/>
        </w:trPr>
        <w:tc>
          <w:tcPr>
            <w:tcW w:type="dxa" w:w="1054"/>
          </w:tcPr>
          <w:p>
            <w:pPr>
              <w:keepNext/>
              <w:keepLines/>
            </w:pPr>
            <w:r>
              <w:rPr>
                <w:sz w:val="14"/>
              </w:rPr>
              <w:t>Firm, Intrinsic Value</w:t>
            </w:r>
          </w:p>
        </w:tc>
        <w:tc>
          <w:tcPr>
            <w:tcW w:type="dxa" w:w="1054"/>
          </w:tcPr>
          <w:p>
            <w:pPr>
              <w:keepNext/>
              <w:keepLines/>
            </w:pPr>
            <w:r>
              <w:rPr>
                <w:sz w:val="14"/>
              </w:rPr>
              <w:t>3,662</w:t>
            </w:r>
          </w:p>
        </w:tc>
        <w:tc>
          <w:tcPr>
            <w:tcW w:type="dxa" w:w="1054"/>
          </w:tcPr>
          <w:p>
            <w:pPr>
              <w:keepNext/>
              <w:keepLines/>
            </w:pPr>
            <w:r>
              <w:rPr>
                <w:sz w:val="14"/>
              </w:rPr>
              <w:t>3,902</w:t>
            </w:r>
          </w:p>
        </w:tc>
        <w:tc>
          <w:tcPr>
            <w:tcW w:type="dxa" w:w="1054"/>
          </w:tcPr>
          <w:p>
            <w:pPr>
              <w:keepNext/>
              <w:keepLines/>
            </w:pPr>
            <w:r>
              <w:rPr>
                <w:sz w:val="14"/>
              </w:rPr>
              <w:t>4,144</w:t>
            </w:r>
          </w:p>
        </w:tc>
        <w:tc>
          <w:tcPr>
            <w:tcW w:type="dxa" w:w="1054"/>
          </w:tcPr>
          <w:p>
            <w:pPr>
              <w:keepNext/>
              <w:keepLines/>
            </w:pPr>
            <w:r>
              <w:rPr>
                <w:sz w:val="14"/>
              </w:rPr>
              <w:t>4,389</w:t>
            </w:r>
          </w:p>
        </w:tc>
        <w:tc>
          <w:tcPr>
            <w:tcW w:type="dxa" w:w="1054"/>
          </w:tcPr>
          <w:p>
            <w:pPr>
              <w:keepNext/>
              <w:keepLines/>
            </w:pPr>
            <w:r>
              <w:rPr>
                <w:sz w:val="14"/>
              </w:rPr>
              <w:t>4,636</w:t>
            </w:r>
          </w:p>
        </w:tc>
        <w:tc>
          <w:tcPr>
            <w:tcW w:type="dxa" w:w="1054"/>
          </w:tcPr>
          <w:p>
            <w:pPr>
              <w:keepNext/>
              <w:keepLines/>
            </w:pPr>
            <w:r>
              <w:rPr>
                <w:sz w:val="14"/>
              </w:rPr>
              <w:t>4,886</w:t>
            </w:r>
          </w:p>
        </w:tc>
        <w:tc>
          <w:tcPr>
            <w:tcW w:type="dxa" w:w="1054"/>
          </w:tcPr>
          <w:p>
            <w:pPr>
              <w:keepNext/>
              <w:keepLines/>
            </w:pPr>
            <w:r>
              <w:rPr>
                <w:sz w:val="14"/>
              </w:rPr>
              <w:t>5,140</w:t>
            </w:r>
          </w:p>
        </w:tc>
        <w:tc>
          <w:tcPr>
            <w:tcW w:type="dxa" w:w="1054"/>
          </w:tcPr>
          <w:p>
            <w:pPr>
              <w:keepNext/>
              <w:keepLines/>
            </w:pPr>
            <w:r>
              <w:rPr>
                <w:sz w:val="14"/>
              </w:rPr>
              <w:t>5,399</w:t>
            </w:r>
          </w:p>
        </w:tc>
        <w:tc>
          <w:tcPr>
            <w:tcW w:type="dxa" w:w="1054"/>
          </w:tcPr>
          <w:p>
            <w:pPr>
              <w:keepNext/>
              <w:keepLines/>
            </w:pPr>
            <w:r>
              <w:rPr>
                <w:sz w:val="14"/>
              </w:rPr>
              <w:t>5,667</w:t>
            </w:r>
          </w:p>
        </w:tc>
      </w:tr>
      <w:tr>
        <w:trPr>
          <w:cantSplit/>
        </w:trPr>
        <w:tc>
          <w:tcPr>
            <w:tcW w:type="dxa" w:w="1054"/>
          </w:tcPr>
          <w:p>
            <w:pPr>
              <w:keepNext/>
              <w:keepLines/>
            </w:pPr>
            <w:r>
              <w:rPr>
                <w:sz w:val="14"/>
              </w:rPr>
              <w:t>Debt, Market Value</w:t>
            </w:r>
          </w:p>
        </w:tc>
        <w:tc>
          <w:tcPr>
            <w:tcW w:type="dxa" w:w="1054"/>
          </w:tcPr>
          <w:p>
            <w:pPr>
              <w:keepNext/>
              <w:keepLines/>
            </w:pPr>
            <w:r>
              <w:rPr>
                <w:sz w:val="14"/>
              </w:rPr>
              <w:t>403</w:t>
            </w:r>
          </w:p>
        </w:tc>
        <w:tc>
          <w:tcPr>
            <w:tcW w:type="dxa" w:w="1054"/>
          </w:tcPr>
          <w:p>
            <w:pPr>
              <w:keepNext/>
              <w:keepLines/>
            </w:pPr>
            <w:r>
              <w:rPr>
                <w:sz w:val="14"/>
              </w:rPr>
              <w:t>469</w:t>
            </w:r>
          </w:p>
        </w:tc>
        <w:tc>
          <w:tcPr>
            <w:tcW w:type="dxa" w:w="1054"/>
          </w:tcPr>
          <w:p>
            <w:pPr>
              <w:keepNext/>
              <w:keepLines/>
            </w:pPr>
            <w:r>
              <w:rPr>
                <w:sz w:val="14"/>
              </w:rPr>
              <w:t>537</w:t>
            </w:r>
          </w:p>
        </w:tc>
        <w:tc>
          <w:tcPr>
            <w:tcW w:type="dxa" w:w="1054"/>
          </w:tcPr>
          <w:p>
            <w:pPr>
              <w:keepNext/>
              <w:keepLines/>
            </w:pPr>
            <w:r>
              <w:rPr>
                <w:sz w:val="14"/>
              </w:rPr>
              <w:t>608</w:t>
            </w:r>
          </w:p>
        </w:tc>
        <w:tc>
          <w:tcPr>
            <w:tcW w:type="dxa" w:w="1054"/>
          </w:tcPr>
          <w:p>
            <w:pPr>
              <w:keepNext/>
              <w:keepLines/>
            </w:pPr>
            <w:r>
              <w:rPr>
                <w:sz w:val="14"/>
              </w:rPr>
              <w:t>679</w:t>
            </w:r>
          </w:p>
        </w:tc>
        <w:tc>
          <w:tcPr>
            <w:tcW w:type="dxa" w:w="1054"/>
          </w:tcPr>
          <w:p>
            <w:pPr>
              <w:keepNext/>
              <w:keepLines/>
            </w:pPr>
            <w:r>
              <w:rPr>
                <w:sz w:val="14"/>
              </w:rPr>
              <w:t>750</w:t>
            </w:r>
          </w:p>
        </w:tc>
        <w:tc>
          <w:tcPr>
            <w:tcW w:type="dxa" w:w="1054"/>
          </w:tcPr>
          <w:p>
            <w:pPr>
              <w:keepNext/>
              <w:keepLines/>
            </w:pPr>
            <w:r>
              <w:rPr>
                <w:sz w:val="14"/>
              </w:rPr>
              <w:t>818</w:t>
            </w:r>
          </w:p>
        </w:tc>
        <w:tc>
          <w:tcPr>
            <w:tcW w:type="dxa" w:w="1054"/>
          </w:tcPr>
          <w:p>
            <w:pPr>
              <w:keepNext/>
              <w:keepLines/>
            </w:pPr>
            <w:r>
              <w:rPr>
                <w:sz w:val="14"/>
              </w:rPr>
              <w:t>881</w:t>
            </w:r>
          </w:p>
        </w:tc>
        <w:tc>
          <w:tcPr>
            <w:tcW w:type="dxa" w:w="1054"/>
          </w:tcPr>
          <w:p>
            <w:pPr>
              <w:keepNext/>
              <w:keepLines/>
            </w:pPr>
            <w:r>
              <w:rPr>
                <w:sz w:val="14"/>
              </w:rPr>
              <w:t>939</w:t>
            </w:r>
          </w:p>
        </w:tc>
      </w:tr>
      <w:tr>
        <w:trPr>
          <w:cantSplit/>
        </w:trPr>
        <w:tc>
          <w:tcPr>
            <w:tcW w:type="dxa" w:w="1054"/>
          </w:tcPr>
          <w:p>
            <w:pPr>
              <w:keepNext/>
              <w:keepLines/>
            </w:pPr>
            <w:r>
              <w:rPr>
                <w:sz w:val="14"/>
              </w:rPr>
              <w:t>Enterprise Value</w:t>
            </w:r>
          </w:p>
        </w:tc>
        <w:tc>
          <w:tcPr>
            <w:tcW w:type="dxa" w:w="1054"/>
          </w:tcPr>
          <w:p>
            <w:pPr>
              <w:keepNext/>
              <w:keepLines/>
            </w:pPr>
            <w:r>
              <w:rPr>
                <w:sz w:val="14"/>
              </w:rPr>
              <w:t>3,662</w:t>
            </w:r>
          </w:p>
        </w:tc>
        <w:tc>
          <w:tcPr>
            <w:tcW w:type="dxa" w:w="1054"/>
          </w:tcPr>
          <w:p>
            <w:pPr>
              <w:keepNext/>
              <w:keepLines/>
            </w:pPr>
            <w:r>
              <w:rPr>
                <w:sz w:val="14"/>
              </w:rPr>
              <w:t>3,902</w:t>
            </w:r>
          </w:p>
        </w:tc>
        <w:tc>
          <w:tcPr>
            <w:tcW w:type="dxa" w:w="1054"/>
          </w:tcPr>
          <w:p>
            <w:pPr>
              <w:keepNext/>
              <w:keepLines/>
            </w:pPr>
            <w:r>
              <w:rPr>
                <w:sz w:val="14"/>
              </w:rPr>
              <w:t>4,144</w:t>
            </w:r>
          </w:p>
        </w:tc>
        <w:tc>
          <w:tcPr>
            <w:tcW w:type="dxa" w:w="1054"/>
          </w:tcPr>
          <w:p>
            <w:pPr>
              <w:keepNext/>
              <w:keepLines/>
            </w:pPr>
            <w:r>
              <w:rPr>
                <w:sz w:val="14"/>
              </w:rPr>
              <w:t>4,389</w:t>
            </w:r>
          </w:p>
        </w:tc>
        <w:tc>
          <w:tcPr>
            <w:tcW w:type="dxa" w:w="1054"/>
          </w:tcPr>
          <w:p>
            <w:pPr>
              <w:keepNext/>
              <w:keepLines/>
            </w:pPr>
            <w:r>
              <w:rPr>
                <w:sz w:val="14"/>
              </w:rPr>
              <w:t>4,636</w:t>
            </w:r>
          </w:p>
        </w:tc>
        <w:tc>
          <w:tcPr>
            <w:tcW w:type="dxa" w:w="1054"/>
          </w:tcPr>
          <w:p>
            <w:pPr>
              <w:keepNext/>
              <w:keepLines/>
            </w:pPr>
            <w:r>
              <w:rPr>
                <w:sz w:val="14"/>
              </w:rPr>
              <w:t>4,886</w:t>
            </w:r>
          </w:p>
        </w:tc>
        <w:tc>
          <w:tcPr>
            <w:tcW w:type="dxa" w:w="1054"/>
          </w:tcPr>
          <w:p>
            <w:pPr>
              <w:keepNext/>
              <w:keepLines/>
            </w:pPr>
            <w:r>
              <w:rPr>
                <w:sz w:val="14"/>
              </w:rPr>
              <w:t>5,140</w:t>
            </w:r>
          </w:p>
        </w:tc>
        <w:tc>
          <w:tcPr>
            <w:tcW w:type="dxa" w:w="1054"/>
          </w:tcPr>
          <w:p>
            <w:pPr>
              <w:keepNext/>
              <w:keepLines/>
            </w:pPr>
            <w:r>
              <w:rPr>
                <w:sz w:val="14"/>
              </w:rPr>
              <w:t>5,399</w:t>
            </w:r>
          </w:p>
        </w:tc>
        <w:tc>
          <w:tcPr>
            <w:tcW w:type="dxa" w:w="1054"/>
          </w:tcPr>
          <w:p>
            <w:pPr>
              <w:keepNext/>
              <w:keepLines/>
            </w:pPr>
            <w:r>
              <w:rPr>
                <w:sz w:val="14"/>
              </w:rPr>
              <w:t>5,667</w:t>
            </w:r>
          </w:p>
        </w:tc>
      </w:tr>
      <w:tr>
        <w:trPr>
          <w:cantSplit/>
        </w:trPr>
        <w:tc>
          <w:tcPr>
            <w:tcW w:type="dxa" w:w="1054"/>
          </w:tcPr>
          <w:p>
            <w:pPr>
              <w:keepNext/>
              <w:keepLines/>
            </w:pPr>
            <w:r>
              <w:rPr>
                <w:sz w:val="14"/>
              </w:rPr>
              <w:t>Equity, Intrinsic Value</w:t>
            </w:r>
          </w:p>
        </w:tc>
        <w:tc>
          <w:tcPr>
            <w:tcW w:type="dxa" w:w="1054"/>
          </w:tcPr>
          <w:p>
            <w:pPr>
              <w:keepNext/>
              <w:keepLines/>
            </w:pPr>
            <w:r>
              <w:rPr>
                <w:sz w:val="14"/>
              </w:rPr>
              <w:t>3,259</w:t>
            </w:r>
          </w:p>
        </w:tc>
        <w:tc>
          <w:tcPr>
            <w:tcW w:type="dxa" w:w="1054"/>
          </w:tcPr>
          <w:p>
            <w:pPr>
              <w:keepNext/>
              <w:keepLines/>
            </w:pPr>
            <w:r>
              <w:rPr>
                <w:sz w:val="14"/>
              </w:rPr>
              <w:t>3,433</w:t>
            </w:r>
          </w:p>
        </w:tc>
        <w:tc>
          <w:tcPr>
            <w:tcW w:type="dxa" w:w="1054"/>
          </w:tcPr>
          <w:p>
            <w:pPr>
              <w:keepNext/>
              <w:keepLines/>
            </w:pPr>
            <w:r>
              <w:rPr>
                <w:sz w:val="14"/>
              </w:rPr>
              <w:t>3,607</w:t>
            </w:r>
          </w:p>
        </w:tc>
        <w:tc>
          <w:tcPr>
            <w:tcW w:type="dxa" w:w="1054"/>
          </w:tcPr>
          <w:p>
            <w:pPr>
              <w:keepNext/>
              <w:keepLines/>
            </w:pPr>
            <w:r>
              <w:rPr>
                <w:sz w:val="14"/>
              </w:rPr>
              <w:t>3,781</w:t>
            </w:r>
          </w:p>
        </w:tc>
        <w:tc>
          <w:tcPr>
            <w:tcW w:type="dxa" w:w="1054"/>
          </w:tcPr>
          <w:p>
            <w:pPr>
              <w:keepNext/>
              <w:keepLines/>
            </w:pPr>
            <w:r>
              <w:rPr>
                <w:sz w:val="14"/>
              </w:rPr>
              <w:t>3,957</w:t>
            </w:r>
          </w:p>
        </w:tc>
        <w:tc>
          <w:tcPr>
            <w:tcW w:type="dxa" w:w="1054"/>
          </w:tcPr>
          <w:p>
            <w:pPr>
              <w:keepNext/>
              <w:keepLines/>
            </w:pPr>
            <w:r>
              <w:rPr>
                <w:sz w:val="14"/>
              </w:rPr>
              <w:t>4,136</w:t>
            </w:r>
          </w:p>
        </w:tc>
        <w:tc>
          <w:tcPr>
            <w:tcW w:type="dxa" w:w="1054"/>
          </w:tcPr>
          <w:p>
            <w:pPr>
              <w:keepNext/>
              <w:keepLines/>
            </w:pPr>
            <w:r>
              <w:rPr>
                <w:sz w:val="14"/>
              </w:rPr>
              <w:t>4,322</w:t>
            </w:r>
          </w:p>
        </w:tc>
        <w:tc>
          <w:tcPr>
            <w:tcW w:type="dxa" w:w="1054"/>
          </w:tcPr>
          <w:p>
            <w:pPr>
              <w:keepNext/>
              <w:keepLines/>
            </w:pPr>
            <w:r>
              <w:rPr>
                <w:sz w:val="14"/>
              </w:rPr>
              <w:t>4,518</w:t>
            </w:r>
          </w:p>
        </w:tc>
        <w:tc>
          <w:tcPr>
            <w:tcW w:type="dxa" w:w="1054"/>
          </w:tcPr>
          <w:p>
            <w:pPr>
              <w:keepNext/>
              <w:keepLines/>
            </w:pPr>
            <w:r>
              <w:rPr>
                <w:sz w:val="14"/>
              </w:rPr>
              <w:t>4,728</w:t>
            </w:r>
          </w:p>
        </w:tc>
      </w:tr>
      <w:tr>
        <w:trPr>
          <w:cantSplit/>
        </w:trPr>
        <w:tc>
          <w:tcPr>
            <w:tcW w:type="dxa" w:w="1054"/>
          </w:tcPr>
          <w:p>
            <w:pPr>
              <w:keepNext/>
              <w:keepLines/>
            </w:pPr>
            <w:r>
              <w:rPr>
                <w:sz w:val="14"/>
              </w:rPr>
              <w:t>Cash</w:t>
            </w:r>
          </w:p>
        </w:tc>
        <w:tc>
          <w:tcPr>
            <w:tcW w:type="dxa" w:w="1054"/>
          </w:tcPr>
          <w:p>
            <w:pPr>
              <w:keepNext/>
              <w:keepLines/>
            </w:pPr>
            <w:r>
              <w:rPr>
                <w:sz w:val="14"/>
              </w:rPr>
              <w:t>618</w:t>
            </w:r>
          </w:p>
        </w:tc>
        <w:tc>
          <w:tcPr>
            <w:tcW w:type="dxa" w:w="1054"/>
          </w:tcPr>
          <w:p>
            <w:pPr>
              <w:keepNext/>
              <w:keepLines/>
            </w:pPr>
            <w:r>
              <w:rPr>
                <w:sz w:val="14"/>
              </w:rPr>
              <w:t>785</w:t>
            </w:r>
          </w:p>
        </w:tc>
        <w:tc>
          <w:tcPr>
            <w:tcW w:type="dxa" w:w="1054"/>
          </w:tcPr>
          <w:p>
            <w:pPr>
              <w:keepNext/>
              <w:keepLines/>
            </w:pPr>
            <w:r>
              <w:rPr>
                <w:sz w:val="14"/>
              </w:rPr>
              <w:t>970</w:t>
            </w:r>
          </w:p>
        </w:tc>
        <w:tc>
          <w:tcPr>
            <w:tcW w:type="dxa" w:w="1054"/>
          </w:tcPr>
          <w:p>
            <w:pPr>
              <w:keepNext/>
              <w:keepLines/>
            </w:pPr>
            <w:r>
              <w:rPr>
                <w:sz w:val="14"/>
              </w:rPr>
              <w:t>1,173</w:t>
            </w:r>
          </w:p>
        </w:tc>
        <w:tc>
          <w:tcPr>
            <w:tcW w:type="dxa" w:w="1054"/>
          </w:tcPr>
          <w:p>
            <w:pPr>
              <w:keepNext/>
              <w:keepLines/>
            </w:pPr>
            <w:r>
              <w:rPr>
                <w:sz w:val="14"/>
              </w:rPr>
              <w:t>1,392</w:t>
            </w:r>
          </w:p>
        </w:tc>
        <w:tc>
          <w:tcPr>
            <w:tcW w:type="dxa" w:w="1054"/>
          </w:tcPr>
          <w:p>
            <w:pPr>
              <w:keepNext/>
              <w:keepLines/>
            </w:pPr>
            <w:r>
              <w:rPr>
                <w:sz w:val="14"/>
              </w:rPr>
              <w:t>1,627</w:t>
            </w:r>
          </w:p>
        </w:tc>
        <w:tc>
          <w:tcPr>
            <w:tcW w:type="dxa" w:w="1054"/>
          </w:tcPr>
          <w:p>
            <w:pPr>
              <w:keepNext/>
              <w:keepLines/>
            </w:pPr>
            <w:r>
              <w:rPr>
                <w:sz w:val="14"/>
              </w:rPr>
              <w:t>1,873</w:t>
            </w:r>
          </w:p>
        </w:tc>
        <w:tc>
          <w:tcPr>
            <w:tcW w:type="dxa" w:w="1054"/>
          </w:tcPr>
          <w:p>
            <w:pPr>
              <w:keepNext/>
              <w:keepLines/>
            </w:pPr>
            <w:r>
              <w:rPr>
                <w:sz w:val="14"/>
              </w:rPr>
              <w:t>2,129</w:t>
            </w:r>
          </w:p>
        </w:tc>
        <w:tc>
          <w:tcPr>
            <w:tcW w:type="dxa" w:w="1054"/>
          </w:tcPr>
          <w:p>
            <w:pPr>
              <w:keepNext/>
              <w:keepLines/>
            </w:pPr>
            <w:r>
              <w:rPr>
                <w:sz w:val="14"/>
              </w:rPr>
              <w:t>2,391</w:t>
            </w:r>
          </w:p>
        </w:tc>
      </w:tr>
      <w:tr>
        <w:trPr>
          <w:cantSplit/>
        </w:trPr>
        <w:tc>
          <w:tcPr>
            <w:tcW w:type="dxa" w:w="1054"/>
          </w:tcPr>
          <w:p>
            <w:pPr>
              <w:keepNext/>
              <w:keepLines/>
            </w:pPr>
            <w:r>
              <w:rPr>
                <w:sz w:val="14"/>
              </w:rPr>
              <w:t>Cost of Capital, WACC</w:t>
            </w:r>
          </w:p>
        </w:tc>
        <w:tc>
          <w:tcPr>
            <w:tcW w:type="dxa" w:w="1054"/>
          </w:tcPr>
          <w:p>
            <w:pPr>
              <w:keepNext/>
              <w:keepLines/>
            </w:pPr>
            <w:r>
              <w:rPr>
                <w:sz w:val="14"/>
              </w:rPr>
              <w:t>10.1%</w:t>
            </w:r>
          </w:p>
        </w:tc>
        <w:tc>
          <w:tcPr>
            <w:tcW w:type="dxa" w:w="1054"/>
          </w:tcPr>
          <w:p>
            <w:pPr>
              <w:keepNext/>
              <w:keepLines/>
            </w:pPr>
            <w:r>
              <w:rPr>
                <w:sz w:val="14"/>
              </w:rPr>
              <w:t>10.1%</w:t>
            </w:r>
          </w:p>
        </w:tc>
        <w:tc>
          <w:tcPr>
            <w:tcW w:type="dxa" w:w="1054"/>
          </w:tcPr>
          <w:p>
            <w:pPr>
              <w:keepNext/>
              <w:keepLines/>
            </w:pPr>
            <w:r>
              <w:rPr>
                <w:sz w:val="14"/>
              </w:rPr>
              <w:t>10.0%</w:t>
            </w:r>
          </w:p>
        </w:tc>
        <w:tc>
          <w:tcPr>
            <w:tcW w:type="dxa" w:w="1054"/>
          </w:tcPr>
          <w:p>
            <w:pPr>
              <w:keepNext/>
              <w:keepLines/>
            </w:pPr>
            <w:r>
              <w:rPr>
                <w:sz w:val="14"/>
              </w:rPr>
              <w:t>10.0%</w:t>
            </w:r>
          </w:p>
        </w:tc>
        <w:tc>
          <w:tcPr>
            <w:tcW w:type="dxa" w:w="1054"/>
          </w:tcPr>
          <w:p>
            <w:pPr>
              <w:keepNext/>
              <w:keepLines/>
            </w:pPr>
            <w:r>
              <w:rPr>
                <w:sz w:val="14"/>
              </w:rPr>
              <w:t>10.0%</w:t>
            </w:r>
          </w:p>
        </w:tc>
        <w:tc>
          <w:tcPr>
            <w:tcW w:type="dxa" w:w="1054"/>
          </w:tcPr>
          <w:p>
            <w:pPr>
              <w:keepNext/>
              <w:keepLines/>
            </w:pPr>
            <w:r>
              <w:rPr>
                <w:sz w:val="14"/>
              </w:rPr>
              <w:t>10.0%</w:t>
            </w:r>
          </w:p>
        </w:tc>
        <w:tc>
          <w:tcPr>
            <w:tcW w:type="dxa" w:w="1054"/>
          </w:tcPr>
          <w:p>
            <w:pPr>
              <w:keepNext/>
              <w:keepLines/>
            </w:pPr>
            <w:r>
              <w:rPr>
                <w:sz w:val="14"/>
              </w:rPr>
              <w:t>9.9%</w:t>
            </w:r>
          </w:p>
        </w:tc>
        <w:tc>
          <w:tcPr>
            <w:tcW w:type="dxa" w:w="1054"/>
          </w:tcPr>
          <w:p>
            <w:pPr>
              <w:keepNext/>
              <w:keepLines/>
            </w:pPr>
            <w:r>
              <w:rPr>
                <w:sz w:val="14"/>
              </w:rPr>
              <w:t>9.9%</w:t>
            </w:r>
          </w:p>
        </w:tc>
        <w:tc>
          <w:tcPr>
            <w:tcW w:type="dxa" w:w="1054"/>
          </w:tcPr>
          <w:p>
            <w:pPr>
              <w:keepNext/>
              <w:keepLines/>
            </w:pPr>
            <w:r>
              <w:rPr>
                <w:sz w:val="14"/>
              </w:rPr>
              <w:t>9.9%</w:t>
            </w:r>
          </w:p>
        </w:tc>
      </w:tr>
      <w:tr>
        <w:trPr>
          <w:cantSplit/>
        </w:trPr>
        <w:tc>
          <w:tcPr>
            <w:tcW w:type="dxa" w:w="1054"/>
          </w:tcPr>
          <w:p>
            <w:r>
              <w:rPr>
                <w:sz w:val="14"/>
              </w:rPr>
              <w:t>Intrinsic Value per Share (US$)</w:t>
            </w:r>
          </w:p>
        </w:tc>
        <w:tc>
          <w:tcPr>
            <w:tcW w:type="dxa" w:w="1054"/>
          </w:tcPr>
          <w:p>
            <w:r>
              <w:rPr>
                <w:sz w:val="14"/>
              </w:rPr>
              <w:t>106.84</w:t>
            </w:r>
          </w:p>
        </w:tc>
        <w:tc>
          <w:tcPr>
            <w:tcW w:type="dxa" w:w="1054"/>
          </w:tcPr>
          <w:p>
            <w:r>
              <w:rPr>
                <w:sz w:val="14"/>
              </w:rPr>
              <w:t>112.55</w:t>
            </w:r>
          </w:p>
        </w:tc>
        <w:tc>
          <w:tcPr>
            <w:tcW w:type="dxa" w:w="1054"/>
          </w:tcPr>
          <w:p>
            <w:r>
              <w:rPr>
                <w:sz w:val="14"/>
              </w:rPr>
              <w:t>118.25</w:t>
            </w:r>
          </w:p>
        </w:tc>
        <w:tc>
          <w:tcPr>
            <w:tcW w:type="dxa" w:w="1054"/>
          </w:tcPr>
          <w:p>
            <w:r>
              <w:rPr>
                <w:sz w:val="14"/>
              </w:rPr>
              <w:t>123.96</w:t>
            </w:r>
          </w:p>
        </w:tc>
        <w:tc>
          <w:tcPr>
            <w:tcW w:type="dxa" w:w="1054"/>
          </w:tcPr>
          <w:p>
            <w:r>
              <w:rPr>
                <w:sz w:val="14"/>
              </w:rPr>
              <w:t>129.72</w:t>
            </w:r>
          </w:p>
        </w:tc>
        <w:tc>
          <w:tcPr>
            <w:tcW w:type="dxa" w:w="1054"/>
          </w:tcPr>
          <w:p>
            <w:r>
              <w:rPr>
                <w:sz w:val="14"/>
              </w:rPr>
              <w:t>135.61</w:t>
            </w:r>
          </w:p>
        </w:tc>
        <w:tc>
          <w:tcPr>
            <w:tcW w:type="dxa" w:w="1054"/>
          </w:tcPr>
          <w:p>
            <w:r>
              <w:rPr>
                <w:sz w:val="14"/>
              </w:rPr>
              <w:t>141.70</w:t>
            </w:r>
          </w:p>
        </w:tc>
        <w:tc>
          <w:tcPr>
            <w:tcW w:type="dxa" w:w="1054"/>
          </w:tcPr>
          <w:p>
            <w:r>
              <w:rPr>
                <w:sz w:val="14"/>
              </w:rPr>
              <w:t>148.12</w:t>
            </w:r>
          </w:p>
        </w:tc>
        <w:tc>
          <w:tcPr>
            <w:tcW w:type="dxa" w:w="1054"/>
          </w:tcPr>
          <w:p>
            <w:r>
              <w:rPr>
                <w:sz w:val="14"/>
              </w:rPr>
              <w:t>155.01</w:t>
            </w:r>
          </w:p>
        </w:tc>
      </w:tr>
    </w:tbl>
    <w:p/>
    <w:p>
      <w:pPr>
        <w:keepNext/>
        <w:keepLines/>
      </w:pPr>
      <w:r>
        <w:rPr>
          <w:i/>
        </w:rPr>
        <w:t>Source: C30, C56.</w:t>
      </w:r>
    </w:p>
    <w:p>
      <w:pPr>
        <w:keepNext/>
        <w:keepLines/>
      </w:pPr>
      <w:r>
        <w:rPr>
          <w:b/>
        </w:rPr>
        <w:t>Figure 10a – Finagle key rows, bull case (FY2025A–FY2031E explicit; FY2032E–FY2040E Finagle fade)</w:t>
      </w:r>
    </w:p>
    <w:tbl>
      <w:tblPr>
        <w:tblStyle w:val="TableGrid"/>
        <w:tblW w:type="auto" w:w="0"/>
        <w:tblLook w:firstColumn="1" w:firstRow="1" w:lastColumn="0" w:lastRow="0" w:noHBand="0" w:noVBand="1" w:val="04A0"/>
      </w:tblPr>
      <w:tblGrid>
        <w:gridCol w:w="1317"/>
        <w:gridCol w:w="1317"/>
        <w:gridCol w:w="1317"/>
        <w:gridCol w:w="1317"/>
        <w:gridCol w:w="1317"/>
        <w:gridCol w:w="1317"/>
        <w:gridCol w:w="1317"/>
        <w:gridCol w:w="1317"/>
      </w:tblGrid>
      <w:tr>
        <w:trPr>
          <w:cantSplit/>
          <w:tblHeader/>
        </w:trPr>
        <w:tc>
          <w:tcPr>
            <w:tcW w:type="dxa" w:w="1317"/>
          </w:tcPr>
          <w:p>
            <w:pPr>
              <w:keepNext/>
              <w:keepLines/>
            </w:pPr>
            <w:r>
              <w:rPr>
                <w:b/>
                <w:sz w:val="16"/>
              </w:rPr>
              <w:t>US$M</w:t>
            </w:r>
          </w:p>
        </w:tc>
        <w:tc>
          <w:tcPr>
            <w:tcW w:type="dxa" w:w="1317"/>
          </w:tcPr>
          <w:p>
            <w:pPr>
              <w:keepNext/>
              <w:keepLines/>
            </w:pPr>
            <w:r>
              <w:rPr>
                <w:b/>
                <w:sz w:val="16"/>
              </w:rPr>
              <w:t>FY2025A</w:t>
            </w:r>
          </w:p>
        </w:tc>
        <w:tc>
          <w:tcPr>
            <w:tcW w:type="dxa" w:w="1317"/>
          </w:tcPr>
          <w:p>
            <w:pPr>
              <w:keepNext/>
              <w:keepLines/>
            </w:pPr>
            <w:r>
              <w:rPr>
                <w:b/>
                <w:sz w:val="16"/>
              </w:rPr>
              <w:t>FY2026E</w:t>
            </w:r>
          </w:p>
        </w:tc>
        <w:tc>
          <w:tcPr>
            <w:tcW w:type="dxa" w:w="1317"/>
          </w:tcPr>
          <w:p>
            <w:pPr>
              <w:keepNext/>
              <w:keepLines/>
            </w:pPr>
            <w:r>
              <w:rPr>
                <w:b/>
                <w:sz w:val="16"/>
              </w:rPr>
              <w:t>FY2027E</w:t>
            </w:r>
          </w:p>
        </w:tc>
        <w:tc>
          <w:tcPr>
            <w:tcW w:type="dxa" w:w="1317"/>
          </w:tcPr>
          <w:p>
            <w:pPr>
              <w:keepNext/>
              <w:keepLines/>
            </w:pPr>
            <w:r>
              <w:rPr>
                <w:b/>
                <w:sz w:val="16"/>
              </w:rPr>
              <w:t>FY2028E</w:t>
            </w:r>
          </w:p>
        </w:tc>
        <w:tc>
          <w:tcPr>
            <w:tcW w:type="dxa" w:w="1317"/>
          </w:tcPr>
          <w:p>
            <w:pPr>
              <w:keepNext/>
              <w:keepLines/>
            </w:pPr>
            <w:r>
              <w:rPr>
                <w:b/>
                <w:sz w:val="16"/>
              </w:rPr>
              <w:t>FY2029E</w:t>
            </w:r>
          </w:p>
        </w:tc>
        <w:tc>
          <w:tcPr>
            <w:tcW w:type="dxa" w:w="1317"/>
          </w:tcPr>
          <w:p>
            <w:pPr>
              <w:keepNext/>
              <w:keepLines/>
            </w:pPr>
            <w:r>
              <w:rPr>
                <w:b/>
                <w:sz w:val="16"/>
              </w:rPr>
              <w:t>FY2030E</w:t>
            </w:r>
          </w:p>
        </w:tc>
        <w:tc>
          <w:tcPr>
            <w:tcW w:type="dxa" w:w="1317"/>
          </w:tcPr>
          <w:p>
            <w:pPr>
              <w:keepNext/>
              <w:keepLines/>
            </w:pPr>
            <w:r>
              <w:rPr>
                <w:b/>
                <w:sz w:val="16"/>
              </w:rPr>
              <w:t>FY2031E</w:t>
            </w:r>
          </w:p>
        </w:tc>
      </w:tr>
      <w:tr>
        <w:trPr>
          <w:cantSplit/>
        </w:trPr>
        <w:tc>
          <w:tcPr>
            <w:tcW w:type="dxa" w:w="1317"/>
          </w:tcPr>
          <w:p>
            <w:pPr>
              <w:keepNext/>
              <w:keepLines/>
            </w:pPr>
            <w:r>
              <w:rPr>
                <w:sz w:val="16"/>
              </w:rPr>
              <w:t>Revenue</w:t>
            </w:r>
          </w:p>
        </w:tc>
        <w:tc>
          <w:tcPr>
            <w:tcW w:type="dxa" w:w="1317"/>
          </w:tcPr>
          <w:p>
            <w:pPr>
              <w:keepNext/>
              <w:keepLines/>
            </w:pPr>
            <w:r>
              <w:rPr>
                <w:sz w:val="16"/>
              </w:rPr>
              <w:t>37.0</w:t>
            </w:r>
          </w:p>
        </w:tc>
        <w:tc>
          <w:tcPr>
            <w:tcW w:type="dxa" w:w="1317"/>
          </w:tcPr>
          <w:p>
            <w:pPr>
              <w:keepNext/>
              <w:keepLines/>
            </w:pPr>
            <w:r>
              <w:rPr>
                <w:sz w:val="16"/>
              </w:rPr>
              <w:t>50.0</w:t>
            </w:r>
          </w:p>
        </w:tc>
        <w:tc>
          <w:tcPr>
            <w:tcW w:type="dxa" w:w="1317"/>
          </w:tcPr>
          <w:p>
            <w:pPr>
              <w:keepNext/>
              <w:keepLines/>
            </w:pPr>
            <w:r>
              <w:rPr>
                <w:sz w:val="16"/>
              </w:rPr>
              <w:t>77.7</w:t>
            </w:r>
          </w:p>
        </w:tc>
        <w:tc>
          <w:tcPr>
            <w:tcW w:type="dxa" w:w="1317"/>
          </w:tcPr>
          <w:p>
            <w:pPr>
              <w:keepNext/>
              <w:keepLines/>
            </w:pPr>
            <w:r>
              <w:rPr>
                <w:sz w:val="16"/>
              </w:rPr>
              <w:t>167</w:t>
            </w:r>
          </w:p>
        </w:tc>
        <w:tc>
          <w:tcPr>
            <w:tcW w:type="dxa" w:w="1317"/>
          </w:tcPr>
          <w:p>
            <w:pPr>
              <w:keepNext/>
              <w:keepLines/>
            </w:pPr>
            <w:r>
              <w:rPr>
                <w:sz w:val="16"/>
              </w:rPr>
              <w:t>284</w:t>
            </w:r>
          </w:p>
        </w:tc>
        <w:tc>
          <w:tcPr>
            <w:tcW w:type="dxa" w:w="1317"/>
          </w:tcPr>
          <w:p>
            <w:pPr>
              <w:keepNext/>
              <w:keepLines/>
            </w:pPr>
            <w:r>
              <w:rPr>
                <w:sz w:val="16"/>
              </w:rPr>
              <w:t>389</w:t>
            </w:r>
          </w:p>
        </w:tc>
        <w:tc>
          <w:tcPr>
            <w:tcW w:type="dxa" w:w="1317"/>
          </w:tcPr>
          <w:p>
            <w:pPr>
              <w:keepNext/>
              <w:keepLines/>
            </w:pPr>
            <w:r>
              <w:rPr>
                <w:sz w:val="16"/>
              </w:rPr>
              <w:t>502</w:t>
            </w:r>
          </w:p>
        </w:tc>
      </w:tr>
      <w:tr>
        <w:trPr>
          <w:cantSplit/>
        </w:trPr>
        <w:tc>
          <w:tcPr>
            <w:tcW w:type="dxa" w:w="1317"/>
          </w:tcPr>
          <w:p>
            <w:pPr>
              <w:keepNext/>
              <w:keepLines/>
            </w:pPr>
            <w:r>
              <w:rPr>
                <w:sz w:val="16"/>
              </w:rPr>
              <w:t>Revenue growth (derived)</w:t>
            </w:r>
          </w:p>
        </w:tc>
        <w:tc>
          <w:tcPr>
            <w:tcW w:type="dxa" w:w="1317"/>
          </w:tcPr>
          <w:p>
            <w:pPr>
              <w:keepNext/>
              <w:keepLines/>
            </w:pPr>
            <w:r>
              <w:rPr>
                <w:sz w:val="16"/>
              </w:rPr>
              <w:t>–</w:t>
            </w:r>
          </w:p>
        </w:tc>
        <w:tc>
          <w:tcPr>
            <w:tcW w:type="dxa" w:w="1317"/>
          </w:tcPr>
          <w:p>
            <w:pPr>
              <w:keepNext/>
              <w:keepLines/>
            </w:pPr>
            <w:r>
              <w:rPr>
                <w:sz w:val="16"/>
              </w:rPr>
              <w:t>35.2%</w:t>
            </w:r>
          </w:p>
        </w:tc>
        <w:tc>
          <w:tcPr>
            <w:tcW w:type="dxa" w:w="1317"/>
          </w:tcPr>
          <w:p>
            <w:pPr>
              <w:keepNext/>
              <w:keepLines/>
            </w:pPr>
            <w:r>
              <w:rPr>
                <w:sz w:val="16"/>
              </w:rPr>
              <w:t>55.4%</w:t>
            </w:r>
          </w:p>
        </w:tc>
        <w:tc>
          <w:tcPr>
            <w:tcW w:type="dxa" w:w="1317"/>
          </w:tcPr>
          <w:p>
            <w:pPr>
              <w:keepNext/>
              <w:keepLines/>
            </w:pPr>
            <w:r>
              <w:rPr>
                <w:sz w:val="16"/>
              </w:rPr>
              <w:t>115.4%</w:t>
            </w:r>
          </w:p>
        </w:tc>
        <w:tc>
          <w:tcPr>
            <w:tcW w:type="dxa" w:w="1317"/>
          </w:tcPr>
          <w:p>
            <w:pPr>
              <w:keepNext/>
              <w:keepLines/>
            </w:pPr>
            <w:r>
              <w:rPr>
                <w:sz w:val="16"/>
              </w:rPr>
              <w:t>69.9%</w:t>
            </w:r>
          </w:p>
        </w:tc>
        <w:tc>
          <w:tcPr>
            <w:tcW w:type="dxa" w:w="1317"/>
          </w:tcPr>
          <w:p>
            <w:pPr>
              <w:keepNext/>
              <w:keepLines/>
            </w:pPr>
            <w:r>
              <w:rPr>
                <w:sz w:val="16"/>
              </w:rPr>
              <w:t>36.8%</w:t>
            </w:r>
          </w:p>
        </w:tc>
        <w:tc>
          <w:tcPr>
            <w:tcW w:type="dxa" w:w="1317"/>
          </w:tcPr>
          <w:p>
            <w:pPr>
              <w:keepNext/>
              <w:keepLines/>
            </w:pPr>
            <w:r>
              <w:rPr>
                <w:sz w:val="16"/>
              </w:rPr>
              <w:t>29.0%</w:t>
            </w:r>
          </w:p>
        </w:tc>
      </w:tr>
      <w:tr>
        <w:trPr>
          <w:cantSplit/>
        </w:trPr>
        <w:tc>
          <w:tcPr>
            <w:tcW w:type="dxa" w:w="1317"/>
          </w:tcPr>
          <w:p>
            <w:pPr>
              <w:keepNext/>
              <w:keepLines/>
            </w:pPr>
            <w:r>
              <w:rPr>
                <w:sz w:val="16"/>
              </w:rPr>
              <w:t>EBITDA</w:t>
            </w:r>
          </w:p>
        </w:tc>
        <w:tc>
          <w:tcPr>
            <w:tcW w:type="dxa" w:w="1317"/>
          </w:tcPr>
          <w:p>
            <w:pPr>
              <w:keepNext/>
              <w:keepLines/>
            </w:pPr>
            <w:r>
              <w:rPr>
                <w:sz w:val="16"/>
              </w:rPr>
              <w:t>−15.2</w:t>
            </w:r>
          </w:p>
        </w:tc>
        <w:tc>
          <w:tcPr>
            <w:tcW w:type="dxa" w:w="1317"/>
          </w:tcPr>
          <w:p>
            <w:pPr>
              <w:keepNext/>
              <w:keepLines/>
            </w:pPr>
            <w:r>
              <w:rPr>
                <w:sz w:val="16"/>
              </w:rPr>
              <w:t>−22.9</w:t>
            </w:r>
          </w:p>
        </w:tc>
        <w:tc>
          <w:tcPr>
            <w:tcW w:type="dxa" w:w="1317"/>
          </w:tcPr>
          <w:p>
            <w:pPr>
              <w:keepNext/>
              <w:keepLines/>
            </w:pPr>
            <w:r>
              <w:rPr>
                <w:sz w:val="16"/>
              </w:rPr>
              <w:t>−11.3</w:t>
            </w:r>
          </w:p>
        </w:tc>
        <w:tc>
          <w:tcPr>
            <w:tcW w:type="dxa" w:w="1317"/>
          </w:tcPr>
          <w:p>
            <w:pPr>
              <w:keepNext/>
              <w:keepLines/>
            </w:pPr>
            <w:r>
              <w:rPr>
                <w:sz w:val="16"/>
              </w:rPr>
              <w:t>38.8</w:t>
            </w:r>
          </w:p>
        </w:tc>
        <w:tc>
          <w:tcPr>
            <w:tcW w:type="dxa" w:w="1317"/>
          </w:tcPr>
          <w:p>
            <w:pPr>
              <w:keepNext/>
              <w:keepLines/>
            </w:pPr>
            <w:r>
              <w:rPr>
                <w:sz w:val="16"/>
              </w:rPr>
              <w:t>103</w:t>
            </w:r>
          </w:p>
        </w:tc>
        <w:tc>
          <w:tcPr>
            <w:tcW w:type="dxa" w:w="1317"/>
          </w:tcPr>
          <w:p>
            <w:pPr>
              <w:keepNext/>
              <w:keepLines/>
            </w:pPr>
            <w:r>
              <w:rPr>
                <w:sz w:val="16"/>
              </w:rPr>
              <w:t>162</w:t>
            </w:r>
          </w:p>
        </w:tc>
        <w:tc>
          <w:tcPr>
            <w:tcW w:type="dxa" w:w="1317"/>
          </w:tcPr>
          <w:p>
            <w:pPr>
              <w:keepNext/>
              <w:keepLines/>
            </w:pPr>
            <w:r>
              <w:rPr>
                <w:sz w:val="16"/>
              </w:rPr>
              <w:t>225</w:t>
            </w:r>
          </w:p>
        </w:tc>
      </w:tr>
      <w:tr>
        <w:trPr>
          <w:cantSplit/>
        </w:trPr>
        <w:tc>
          <w:tcPr>
            <w:tcW w:type="dxa" w:w="1317"/>
          </w:tcPr>
          <w:p>
            <w:pPr>
              <w:keepNext/>
              <w:keepLines/>
            </w:pPr>
            <w:r>
              <w:rPr>
                <w:sz w:val="16"/>
              </w:rPr>
              <w:t>Stock-based compensation</w:t>
            </w:r>
          </w:p>
        </w:tc>
        <w:tc>
          <w:tcPr>
            <w:tcW w:type="dxa" w:w="1317"/>
          </w:tcPr>
          <w:p>
            <w:pPr>
              <w:keepNext/>
              <w:keepLines/>
            </w:pPr>
            <w:r>
              <w:rPr>
                <w:sz w:val="16"/>
              </w:rPr>
              <w:t>8.2</w:t>
            </w:r>
          </w:p>
        </w:tc>
        <w:tc>
          <w:tcPr>
            <w:tcW w:type="dxa" w:w="1317"/>
          </w:tcPr>
          <w:p>
            <w:pPr>
              <w:keepNext/>
              <w:keepLines/>
            </w:pPr>
            <w:r>
              <w:rPr>
                <w:sz w:val="16"/>
              </w:rPr>
              <w:t>8.0</w:t>
            </w:r>
          </w:p>
        </w:tc>
        <w:tc>
          <w:tcPr>
            <w:tcW w:type="dxa" w:w="1317"/>
          </w:tcPr>
          <w:p>
            <w:pPr>
              <w:keepNext/>
              <w:keepLines/>
            </w:pPr>
            <w:r>
              <w:rPr>
                <w:sz w:val="16"/>
              </w:rPr>
              <w:t>8.0</w:t>
            </w:r>
          </w:p>
        </w:tc>
        <w:tc>
          <w:tcPr>
            <w:tcW w:type="dxa" w:w="1317"/>
          </w:tcPr>
          <w:p>
            <w:pPr>
              <w:keepNext/>
              <w:keepLines/>
            </w:pPr>
            <w:r>
              <w:rPr>
                <w:sz w:val="16"/>
              </w:rPr>
              <w:t>8.0</w:t>
            </w:r>
          </w:p>
        </w:tc>
        <w:tc>
          <w:tcPr>
            <w:tcW w:type="dxa" w:w="1317"/>
          </w:tcPr>
          <w:p>
            <w:pPr>
              <w:keepNext/>
              <w:keepLines/>
            </w:pPr>
            <w:r>
              <w:rPr>
                <w:sz w:val="16"/>
              </w:rPr>
              <w:t>9.9</w:t>
            </w:r>
          </w:p>
        </w:tc>
        <w:tc>
          <w:tcPr>
            <w:tcW w:type="dxa" w:w="1317"/>
          </w:tcPr>
          <w:p>
            <w:pPr>
              <w:keepNext/>
              <w:keepLines/>
            </w:pPr>
            <w:r>
              <w:rPr>
                <w:sz w:val="16"/>
              </w:rPr>
              <w:t>11.9</w:t>
            </w:r>
          </w:p>
        </w:tc>
        <w:tc>
          <w:tcPr>
            <w:tcW w:type="dxa" w:w="1317"/>
          </w:tcPr>
          <w:p>
            <w:pPr>
              <w:keepNext/>
              <w:keepLines/>
            </w:pPr>
            <w:r>
              <w:rPr>
                <w:sz w:val="16"/>
              </w:rPr>
              <w:t>13.8</w:t>
            </w:r>
          </w:p>
        </w:tc>
      </w:tr>
      <w:tr>
        <w:trPr>
          <w:cantSplit/>
        </w:trPr>
        <w:tc>
          <w:tcPr>
            <w:tcW w:type="dxa" w:w="1317"/>
          </w:tcPr>
          <w:p>
            <w:pPr>
              <w:keepNext/>
              <w:keepLines/>
            </w:pPr>
            <w:r>
              <w:rPr>
                <w:sz w:val="16"/>
              </w:rPr>
              <w:t>Interest</w:t>
            </w:r>
          </w:p>
        </w:tc>
        <w:tc>
          <w:tcPr>
            <w:tcW w:type="dxa" w:w="1317"/>
          </w:tcPr>
          <w:p>
            <w:pPr>
              <w:keepNext/>
              <w:keepLines/>
            </w:pPr>
            <w:r>
              <w:rPr>
                <w:sz w:val="16"/>
              </w:rPr>
              <w:t>2.4</w:t>
            </w:r>
          </w:p>
        </w:tc>
        <w:tc>
          <w:tcPr>
            <w:tcW w:type="dxa" w:w="1317"/>
          </w:tcPr>
          <w:p>
            <w:pPr>
              <w:keepNext/>
              <w:keepLines/>
            </w:pPr>
            <w:r>
              <w:rPr>
                <w:sz w:val="16"/>
              </w:rPr>
              <w:t>4.5</w:t>
            </w:r>
          </w:p>
        </w:tc>
        <w:tc>
          <w:tcPr>
            <w:tcW w:type="dxa" w:w="1317"/>
          </w:tcPr>
          <w:p>
            <w:pPr>
              <w:keepNext/>
              <w:keepLines/>
            </w:pPr>
            <w:r>
              <w:rPr>
                <w:sz w:val="16"/>
              </w:rPr>
              <w:t>9.1</w:t>
            </w:r>
          </w:p>
        </w:tc>
        <w:tc>
          <w:tcPr>
            <w:tcW w:type="dxa" w:w="1317"/>
          </w:tcPr>
          <w:p>
            <w:pPr>
              <w:keepNext/>
              <w:keepLines/>
            </w:pPr>
            <w:r>
              <w:rPr>
                <w:sz w:val="16"/>
              </w:rPr>
              <w:t>9.1</w:t>
            </w:r>
          </w:p>
        </w:tc>
        <w:tc>
          <w:tcPr>
            <w:tcW w:type="dxa" w:w="1317"/>
          </w:tcPr>
          <w:p>
            <w:pPr>
              <w:keepNext/>
              <w:keepLines/>
            </w:pPr>
            <w:r>
              <w:rPr>
                <w:sz w:val="16"/>
              </w:rPr>
              <w:t>8.3</w:t>
            </w:r>
          </w:p>
        </w:tc>
        <w:tc>
          <w:tcPr>
            <w:tcW w:type="dxa" w:w="1317"/>
          </w:tcPr>
          <w:p>
            <w:pPr>
              <w:keepNext/>
              <w:keepLines/>
            </w:pPr>
            <w:r>
              <w:rPr>
                <w:sz w:val="16"/>
              </w:rPr>
              <w:t>18.9</w:t>
            </w:r>
          </w:p>
        </w:tc>
        <w:tc>
          <w:tcPr>
            <w:tcW w:type="dxa" w:w="1317"/>
          </w:tcPr>
          <w:p>
            <w:pPr>
              <w:keepNext/>
              <w:keepLines/>
            </w:pPr>
            <w:r>
              <w:rPr>
                <w:sz w:val="16"/>
              </w:rPr>
              <w:t>29.7</w:t>
            </w:r>
          </w:p>
        </w:tc>
      </w:tr>
      <w:tr>
        <w:trPr>
          <w:cantSplit/>
        </w:trPr>
        <w:tc>
          <w:tcPr>
            <w:tcW w:type="dxa" w:w="1317"/>
          </w:tcPr>
          <w:p>
            <w:pPr>
              <w:keepNext/>
              <w:keepLines/>
            </w:pPr>
            <w:r>
              <w:rPr>
                <w:sz w:val="16"/>
              </w:rPr>
              <w:t>Cash Taxes</w:t>
            </w:r>
          </w:p>
        </w:tc>
        <w:tc>
          <w:tcPr>
            <w:tcW w:type="dxa" w:w="1317"/>
          </w:tcPr>
          <w:p>
            <w:pPr>
              <w:keepNext/>
              <w:keepLines/>
            </w:pPr>
            <w:r>
              <w:rPr>
                <w:sz w:val="16"/>
              </w:rPr>
              <w:t>0.1</w:t>
            </w:r>
          </w:p>
        </w:tc>
        <w:tc>
          <w:tcPr>
            <w:tcW w:type="dxa" w:w="1317"/>
          </w:tcPr>
          <w:p>
            <w:pPr>
              <w:keepNext/>
              <w:keepLines/>
            </w:pPr>
            <w:r>
              <w:rPr>
                <w:sz w:val="16"/>
              </w:rPr>
              <w:t>0.0</w:t>
            </w:r>
          </w:p>
        </w:tc>
        <w:tc>
          <w:tcPr>
            <w:tcW w:type="dxa" w:w="1317"/>
          </w:tcPr>
          <w:p>
            <w:pPr>
              <w:keepNext/>
              <w:keepLines/>
            </w:pPr>
            <w:r>
              <w:rPr>
                <w:sz w:val="16"/>
              </w:rPr>
              <w:t>0.0</w:t>
            </w:r>
          </w:p>
        </w:tc>
        <w:tc>
          <w:tcPr>
            <w:tcW w:type="dxa" w:w="1317"/>
          </w:tcPr>
          <w:p>
            <w:pPr>
              <w:keepNext/>
              <w:keepLines/>
            </w:pPr>
            <w:r>
              <w:rPr>
                <w:sz w:val="16"/>
              </w:rPr>
              <w:t>0.0</w:t>
            </w:r>
          </w:p>
        </w:tc>
        <w:tc>
          <w:tcPr>
            <w:tcW w:type="dxa" w:w="1317"/>
          </w:tcPr>
          <w:p>
            <w:pPr>
              <w:keepNext/>
              <w:keepLines/>
            </w:pPr>
            <w:r>
              <w:rPr>
                <w:sz w:val="16"/>
              </w:rPr>
              <w:t>0.0</w:t>
            </w:r>
          </w:p>
        </w:tc>
        <w:tc>
          <w:tcPr>
            <w:tcW w:type="dxa" w:w="1317"/>
          </w:tcPr>
          <w:p>
            <w:pPr>
              <w:keepNext/>
              <w:keepLines/>
            </w:pPr>
            <w:r>
              <w:rPr>
                <w:sz w:val="16"/>
              </w:rPr>
              <w:t>0.0</w:t>
            </w:r>
          </w:p>
        </w:tc>
        <w:tc>
          <w:tcPr>
            <w:tcW w:type="dxa" w:w="1317"/>
          </w:tcPr>
          <w:p>
            <w:pPr>
              <w:keepNext/>
              <w:keepLines/>
            </w:pPr>
            <w:r>
              <w:rPr>
                <w:sz w:val="16"/>
              </w:rPr>
              <w:t>13.4</w:t>
            </w:r>
          </w:p>
        </w:tc>
      </w:tr>
      <w:tr>
        <w:trPr>
          <w:cantSplit/>
        </w:trPr>
        <w:tc>
          <w:tcPr>
            <w:tcW w:type="dxa" w:w="1317"/>
          </w:tcPr>
          <w:p>
            <w:pPr>
              <w:keepNext/>
              <w:keepLines/>
            </w:pPr>
            <w:r>
              <w:rPr>
                <w:sz w:val="16"/>
              </w:rPr>
              <w:t>Capex</w:t>
            </w:r>
          </w:p>
        </w:tc>
        <w:tc>
          <w:tcPr>
            <w:tcW w:type="dxa" w:w="1317"/>
          </w:tcPr>
          <w:p>
            <w:pPr>
              <w:keepNext/>
              <w:keepLines/>
            </w:pPr>
            <w:r>
              <w:rPr>
                <w:sz w:val="16"/>
              </w:rPr>
              <w:t>0.5</w:t>
            </w:r>
          </w:p>
        </w:tc>
        <w:tc>
          <w:tcPr>
            <w:tcW w:type="dxa" w:w="1317"/>
          </w:tcPr>
          <w:p>
            <w:pPr>
              <w:keepNext/>
              <w:keepLines/>
            </w:pPr>
            <w:r>
              <w:rPr>
                <w:sz w:val="16"/>
              </w:rPr>
              <w:t>1.8</w:t>
            </w:r>
          </w:p>
        </w:tc>
        <w:tc>
          <w:tcPr>
            <w:tcW w:type="dxa" w:w="1317"/>
          </w:tcPr>
          <w:p>
            <w:pPr>
              <w:keepNext/>
              <w:keepLines/>
            </w:pPr>
            <w:r>
              <w:rPr>
                <w:sz w:val="16"/>
              </w:rPr>
              <w:t>4.5</w:t>
            </w:r>
          </w:p>
        </w:tc>
        <w:tc>
          <w:tcPr>
            <w:tcW w:type="dxa" w:w="1317"/>
          </w:tcPr>
          <w:p>
            <w:pPr>
              <w:keepNext/>
              <w:keepLines/>
            </w:pPr>
            <w:r>
              <w:rPr>
                <w:sz w:val="16"/>
              </w:rPr>
              <w:t>13.1</w:t>
            </w:r>
          </w:p>
        </w:tc>
        <w:tc>
          <w:tcPr>
            <w:tcW w:type="dxa" w:w="1317"/>
          </w:tcPr>
          <w:p>
            <w:pPr>
              <w:keepNext/>
              <w:keepLines/>
            </w:pPr>
            <w:r>
              <w:rPr>
                <w:sz w:val="16"/>
              </w:rPr>
              <w:t>24.4</w:t>
            </w:r>
          </w:p>
        </w:tc>
        <w:tc>
          <w:tcPr>
            <w:tcW w:type="dxa" w:w="1317"/>
          </w:tcPr>
          <w:p>
            <w:pPr>
              <w:keepNext/>
              <w:keepLines/>
            </w:pPr>
            <w:r>
              <w:rPr>
                <w:sz w:val="16"/>
              </w:rPr>
              <w:t>34.6</w:t>
            </w:r>
          </w:p>
        </w:tc>
        <w:tc>
          <w:tcPr>
            <w:tcW w:type="dxa" w:w="1317"/>
          </w:tcPr>
          <w:p>
            <w:pPr>
              <w:keepNext/>
              <w:keepLines/>
            </w:pPr>
            <w:r>
              <w:rPr>
                <w:sz w:val="16"/>
              </w:rPr>
              <w:t>45.5</w:t>
            </w:r>
          </w:p>
        </w:tc>
      </w:tr>
      <w:tr>
        <w:trPr>
          <w:cantSplit/>
        </w:trPr>
        <w:tc>
          <w:tcPr>
            <w:tcW w:type="dxa" w:w="1317"/>
          </w:tcPr>
          <w:p>
            <w:pPr>
              <w:keepNext/>
              <w:keepLines/>
            </w:pPr>
            <w:r>
              <w:rPr>
                <w:sz w:val="16"/>
              </w:rPr>
              <w:t>Debt, Market Value</w:t>
            </w:r>
          </w:p>
        </w:tc>
        <w:tc>
          <w:tcPr>
            <w:tcW w:type="dxa" w:w="1317"/>
          </w:tcPr>
          <w:p>
            <w:pPr>
              <w:keepNext/>
              <w:keepLines/>
            </w:pPr>
            <w:r>
              <w:rPr>
                <w:sz w:val="16"/>
              </w:rPr>
              <w:t>49.1</w:t>
            </w:r>
          </w:p>
        </w:tc>
        <w:tc>
          <w:tcPr>
            <w:tcW w:type="dxa" w:w="1317"/>
          </w:tcPr>
          <w:p>
            <w:pPr>
              <w:keepNext/>
              <w:keepLines/>
            </w:pPr>
            <w:r>
              <w:rPr>
                <w:sz w:val="16"/>
              </w:rPr>
              <w:t>99.1</w:t>
            </w:r>
          </w:p>
        </w:tc>
        <w:tc>
          <w:tcPr>
            <w:tcW w:type="dxa" w:w="1317"/>
          </w:tcPr>
          <w:p>
            <w:pPr>
              <w:keepNext/>
              <w:keepLines/>
            </w:pPr>
            <w:r>
              <w:rPr>
                <w:sz w:val="16"/>
              </w:rPr>
              <w:t>99.1</w:t>
            </w:r>
          </w:p>
        </w:tc>
        <w:tc>
          <w:tcPr>
            <w:tcW w:type="dxa" w:w="1317"/>
          </w:tcPr>
          <w:p>
            <w:pPr>
              <w:keepNext/>
              <w:keepLines/>
            </w:pPr>
            <w:r>
              <w:rPr>
                <w:sz w:val="16"/>
              </w:rPr>
              <w:t>90.6</w:t>
            </w:r>
          </w:p>
        </w:tc>
        <w:tc>
          <w:tcPr>
            <w:tcW w:type="dxa" w:w="1317"/>
          </w:tcPr>
          <w:p>
            <w:pPr>
              <w:keepNext/>
              <w:keepLines/>
            </w:pPr>
            <w:r>
              <w:rPr>
                <w:sz w:val="16"/>
              </w:rPr>
              <w:t>206</w:t>
            </w:r>
          </w:p>
        </w:tc>
        <w:tc>
          <w:tcPr>
            <w:tcW w:type="dxa" w:w="1317"/>
          </w:tcPr>
          <w:p>
            <w:pPr>
              <w:keepNext/>
              <w:keepLines/>
            </w:pPr>
            <w:r>
              <w:rPr>
                <w:sz w:val="16"/>
              </w:rPr>
              <w:t>323</w:t>
            </w:r>
          </w:p>
        </w:tc>
        <w:tc>
          <w:tcPr>
            <w:tcW w:type="dxa" w:w="1317"/>
          </w:tcPr>
          <w:p>
            <w:pPr>
              <w:keepNext/>
              <w:keepLines/>
            </w:pPr>
            <w:r>
              <w:rPr>
                <w:sz w:val="16"/>
              </w:rPr>
              <w:t>450</w:t>
            </w:r>
          </w:p>
        </w:tc>
      </w:tr>
      <w:tr>
        <w:trPr>
          <w:cantSplit/>
        </w:trPr>
        <w:tc>
          <w:tcPr>
            <w:tcW w:type="dxa" w:w="1317"/>
          </w:tcPr>
          <w:p>
            <w:pPr>
              <w:keepNext/>
              <w:keepLines/>
            </w:pPr>
            <w:r>
              <w:rPr>
                <w:sz w:val="16"/>
              </w:rPr>
              <w:t>FCFE</w:t>
            </w:r>
          </w:p>
        </w:tc>
        <w:tc>
          <w:tcPr>
            <w:tcW w:type="dxa" w:w="1317"/>
          </w:tcPr>
          <w:p>
            <w:pPr>
              <w:keepNext/>
              <w:keepLines/>
            </w:pPr>
            <w:r>
              <w:rPr>
                <w:sz w:val="16"/>
              </w:rPr>
              <w:t>−26.3</w:t>
            </w:r>
          </w:p>
        </w:tc>
        <w:tc>
          <w:tcPr>
            <w:tcW w:type="dxa" w:w="1317"/>
          </w:tcPr>
          <w:p>
            <w:pPr>
              <w:keepNext/>
              <w:keepLines/>
            </w:pPr>
            <w:r>
              <w:rPr>
                <w:sz w:val="16"/>
              </w:rPr>
              <w:t>12.8</w:t>
            </w:r>
          </w:p>
        </w:tc>
        <w:tc>
          <w:tcPr>
            <w:tcW w:type="dxa" w:w="1317"/>
          </w:tcPr>
          <w:p>
            <w:pPr>
              <w:keepNext/>
              <w:keepLines/>
            </w:pPr>
            <w:r>
              <w:rPr>
                <w:sz w:val="16"/>
              </w:rPr>
              <w:t>−32.9</w:t>
            </w:r>
          </w:p>
        </w:tc>
        <w:tc>
          <w:tcPr>
            <w:tcW w:type="dxa" w:w="1317"/>
          </w:tcPr>
          <w:p>
            <w:pPr>
              <w:keepNext/>
              <w:keepLines/>
            </w:pPr>
            <w:r>
              <w:rPr>
                <w:sz w:val="16"/>
              </w:rPr>
              <w:t>0.0</w:t>
            </w:r>
          </w:p>
        </w:tc>
        <w:tc>
          <w:tcPr>
            <w:tcW w:type="dxa" w:w="1317"/>
          </w:tcPr>
          <w:p>
            <w:pPr>
              <w:keepNext/>
              <w:keepLines/>
            </w:pPr>
            <w:r>
              <w:rPr>
                <w:sz w:val="16"/>
              </w:rPr>
              <w:t>176</w:t>
            </w:r>
          </w:p>
        </w:tc>
        <w:tc>
          <w:tcPr>
            <w:tcW w:type="dxa" w:w="1317"/>
          </w:tcPr>
          <w:p>
            <w:pPr>
              <w:keepNext/>
              <w:keepLines/>
            </w:pPr>
            <w:r>
              <w:rPr>
                <w:sz w:val="16"/>
              </w:rPr>
              <w:t>213</w:t>
            </w:r>
          </w:p>
        </w:tc>
        <w:tc>
          <w:tcPr>
            <w:tcW w:type="dxa" w:w="1317"/>
          </w:tcPr>
          <w:p>
            <w:pPr>
              <w:keepNext/>
              <w:keepLines/>
            </w:pPr>
            <w:r>
              <w:rPr>
                <w:sz w:val="16"/>
              </w:rPr>
              <w:t>249</w:t>
            </w:r>
          </w:p>
        </w:tc>
      </w:tr>
      <w:tr>
        <w:trPr>
          <w:cantSplit/>
        </w:trPr>
        <w:tc>
          <w:tcPr>
            <w:tcW w:type="dxa" w:w="1317"/>
          </w:tcPr>
          <w:p>
            <w:pPr>
              <w:keepNext/>
              <w:keepLines/>
            </w:pPr>
            <w:r>
              <w:rPr>
                <w:sz w:val="16"/>
              </w:rPr>
              <w:t>Equity, Intrinsic Value</w:t>
            </w:r>
          </w:p>
        </w:tc>
        <w:tc>
          <w:tcPr>
            <w:tcW w:type="dxa" w:w="1317"/>
          </w:tcPr>
          <w:p>
            <w:pPr>
              <w:keepNext/>
              <w:keepLines/>
            </w:pPr>
            <w:r>
              <w:rPr>
                <w:sz w:val="16"/>
              </w:rPr>
              <w:t>2,649</w:t>
            </w:r>
          </w:p>
        </w:tc>
        <w:tc>
          <w:tcPr>
            <w:tcW w:type="dxa" w:w="1317"/>
          </w:tcPr>
          <w:p>
            <w:pPr>
              <w:keepNext/>
              <w:keepLines/>
            </w:pPr>
            <w:r>
              <w:rPr>
                <w:sz w:val="16"/>
              </w:rPr>
              <w:t>2,913</w:t>
            </w:r>
          </w:p>
        </w:tc>
        <w:tc>
          <w:tcPr>
            <w:tcW w:type="dxa" w:w="1317"/>
          </w:tcPr>
          <w:p>
            <w:pPr>
              <w:keepNext/>
              <w:keepLines/>
            </w:pPr>
            <w:r>
              <w:rPr>
                <w:sz w:val="16"/>
              </w:rPr>
              <w:t>3,251</w:t>
            </w:r>
          </w:p>
        </w:tc>
        <w:tc>
          <w:tcPr>
            <w:tcW w:type="dxa" w:w="1317"/>
          </w:tcPr>
          <w:p>
            <w:pPr>
              <w:keepNext/>
              <w:keepLines/>
            </w:pPr>
            <w:r>
              <w:rPr>
                <w:sz w:val="16"/>
              </w:rPr>
              <w:t>3,591</w:t>
            </w:r>
          </w:p>
        </w:tc>
        <w:tc>
          <w:tcPr>
            <w:tcW w:type="dxa" w:w="1317"/>
          </w:tcPr>
          <w:p>
            <w:pPr>
              <w:keepNext/>
              <w:keepLines/>
            </w:pPr>
            <w:r>
              <w:rPr>
                <w:sz w:val="16"/>
              </w:rPr>
              <w:t>3,790</w:t>
            </w:r>
          </w:p>
        </w:tc>
        <w:tc>
          <w:tcPr>
            <w:tcW w:type="dxa" w:w="1317"/>
          </w:tcPr>
          <w:p>
            <w:pPr>
              <w:keepNext/>
              <w:keepLines/>
            </w:pPr>
            <w:r>
              <w:rPr>
                <w:sz w:val="16"/>
              </w:rPr>
              <w:t>3,973</w:t>
            </w:r>
          </w:p>
        </w:tc>
        <w:tc>
          <w:tcPr>
            <w:tcW w:type="dxa" w:w="1317"/>
          </w:tcPr>
          <w:p>
            <w:pPr>
              <w:keepNext/>
              <w:keepLines/>
            </w:pPr>
            <w:r>
              <w:rPr>
                <w:sz w:val="16"/>
              </w:rPr>
              <w:t>4,139</w:t>
            </w:r>
          </w:p>
        </w:tc>
      </w:tr>
      <w:tr>
        <w:trPr>
          <w:cantSplit/>
        </w:trPr>
        <w:tc>
          <w:tcPr>
            <w:tcW w:type="dxa" w:w="1317"/>
          </w:tcPr>
          <w:p>
            <w:pPr>
              <w:keepNext/>
              <w:keepLines/>
            </w:pPr>
            <w:r>
              <w:rPr>
                <w:sz w:val="16"/>
              </w:rPr>
              <w:t>Cash</w:t>
            </w:r>
          </w:p>
        </w:tc>
        <w:tc>
          <w:tcPr>
            <w:tcW w:type="dxa" w:w="1317"/>
          </w:tcPr>
          <w:p>
            <w:pPr>
              <w:keepNext/>
              <w:keepLines/>
            </w:pPr>
            <w:r>
              <w:rPr>
                <w:sz w:val="16"/>
              </w:rPr>
              <w:t>45.9</w:t>
            </w:r>
          </w:p>
        </w:tc>
        <w:tc>
          <w:tcPr>
            <w:tcW w:type="dxa" w:w="1317"/>
          </w:tcPr>
          <w:p>
            <w:pPr>
              <w:keepNext/>
              <w:keepLines/>
            </w:pPr>
            <w:r>
              <w:rPr>
                <w:sz w:val="16"/>
              </w:rPr>
              <w:t>58.7</w:t>
            </w:r>
          </w:p>
        </w:tc>
        <w:tc>
          <w:tcPr>
            <w:tcW w:type="dxa" w:w="1317"/>
          </w:tcPr>
          <w:p>
            <w:pPr>
              <w:keepNext/>
              <w:keepLines/>
            </w:pPr>
            <w:r>
              <w:rPr>
                <w:sz w:val="16"/>
              </w:rPr>
              <w:t>25.8</w:t>
            </w:r>
          </w:p>
        </w:tc>
        <w:tc>
          <w:tcPr>
            <w:tcW w:type="dxa" w:w="1317"/>
          </w:tcPr>
          <w:p>
            <w:pPr>
              <w:keepNext/>
              <w:keepLines/>
            </w:pPr>
            <w:r>
              <w:rPr>
                <w:sz w:val="16"/>
              </w:rPr>
              <w:t>25.8</w:t>
            </w:r>
          </w:p>
        </w:tc>
        <w:tc>
          <w:tcPr>
            <w:tcW w:type="dxa" w:w="1317"/>
          </w:tcPr>
          <w:p>
            <w:pPr>
              <w:keepNext/>
              <w:keepLines/>
            </w:pPr>
            <w:r>
              <w:rPr>
                <w:sz w:val="16"/>
              </w:rPr>
              <w:t>201</w:t>
            </w:r>
          </w:p>
        </w:tc>
        <w:tc>
          <w:tcPr>
            <w:tcW w:type="dxa" w:w="1317"/>
          </w:tcPr>
          <w:p>
            <w:pPr>
              <w:keepNext/>
              <w:keepLines/>
            </w:pPr>
            <w:r>
              <w:rPr>
                <w:sz w:val="16"/>
              </w:rPr>
              <w:t>415</w:t>
            </w:r>
          </w:p>
        </w:tc>
        <w:tc>
          <w:tcPr>
            <w:tcW w:type="dxa" w:w="1317"/>
          </w:tcPr>
          <w:p>
            <w:pPr>
              <w:keepNext/>
              <w:keepLines/>
            </w:pPr>
            <w:r>
              <w:rPr>
                <w:sz w:val="16"/>
              </w:rPr>
              <w:t>664</w:t>
            </w:r>
          </w:p>
        </w:tc>
      </w:tr>
      <w:tr>
        <w:trPr>
          <w:cantSplit/>
        </w:trPr>
        <w:tc>
          <w:tcPr>
            <w:tcW w:type="dxa" w:w="1317"/>
          </w:tcPr>
          <w:p>
            <w:r>
              <w:rPr>
                <w:sz w:val="16"/>
              </w:rPr>
              <w:t>Intrinsic Value per Share (US$)</w:t>
            </w:r>
          </w:p>
        </w:tc>
        <w:tc>
          <w:tcPr>
            <w:tcW w:type="dxa" w:w="1317"/>
          </w:tcPr>
          <w:p>
            <w:r>
              <w:rPr>
                <w:sz w:val="16"/>
              </w:rPr>
              <w:t>88.36</w:t>
            </w:r>
          </w:p>
        </w:tc>
        <w:tc>
          <w:tcPr>
            <w:tcW w:type="dxa" w:w="1317"/>
          </w:tcPr>
          <w:p>
            <w:r>
              <w:rPr>
                <w:sz w:val="16"/>
              </w:rPr>
              <w:t>95.51</w:t>
            </w:r>
          </w:p>
        </w:tc>
        <w:tc>
          <w:tcPr>
            <w:tcW w:type="dxa" w:w="1317"/>
          </w:tcPr>
          <w:p>
            <w:r>
              <w:rPr>
                <w:sz w:val="16"/>
              </w:rPr>
              <w:t>106.57</w:t>
            </w:r>
          </w:p>
        </w:tc>
        <w:tc>
          <w:tcPr>
            <w:tcW w:type="dxa" w:w="1317"/>
          </w:tcPr>
          <w:p>
            <w:r>
              <w:rPr>
                <w:sz w:val="16"/>
              </w:rPr>
              <w:t>117.71</w:t>
            </w:r>
          </w:p>
        </w:tc>
        <w:tc>
          <w:tcPr>
            <w:tcW w:type="dxa" w:w="1317"/>
          </w:tcPr>
          <w:p>
            <w:r>
              <w:rPr>
                <w:sz w:val="16"/>
              </w:rPr>
              <w:t>124.26</w:t>
            </w:r>
          </w:p>
        </w:tc>
        <w:tc>
          <w:tcPr>
            <w:tcW w:type="dxa" w:w="1317"/>
          </w:tcPr>
          <w:p>
            <w:r>
              <w:rPr>
                <w:sz w:val="16"/>
              </w:rPr>
              <w:t>130.25</w:t>
            </w:r>
          </w:p>
        </w:tc>
        <w:tc>
          <w:tcPr>
            <w:tcW w:type="dxa" w:w="1317"/>
          </w:tcPr>
          <w:p>
            <w:r>
              <w:rPr>
                <w:sz w:val="16"/>
              </w:rPr>
              <w:t>135.69</w:t>
            </w:r>
          </w:p>
        </w:tc>
      </w:tr>
    </w:tbl>
    <w:p/>
    <w:tbl>
      <w:tblPr>
        <w:tblStyle w:val="TableGrid"/>
        <w:tblW w:type="auto" w:w="0"/>
        <w:tblLook w:firstColumn="1" w:firstRow="1" w:lastColumn="0" w:lastRow="0" w:noHBand="0" w:noVBand="1" w:val="04A0"/>
      </w:tblPr>
      <w:tblGrid>
        <w:gridCol w:w="1054"/>
        <w:gridCol w:w="1054"/>
        <w:gridCol w:w="1054"/>
        <w:gridCol w:w="1054"/>
        <w:gridCol w:w="1054"/>
        <w:gridCol w:w="1054"/>
        <w:gridCol w:w="1054"/>
        <w:gridCol w:w="1054"/>
        <w:gridCol w:w="1054"/>
        <w:gridCol w:w="1054"/>
      </w:tblGrid>
      <w:tr>
        <w:trPr>
          <w:cantSplit/>
          <w:tblHeader/>
        </w:trPr>
        <w:tc>
          <w:tcPr>
            <w:tcW w:type="dxa" w:w="1054"/>
          </w:tcPr>
          <w:p>
            <w:pPr>
              <w:keepNext/>
              <w:keepLines/>
            </w:pPr>
            <w:r>
              <w:rPr>
                <w:b/>
                <w:sz w:val="14"/>
              </w:rPr>
              <w:t>US$M</w:t>
            </w:r>
          </w:p>
        </w:tc>
        <w:tc>
          <w:tcPr>
            <w:tcW w:type="dxa" w:w="1054"/>
          </w:tcPr>
          <w:p>
            <w:pPr>
              <w:keepNext/>
              <w:keepLines/>
            </w:pPr>
            <w:r>
              <w:rPr>
                <w:b/>
                <w:sz w:val="14"/>
              </w:rPr>
              <w:t>FY2032E</w:t>
            </w:r>
          </w:p>
        </w:tc>
        <w:tc>
          <w:tcPr>
            <w:tcW w:type="dxa" w:w="1054"/>
          </w:tcPr>
          <w:p>
            <w:pPr>
              <w:keepNext/>
              <w:keepLines/>
            </w:pPr>
            <w:r>
              <w:rPr>
                <w:b/>
                <w:sz w:val="14"/>
              </w:rPr>
              <w:t>FY2033E</w:t>
            </w:r>
          </w:p>
        </w:tc>
        <w:tc>
          <w:tcPr>
            <w:tcW w:type="dxa" w:w="1054"/>
          </w:tcPr>
          <w:p>
            <w:pPr>
              <w:keepNext/>
              <w:keepLines/>
            </w:pPr>
            <w:r>
              <w:rPr>
                <w:b/>
                <w:sz w:val="14"/>
              </w:rPr>
              <w:t>FY2034E</w:t>
            </w:r>
          </w:p>
        </w:tc>
        <w:tc>
          <w:tcPr>
            <w:tcW w:type="dxa" w:w="1054"/>
          </w:tcPr>
          <w:p>
            <w:pPr>
              <w:keepNext/>
              <w:keepLines/>
            </w:pPr>
            <w:r>
              <w:rPr>
                <w:b/>
                <w:sz w:val="14"/>
              </w:rPr>
              <w:t>FY2035E</w:t>
            </w:r>
          </w:p>
        </w:tc>
        <w:tc>
          <w:tcPr>
            <w:tcW w:type="dxa" w:w="1054"/>
          </w:tcPr>
          <w:p>
            <w:pPr>
              <w:keepNext/>
              <w:keepLines/>
            </w:pPr>
            <w:r>
              <w:rPr>
                <w:b/>
                <w:sz w:val="14"/>
              </w:rPr>
              <w:t>FY2036E</w:t>
            </w:r>
          </w:p>
        </w:tc>
        <w:tc>
          <w:tcPr>
            <w:tcW w:type="dxa" w:w="1054"/>
          </w:tcPr>
          <w:p>
            <w:pPr>
              <w:keepNext/>
              <w:keepLines/>
            </w:pPr>
            <w:r>
              <w:rPr>
                <w:b/>
                <w:sz w:val="14"/>
              </w:rPr>
              <w:t>FY2037E</w:t>
            </w:r>
          </w:p>
        </w:tc>
        <w:tc>
          <w:tcPr>
            <w:tcW w:type="dxa" w:w="1054"/>
          </w:tcPr>
          <w:p>
            <w:pPr>
              <w:keepNext/>
              <w:keepLines/>
            </w:pPr>
            <w:r>
              <w:rPr>
                <w:b/>
                <w:sz w:val="14"/>
              </w:rPr>
              <w:t>FY2038E</w:t>
            </w:r>
          </w:p>
        </w:tc>
        <w:tc>
          <w:tcPr>
            <w:tcW w:type="dxa" w:w="1054"/>
          </w:tcPr>
          <w:p>
            <w:pPr>
              <w:keepNext/>
              <w:keepLines/>
            </w:pPr>
            <w:r>
              <w:rPr>
                <w:b/>
                <w:sz w:val="14"/>
              </w:rPr>
              <w:t>FY2039E</w:t>
            </w:r>
          </w:p>
        </w:tc>
        <w:tc>
          <w:tcPr>
            <w:tcW w:type="dxa" w:w="1054"/>
          </w:tcPr>
          <w:p>
            <w:pPr>
              <w:keepNext/>
              <w:keepLines/>
            </w:pPr>
            <w:r>
              <w:rPr>
                <w:b/>
                <w:sz w:val="14"/>
              </w:rPr>
              <w:t>FY2040E</w:t>
            </w:r>
          </w:p>
        </w:tc>
      </w:tr>
      <w:tr>
        <w:trPr>
          <w:cantSplit/>
        </w:trPr>
        <w:tc>
          <w:tcPr>
            <w:tcW w:type="dxa" w:w="1054"/>
          </w:tcPr>
          <w:p>
            <w:pPr>
              <w:keepNext/>
              <w:keepLines/>
            </w:pPr>
            <w:r>
              <w:rPr>
                <w:sz w:val="14"/>
              </w:rPr>
              <w:t>Revenue</w:t>
            </w:r>
          </w:p>
        </w:tc>
        <w:tc>
          <w:tcPr>
            <w:tcW w:type="dxa" w:w="1054"/>
          </w:tcPr>
          <w:p>
            <w:pPr>
              <w:keepNext/>
              <w:keepLines/>
            </w:pPr>
            <w:r>
              <w:rPr>
                <w:sz w:val="14"/>
              </w:rPr>
              <w:t>577</w:t>
            </w:r>
          </w:p>
        </w:tc>
        <w:tc>
          <w:tcPr>
            <w:tcW w:type="dxa" w:w="1054"/>
          </w:tcPr>
          <w:p>
            <w:pPr>
              <w:keepNext/>
              <w:keepLines/>
            </w:pPr>
            <w:r>
              <w:rPr>
                <w:sz w:val="14"/>
              </w:rPr>
              <w:t>658</w:t>
            </w:r>
          </w:p>
        </w:tc>
        <w:tc>
          <w:tcPr>
            <w:tcW w:type="dxa" w:w="1054"/>
          </w:tcPr>
          <w:p>
            <w:pPr>
              <w:keepNext/>
              <w:keepLines/>
            </w:pPr>
            <w:r>
              <w:rPr>
                <w:sz w:val="14"/>
              </w:rPr>
              <w:t>742</w:t>
            </w:r>
          </w:p>
        </w:tc>
        <w:tc>
          <w:tcPr>
            <w:tcW w:type="dxa" w:w="1054"/>
          </w:tcPr>
          <w:p>
            <w:pPr>
              <w:keepNext/>
              <w:keepLines/>
            </w:pPr>
            <w:r>
              <w:rPr>
                <w:sz w:val="14"/>
              </w:rPr>
              <w:t>828</w:t>
            </w:r>
          </w:p>
        </w:tc>
        <w:tc>
          <w:tcPr>
            <w:tcW w:type="dxa" w:w="1054"/>
          </w:tcPr>
          <w:p>
            <w:pPr>
              <w:keepNext/>
              <w:keepLines/>
            </w:pPr>
            <w:r>
              <w:rPr>
                <w:sz w:val="14"/>
              </w:rPr>
              <w:t>915</w:t>
            </w:r>
          </w:p>
        </w:tc>
        <w:tc>
          <w:tcPr>
            <w:tcW w:type="dxa" w:w="1054"/>
          </w:tcPr>
          <w:p>
            <w:pPr>
              <w:keepNext/>
              <w:keepLines/>
            </w:pPr>
            <w:r>
              <w:rPr>
                <w:sz w:val="14"/>
              </w:rPr>
              <w:t>1,001</w:t>
            </w:r>
          </w:p>
        </w:tc>
        <w:tc>
          <w:tcPr>
            <w:tcW w:type="dxa" w:w="1054"/>
          </w:tcPr>
          <w:p>
            <w:pPr>
              <w:keepNext/>
              <w:keepLines/>
            </w:pPr>
            <w:r>
              <w:rPr>
                <w:sz w:val="14"/>
              </w:rPr>
              <w:t>1,085</w:t>
            </w:r>
          </w:p>
        </w:tc>
        <w:tc>
          <w:tcPr>
            <w:tcW w:type="dxa" w:w="1054"/>
          </w:tcPr>
          <w:p>
            <w:pPr>
              <w:keepNext/>
              <w:keepLines/>
            </w:pPr>
            <w:r>
              <w:rPr>
                <w:sz w:val="14"/>
              </w:rPr>
              <w:t>1,163</w:t>
            </w:r>
          </w:p>
        </w:tc>
        <w:tc>
          <w:tcPr>
            <w:tcW w:type="dxa" w:w="1054"/>
          </w:tcPr>
          <w:p>
            <w:pPr>
              <w:keepNext/>
              <w:keepLines/>
            </w:pPr>
            <w:r>
              <w:rPr>
                <w:sz w:val="14"/>
              </w:rPr>
              <w:t>1,233</w:t>
            </w:r>
          </w:p>
        </w:tc>
      </w:tr>
      <w:tr>
        <w:trPr>
          <w:cantSplit/>
        </w:trPr>
        <w:tc>
          <w:tcPr>
            <w:tcW w:type="dxa" w:w="1054"/>
          </w:tcPr>
          <w:p>
            <w:pPr>
              <w:keepNext/>
              <w:keepLines/>
            </w:pPr>
            <w:r>
              <w:rPr>
                <w:sz w:val="14"/>
              </w:rPr>
              <w:t>Revenue growth (derived)</w:t>
            </w:r>
          </w:p>
        </w:tc>
        <w:tc>
          <w:tcPr>
            <w:tcW w:type="dxa" w:w="1054"/>
          </w:tcPr>
          <w:p>
            <w:pPr>
              <w:keepNext/>
              <w:keepLines/>
            </w:pPr>
            <w:r>
              <w:rPr>
                <w:sz w:val="14"/>
              </w:rPr>
              <w:t>15.0%</w:t>
            </w:r>
          </w:p>
        </w:tc>
        <w:tc>
          <w:tcPr>
            <w:tcW w:type="dxa" w:w="1054"/>
          </w:tcPr>
          <w:p>
            <w:pPr>
              <w:keepNext/>
              <w:keepLines/>
            </w:pPr>
            <w:r>
              <w:rPr>
                <w:sz w:val="14"/>
              </w:rPr>
              <w:t>13.9%</w:t>
            </w:r>
          </w:p>
        </w:tc>
        <w:tc>
          <w:tcPr>
            <w:tcW w:type="dxa" w:w="1054"/>
          </w:tcPr>
          <w:p>
            <w:pPr>
              <w:keepNext/>
              <w:keepLines/>
            </w:pPr>
            <w:r>
              <w:rPr>
                <w:sz w:val="14"/>
              </w:rPr>
              <w:t>12.8%</w:t>
            </w:r>
          </w:p>
        </w:tc>
        <w:tc>
          <w:tcPr>
            <w:tcW w:type="dxa" w:w="1054"/>
          </w:tcPr>
          <w:p>
            <w:pPr>
              <w:keepNext/>
              <w:keepLines/>
            </w:pPr>
            <w:r>
              <w:rPr>
                <w:sz w:val="14"/>
              </w:rPr>
              <w:t>11.7%</w:t>
            </w:r>
          </w:p>
        </w:tc>
        <w:tc>
          <w:tcPr>
            <w:tcW w:type="dxa" w:w="1054"/>
          </w:tcPr>
          <w:p>
            <w:pPr>
              <w:keepNext/>
              <w:keepLines/>
            </w:pPr>
            <w:r>
              <w:rPr>
                <w:sz w:val="14"/>
              </w:rPr>
              <w:t>10.5%</w:t>
            </w:r>
          </w:p>
        </w:tc>
        <w:tc>
          <w:tcPr>
            <w:tcW w:type="dxa" w:w="1054"/>
          </w:tcPr>
          <w:p>
            <w:pPr>
              <w:keepNext/>
              <w:keepLines/>
            </w:pPr>
            <w:r>
              <w:rPr>
                <w:sz w:val="14"/>
              </w:rPr>
              <w:t>9.4%</w:t>
            </w:r>
          </w:p>
        </w:tc>
        <w:tc>
          <w:tcPr>
            <w:tcW w:type="dxa" w:w="1054"/>
          </w:tcPr>
          <w:p>
            <w:pPr>
              <w:keepNext/>
              <w:keepLines/>
            </w:pPr>
            <w:r>
              <w:rPr>
                <w:sz w:val="14"/>
              </w:rPr>
              <w:t>8.3%</w:t>
            </w:r>
          </w:p>
        </w:tc>
        <w:tc>
          <w:tcPr>
            <w:tcW w:type="dxa" w:w="1054"/>
          </w:tcPr>
          <w:p>
            <w:pPr>
              <w:keepNext/>
              <w:keepLines/>
            </w:pPr>
            <w:r>
              <w:rPr>
                <w:sz w:val="14"/>
              </w:rPr>
              <w:t>7.2%</w:t>
            </w:r>
          </w:p>
        </w:tc>
        <w:tc>
          <w:tcPr>
            <w:tcW w:type="dxa" w:w="1054"/>
          </w:tcPr>
          <w:p>
            <w:pPr>
              <w:keepNext/>
              <w:keepLines/>
            </w:pPr>
            <w:r>
              <w:rPr>
                <w:sz w:val="14"/>
              </w:rPr>
              <w:t>6.1%</w:t>
            </w:r>
          </w:p>
        </w:tc>
      </w:tr>
      <w:tr>
        <w:trPr>
          <w:cantSplit/>
        </w:trPr>
        <w:tc>
          <w:tcPr>
            <w:tcW w:type="dxa" w:w="1054"/>
          </w:tcPr>
          <w:p>
            <w:pPr>
              <w:keepNext/>
              <w:keepLines/>
            </w:pPr>
            <w:r>
              <w:rPr>
                <w:sz w:val="14"/>
              </w:rPr>
              <w:t>EBITDA</w:t>
            </w:r>
          </w:p>
        </w:tc>
        <w:tc>
          <w:tcPr>
            <w:tcW w:type="dxa" w:w="1054"/>
          </w:tcPr>
          <w:p>
            <w:pPr>
              <w:keepNext/>
              <w:keepLines/>
            </w:pPr>
            <w:r>
              <w:rPr>
                <w:sz w:val="14"/>
              </w:rPr>
              <w:t>266</w:t>
            </w:r>
          </w:p>
        </w:tc>
        <w:tc>
          <w:tcPr>
            <w:tcW w:type="dxa" w:w="1054"/>
          </w:tcPr>
          <w:p>
            <w:pPr>
              <w:keepNext/>
              <w:keepLines/>
            </w:pPr>
            <w:r>
              <w:rPr>
                <w:sz w:val="14"/>
              </w:rPr>
              <w:t>310</w:t>
            </w:r>
          </w:p>
        </w:tc>
        <w:tc>
          <w:tcPr>
            <w:tcW w:type="dxa" w:w="1054"/>
          </w:tcPr>
          <w:p>
            <w:pPr>
              <w:keepNext/>
              <w:keepLines/>
            </w:pPr>
            <w:r>
              <w:rPr>
                <w:sz w:val="14"/>
              </w:rPr>
              <w:t>357</w:t>
            </w:r>
          </w:p>
        </w:tc>
        <w:tc>
          <w:tcPr>
            <w:tcW w:type="dxa" w:w="1054"/>
          </w:tcPr>
          <w:p>
            <w:pPr>
              <w:keepNext/>
              <w:keepLines/>
            </w:pPr>
            <w:r>
              <w:rPr>
                <w:sz w:val="14"/>
              </w:rPr>
              <w:t>404</w:t>
            </w:r>
          </w:p>
        </w:tc>
        <w:tc>
          <w:tcPr>
            <w:tcW w:type="dxa" w:w="1054"/>
          </w:tcPr>
          <w:p>
            <w:pPr>
              <w:keepNext/>
              <w:keepLines/>
            </w:pPr>
            <w:r>
              <w:rPr>
                <w:sz w:val="14"/>
              </w:rPr>
              <w:t>452</w:t>
            </w:r>
          </w:p>
        </w:tc>
        <w:tc>
          <w:tcPr>
            <w:tcW w:type="dxa" w:w="1054"/>
          </w:tcPr>
          <w:p>
            <w:pPr>
              <w:keepNext/>
              <w:keepLines/>
            </w:pPr>
            <w:r>
              <w:rPr>
                <w:sz w:val="14"/>
              </w:rPr>
              <w:t>500</w:t>
            </w:r>
          </w:p>
        </w:tc>
        <w:tc>
          <w:tcPr>
            <w:tcW w:type="dxa" w:w="1054"/>
          </w:tcPr>
          <w:p>
            <w:pPr>
              <w:keepNext/>
              <w:keepLines/>
            </w:pPr>
            <w:r>
              <w:rPr>
                <w:sz w:val="14"/>
              </w:rPr>
              <w:t>545</w:t>
            </w:r>
          </w:p>
        </w:tc>
        <w:tc>
          <w:tcPr>
            <w:tcW w:type="dxa" w:w="1054"/>
          </w:tcPr>
          <w:p>
            <w:pPr>
              <w:keepNext/>
              <w:keepLines/>
            </w:pPr>
            <w:r>
              <w:rPr>
                <w:sz w:val="14"/>
              </w:rPr>
              <w:t>588</w:t>
            </w:r>
          </w:p>
        </w:tc>
        <w:tc>
          <w:tcPr>
            <w:tcW w:type="dxa" w:w="1054"/>
          </w:tcPr>
          <w:p>
            <w:pPr>
              <w:keepNext/>
              <w:keepLines/>
            </w:pPr>
            <w:r>
              <w:rPr>
                <w:sz w:val="14"/>
              </w:rPr>
              <w:t>627</w:t>
            </w:r>
          </w:p>
        </w:tc>
      </w:tr>
      <w:tr>
        <w:trPr>
          <w:cantSplit/>
        </w:trPr>
        <w:tc>
          <w:tcPr>
            <w:tcW w:type="dxa" w:w="1054"/>
          </w:tcPr>
          <w:p>
            <w:pPr>
              <w:keepNext/>
              <w:keepLines/>
            </w:pPr>
            <w:r>
              <w:rPr>
                <w:sz w:val="14"/>
              </w:rPr>
              <w:t>Stock-based compensation</w:t>
            </w:r>
          </w:p>
        </w:tc>
        <w:tc>
          <w:tcPr>
            <w:tcW w:type="dxa" w:w="1054"/>
          </w:tcPr>
          <w:p>
            <w:pPr>
              <w:keepNext/>
              <w:keepLines/>
            </w:pPr>
            <w:r>
              <w:rPr>
                <w:sz w:val="14"/>
              </w:rPr>
              <w:t>15.8</w:t>
            </w:r>
          </w:p>
        </w:tc>
        <w:tc>
          <w:tcPr>
            <w:tcW w:type="dxa" w:w="1054"/>
          </w:tcPr>
          <w:p>
            <w:pPr>
              <w:keepNext/>
              <w:keepLines/>
            </w:pPr>
            <w:r>
              <w:rPr>
                <w:sz w:val="14"/>
              </w:rPr>
              <w:t>17.7</w:t>
            </w:r>
          </w:p>
        </w:tc>
        <w:tc>
          <w:tcPr>
            <w:tcW w:type="dxa" w:w="1054"/>
          </w:tcPr>
          <w:p>
            <w:pPr>
              <w:keepNext/>
              <w:keepLines/>
            </w:pPr>
            <w:r>
              <w:rPr>
                <w:sz w:val="14"/>
              </w:rPr>
              <w:t>19.7</w:t>
            </w:r>
          </w:p>
        </w:tc>
        <w:tc>
          <w:tcPr>
            <w:tcW w:type="dxa" w:w="1054"/>
          </w:tcPr>
          <w:p>
            <w:pPr>
              <w:keepNext/>
              <w:keepLines/>
            </w:pPr>
            <w:r>
              <w:rPr>
                <w:sz w:val="14"/>
              </w:rPr>
              <w:t>21.6</w:t>
            </w:r>
          </w:p>
        </w:tc>
        <w:tc>
          <w:tcPr>
            <w:tcW w:type="dxa" w:w="1054"/>
          </w:tcPr>
          <w:p>
            <w:pPr>
              <w:keepNext/>
              <w:keepLines/>
            </w:pPr>
            <w:r>
              <w:rPr>
                <w:sz w:val="14"/>
              </w:rPr>
              <w:t>23.6</w:t>
            </w:r>
          </w:p>
        </w:tc>
        <w:tc>
          <w:tcPr>
            <w:tcW w:type="dxa" w:w="1054"/>
          </w:tcPr>
          <w:p>
            <w:pPr>
              <w:keepNext/>
              <w:keepLines/>
            </w:pPr>
            <w:r>
              <w:rPr>
                <w:sz w:val="14"/>
              </w:rPr>
              <w:t>25.5</w:t>
            </w:r>
          </w:p>
        </w:tc>
        <w:tc>
          <w:tcPr>
            <w:tcW w:type="dxa" w:w="1054"/>
          </w:tcPr>
          <w:p>
            <w:pPr>
              <w:keepNext/>
              <w:keepLines/>
            </w:pPr>
            <w:r>
              <w:rPr>
                <w:sz w:val="14"/>
              </w:rPr>
              <w:t>27.5</w:t>
            </w:r>
          </w:p>
        </w:tc>
        <w:tc>
          <w:tcPr>
            <w:tcW w:type="dxa" w:w="1054"/>
          </w:tcPr>
          <w:p>
            <w:pPr>
              <w:keepNext/>
              <w:keepLines/>
            </w:pPr>
            <w:r>
              <w:rPr>
                <w:sz w:val="14"/>
              </w:rPr>
              <w:t>29.4</w:t>
            </w:r>
          </w:p>
        </w:tc>
        <w:tc>
          <w:tcPr>
            <w:tcW w:type="dxa" w:w="1054"/>
          </w:tcPr>
          <w:p>
            <w:pPr>
              <w:keepNext/>
              <w:keepLines/>
            </w:pPr>
            <w:r>
              <w:rPr>
                <w:sz w:val="14"/>
              </w:rPr>
              <w:t>31.3</w:t>
            </w:r>
          </w:p>
        </w:tc>
      </w:tr>
      <w:tr>
        <w:trPr>
          <w:cantSplit/>
        </w:trPr>
        <w:tc>
          <w:tcPr>
            <w:tcW w:type="dxa" w:w="1054"/>
          </w:tcPr>
          <w:p>
            <w:pPr>
              <w:keepNext/>
              <w:keepLines/>
            </w:pPr>
            <w:r>
              <w:rPr>
                <w:sz w:val="14"/>
              </w:rPr>
              <w:t>Interest</w:t>
            </w:r>
          </w:p>
        </w:tc>
        <w:tc>
          <w:tcPr>
            <w:tcW w:type="dxa" w:w="1054"/>
          </w:tcPr>
          <w:p>
            <w:pPr>
              <w:keepNext/>
              <w:keepLines/>
            </w:pPr>
            <w:r>
              <w:rPr>
                <w:sz w:val="14"/>
              </w:rPr>
              <w:t>41.4</w:t>
            </w:r>
          </w:p>
        </w:tc>
        <w:tc>
          <w:tcPr>
            <w:tcW w:type="dxa" w:w="1054"/>
          </w:tcPr>
          <w:p>
            <w:pPr>
              <w:keepNext/>
              <w:keepLines/>
            </w:pPr>
            <w:r>
              <w:rPr>
                <w:sz w:val="14"/>
              </w:rPr>
              <w:t>49.0</w:t>
            </w:r>
          </w:p>
        </w:tc>
        <w:tc>
          <w:tcPr>
            <w:tcW w:type="dxa" w:w="1054"/>
          </w:tcPr>
          <w:p>
            <w:pPr>
              <w:keepNext/>
              <w:keepLines/>
            </w:pPr>
            <w:r>
              <w:rPr>
                <w:sz w:val="14"/>
              </w:rPr>
              <w:t>57.1</w:t>
            </w:r>
          </w:p>
        </w:tc>
        <w:tc>
          <w:tcPr>
            <w:tcW w:type="dxa" w:w="1054"/>
          </w:tcPr>
          <w:p>
            <w:pPr>
              <w:keepNext/>
              <w:keepLines/>
            </w:pPr>
            <w:r>
              <w:rPr>
                <w:sz w:val="14"/>
              </w:rPr>
              <w:t>65.6</w:t>
            </w:r>
          </w:p>
        </w:tc>
        <w:tc>
          <w:tcPr>
            <w:tcW w:type="dxa" w:w="1054"/>
          </w:tcPr>
          <w:p>
            <w:pPr>
              <w:keepNext/>
              <w:keepLines/>
            </w:pPr>
            <w:r>
              <w:rPr>
                <w:sz w:val="14"/>
              </w:rPr>
              <w:t>74.4</w:t>
            </w:r>
          </w:p>
        </w:tc>
        <w:tc>
          <w:tcPr>
            <w:tcW w:type="dxa" w:w="1054"/>
          </w:tcPr>
          <w:p>
            <w:pPr>
              <w:keepNext/>
              <w:keepLines/>
            </w:pPr>
            <w:r>
              <w:rPr>
                <w:sz w:val="14"/>
              </w:rPr>
              <w:t>83.2</w:t>
            </w:r>
          </w:p>
        </w:tc>
        <w:tc>
          <w:tcPr>
            <w:tcW w:type="dxa" w:w="1054"/>
          </w:tcPr>
          <w:p>
            <w:pPr>
              <w:keepNext/>
              <w:keepLines/>
            </w:pPr>
            <w:r>
              <w:rPr>
                <w:sz w:val="14"/>
              </w:rPr>
              <w:t>91.9</w:t>
            </w:r>
          </w:p>
        </w:tc>
        <w:tc>
          <w:tcPr>
            <w:tcW w:type="dxa" w:w="1054"/>
          </w:tcPr>
          <w:p>
            <w:pPr>
              <w:keepNext/>
              <w:keepLines/>
            </w:pPr>
            <w:r>
              <w:rPr>
                <w:sz w:val="14"/>
              </w:rPr>
              <w:t>100</w:t>
            </w:r>
          </w:p>
        </w:tc>
        <w:tc>
          <w:tcPr>
            <w:tcW w:type="dxa" w:w="1054"/>
          </w:tcPr>
          <w:p>
            <w:pPr>
              <w:keepNext/>
              <w:keepLines/>
            </w:pPr>
            <w:r>
              <w:rPr>
                <w:sz w:val="14"/>
              </w:rPr>
              <w:t>108</w:t>
            </w:r>
          </w:p>
        </w:tc>
      </w:tr>
      <w:tr>
        <w:trPr>
          <w:cantSplit/>
        </w:trPr>
        <w:tc>
          <w:tcPr>
            <w:tcW w:type="dxa" w:w="1054"/>
          </w:tcPr>
          <w:p>
            <w:pPr>
              <w:keepNext/>
              <w:keepLines/>
            </w:pPr>
            <w:r>
              <w:rPr>
                <w:sz w:val="14"/>
              </w:rPr>
              <w:t>Cash Taxes</w:t>
            </w:r>
          </w:p>
        </w:tc>
        <w:tc>
          <w:tcPr>
            <w:tcW w:type="dxa" w:w="1054"/>
          </w:tcPr>
          <w:p>
            <w:pPr>
              <w:keepNext/>
              <w:keepLines/>
            </w:pPr>
            <w:r>
              <w:rPr>
                <w:sz w:val="14"/>
              </w:rPr>
              <w:t>41.3</w:t>
            </w:r>
          </w:p>
        </w:tc>
        <w:tc>
          <w:tcPr>
            <w:tcW w:type="dxa" w:w="1054"/>
          </w:tcPr>
          <w:p>
            <w:pPr>
              <w:keepNext/>
              <w:keepLines/>
            </w:pPr>
            <w:r>
              <w:rPr>
                <w:sz w:val="14"/>
              </w:rPr>
              <w:t>48.1</w:t>
            </w:r>
          </w:p>
        </w:tc>
        <w:tc>
          <w:tcPr>
            <w:tcW w:type="dxa" w:w="1054"/>
          </w:tcPr>
          <w:p>
            <w:pPr>
              <w:keepNext/>
              <w:keepLines/>
            </w:pPr>
            <w:r>
              <w:rPr>
                <w:sz w:val="14"/>
              </w:rPr>
              <w:t>55.3</w:t>
            </w:r>
          </w:p>
        </w:tc>
        <w:tc>
          <w:tcPr>
            <w:tcW w:type="dxa" w:w="1054"/>
          </w:tcPr>
          <w:p>
            <w:pPr>
              <w:keepNext/>
              <w:keepLines/>
            </w:pPr>
            <w:r>
              <w:rPr>
                <w:sz w:val="14"/>
              </w:rPr>
              <w:t>62.7</w:t>
            </w:r>
          </w:p>
        </w:tc>
        <w:tc>
          <w:tcPr>
            <w:tcW w:type="dxa" w:w="1054"/>
          </w:tcPr>
          <w:p>
            <w:pPr>
              <w:keepNext/>
              <w:keepLines/>
            </w:pPr>
            <w:r>
              <w:rPr>
                <w:sz w:val="14"/>
              </w:rPr>
              <w:t>70.2</w:t>
            </w:r>
          </w:p>
        </w:tc>
        <w:tc>
          <w:tcPr>
            <w:tcW w:type="dxa" w:w="1054"/>
          </w:tcPr>
          <w:p>
            <w:pPr>
              <w:keepNext/>
              <w:keepLines/>
            </w:pPr>
            <w:r>
              <w:rPr>
                <w:sz w:val="14"/>
              </w:rPr>
              <w:t>77.5</w:t>
            </w:r>
          </w:p>
        </w:tc>
        <w:tc>
          <w:tcPr>
            <w:tcW w:type="dxa" w:w="1054"/>
          </w:tcPr>
          <w:p>
            <w:pPr>
              <w:keepNext/>
              <w:keepLines/>
            </w:pPr>
            <w:r>
              <w:rPr>
                <w:sz w:val="14"/>
              </w:rPr>
              <w:t>84.4</w:t>
            </w:r>
          </w:p>
        </w:tc>
        <w:tc>
          <w:tcPr>
            <w:tcW w:type="dxa" w:w="1054"/>
          </w:tcPr>
          <w:p>
            <w:pPr>
              <w:keepNext/>
              <w:keepLines/>
            </w:pPr>
            <w:r>
              <w:rPr>
                <w:sz w:val="14"/>
              </w:rPr>
              <w:t>90.9</w:t>
            </w:r>
          </w:p>
        </w:tc>
        <w:tc>
          <w:tcPr>
            <w:tcW w:type="dxa" w:w="1054"/>
          </w:tcPr>
          <w:p>
            <w:pPr>
              <w:keepNext/>
              <w:keepLines/>
            </w:pPr>
            <w:r>
              <w:rPr>
                <w:sz w:val="14"/>
              </w:rPr>
              <w:t>96.7</w:t>
            </w:r>
          </w:p>
        </w:tc>
      </w:tr>
      <w:tr>
        <w:trPr>
          <w:cantSplit/>
        </w:trPr>
        <w:tc>
          <w:tcPr>
            <w:tcW w:type="dxa" w:w="1054"/>
          </w:tcPr>
          <w:p>
            <w:pPr>
              <w:keepNext/>
              <w:keepLines/>
            </w:pPr>
            <w:r>
              <w:rPr>
                <w:sz w:val="14"/>
              </w:rPr>
              <w:t>Capex</w:t>
            </w:r>
          </w:p>
        </w:tc>
        <w:tc>
          <w:tcPr>
            <w:tcW w:type="dxa" w:w="1054"/>
          </w:tcPr>
          <w:p>
            <w:pPr>
              <w:keepNext/>
              <w:keepLines/>
            </w:pPr>
            <w:r>
              <w:rPr>
                <w:sz w:val="14"/>
              </w:rPr>
              <w:t>52.8</w:t>
            </w:r>
          </w:p>
        </w:tc>
        <w:tc>
          <w:tcPr>
            <w:tcW w:type="dxa" w:w="1054"/>
          </w:tcPr>
          <w:p>
            <w:pPr>
              <w:keepNext/>
              <w:keepLines/>
            </w:pPr>
            <w:r>
              <w:rPr>
                <w:sz w:val="14"/>
              </w:rPr>
              <w:t>60.5</w:t>
            </w:r>
          </w:p>
        </w:tc>
        <w:tc>
          <w:tcPr>
            <w:tcW w:type="dxa" w:w="1054"/>
          </w:tcPr>
          <w:p>
            <w:pPr>
              <w:keepNext/>
              <w:keepLines/>
            </w:pPr>
            <w:r>
              <w:rPr>
                <w:sz w:val="14"/>
              </w:rPr>
              <w:t>68.6</w:t>
            </w:r>
          </w:p>
        </w:tc>
        <w:tc>
          <w:tcPr>
            <w:tcW w:type="dxa" w:w="1054"/>
          </w:tcPr>
          <w:p>
            <w:pPr>
              <w:keepNext/>
              <w:keepLines/>
            </w:pPr>
            <w:r>
              <w:rPr>
                <w:sz w:val="14"/>
              </w:rPr>
              <w:t>77.0</w:t>
            </w:r>
          </w:p>
        </w:tc>
        <w:tc>
          <w:tcPr>
            <w:tcW w:type="dxa" w:w="1054"/>
          </w:tcPr>
          <w:p>
            <w:pPr>
              <w:keepNext/>
              <w:keepLines/>
            </w:pPr>
            <w:r>
              <w:rPr>
                <w:sz w:val="14"/>
              </w:rPr>
              <w:t>85.4</w:t>
            </w:r>
          </w:p>
        </w:tc>
        <w:tc>
          <w:tcPr>
            <w:tcW w:type="dxa" w:w="1054"/>
          </w:tcPr>
          <w:p>
            <w:pPr>
              <w:keepNext/>
              <w:keepLines/>
            </w:pPr>
            <w:r>
              <w:rPr>
                <w:sz w:val="14"/>
              </w:rPr>
              <w:t>93.7</w:t>
            </w:r>
          </w:p>
        </w:tc>
        <w:tc>
          <w:tcPr>
            <w:tcW w:type="dxa" w:w="1054"/>
          </w:tcPr>
          <w:p>
            <w:pPr>
              <w:keepNext/>
              <w:keepLines/>
            </w:pPr>
            <w:r>
              <w:rPr>
                <w:sz w:val="14"/>
              </w:rPr>
              <w:t>102</w:t>
            </w:r>
          </w:p>
        </w:tc>
        <w:tc>
          <w:tcPr>
            <w:tcW w:type="dxa" w:w="1054"/>
          </w:tcPr>
          <w:p>
            <w:pPr>
              <w:keepNext/>
              <w:keepLines/>
            </w:pPr>
            <w:r>
              <w:rPr>
                <w:sz w:val="14"/>
              </w:rPr>
              <w:t>109</w:t>
            </w:r>
          </w:p>
        </w:tc>
        <w:tc>
          <w:tcPr>
            <w:tcW w:type="dxa" w:w="1054"/>
          </w:tcPr>
          <w:p>
            <w:pPr>
              <w:keepNext/>
              <w:keepLines/>
            </w:pPr>
            <w:r>
              <w:rPr>
                <w:sz w:val="14"/>
              </w:rPr>
              <w:t>116</w:t>
            </w:r>
          </w:p>
        </w:tc>
      </w:tr>
      <w:tr>
        <w:trPr>
          <w:cantSplit/>
        </w:trPr>
        <w:tc>
          <w:tcPr>
            <w:tcW w:type="dxa" w:w="1054"/>
          </w:tcPr>
          <w:p>
            <w:pPr>
              <w:keepNext/>
              <w:keepLines/>
            </w:pPr>
            <w:r>
              <w:rPr>
                <w:sz w:val="14"/>
              </w:rPr>
              <w:t>Debt, Market Value</w:t>
            </w:r>
          </w:p>
        </w:tc>
        <w:tc>
          <w:tcPr>
            <w:tcW w:type="dxa" w:w="1054"/>
          </w:tcPr>
          <w:p>
            <w:pPr>
              <w:keepNext/>
              <w:keepLines/>
            </w:pPr>
            <w:r>
              <w:rPr>
                <w:sz w:val="14"/>
              </w:rPr>
              <w:t>533</w:t>
            </w:r>
          </w:p>
        </w:tc>
        <w:tc>
          <w:tcPr>
            <w:tcW w:type="dxa" w:w="1054"/>
          </w:tcPr>
          <w:p>
            <w:pPr>
              <w:keepNext/>
              <w:keepLines/>
            </w:pPr>
            <w:r>
              <w:rPr>
                <w:sz w:val="14"/>
              </w:rPr>
              <w:t>621</w:t>
            </w:r>
          </w:p>
        </w:tc>
        <w:tc>
          <w:tcPr>
            <w:tcW w:type="dxa" w:w="1054"/>
          </w:tcPr>
          <w:p>
            <w:pPr>
              <w:keepNext/>
              <w:keepLines/>
            </w:pPr>
            <w:r>
              <w:rPr>
                <w:sz w:val="14"/>
              </w:rPr>
              <w:t>713</w:t>
            </w:r>
          </w:p>
        </w:tc>
        <w:tc>
          <w:tcPr>
            <w:tcW w:type="dxa" w:w="1054"/>
          </w:tcPr>
          <w:p>
            <w:pPr>
              <w:keepNext/>
              <w:keepLines/>
            </w:pPr>
            <w:r>
              <w:rPr>
                <w:sz w:val="14"/>
              </w:rPr>
              <w:t>808</w:t>
            </w:r>
          </w:p>
        </w:tc>
        <w:tc>
          <w:tcPr>
            <w:tcW w:type="dxa" w:w="1054"/>
          </w:tcPr>
          <w:p>
            <w:pPr>
              <w:keepNext/>
              <w:keepLines/>
            </w:pPr>
            <w:r>
              <w:rPr>
                <w:sz w:val="14"/>
              </w:rPr>
              <w:t>904</w:t>
            </w:r>
          </w:p>
        </w:tc>
        <w:tc>
          <w:tcPr>
            <w:tcW w:type="dxa" w:w="1054"/>
          </w:tcPr>
          <w:p>
            <w:pPr>
              <w:keepNext/>
              <w:keepLines/>
            </w:pPr>
            <w:r>
              <w:rPr>
                <w:sz w:val="14"/>
              </w:rPr>
              <w:t>999</w:t>
            </w:r>
          </w:p>
        </w:tc>
        <w:tc>
          <w:tcPr>
            <w:tcW w:type="dxa" w:w="1054"/>
          </w:tcPr>
          <w:p>
            <w:pPr>
              <w:keepNext/>
              <w:keepLines/>
            </w:pPr>
            <w:r>
              <w:rPr>
                <w:sz w:val="14"/>
              </w:rPr>
              <w:t>1,091</w:t>
            </w:r>
          </w:p>
        </w:tc>
        <w:tc>
          <w:tcPr>
            <w:tcW w:type="dxa" w:w="1054"/>
          </w:tcPr>
          <w:p>
            <w:pPr>
              <w:keepNext/>
              <w:keepLines/>
            </w:pPr>
            <w:r>
              <w:rPr>
                <w:sz w:val="14"/>
              </w:rPr>
              <w:t>1,176</w:t>
            </w:r>
          </w:p>
        </w:tc>
        <w:tc>
          <w:tcPr>
            <w:tcW w:type="dxa" w:w="1054"/>
          </w:tcPr>
          <w:p>
            <w:pPr>
              <w:keepNext/>
              <w:keepLines/>
            </w:pPr>
            <w:r>
              <w:rPr>
                <w:sz w:val="14"/>
              </w:rPr>
              <w:t>1,254</w:t>
            </w:r>
          </w:p>
        </w:tc>
      </w:tr>
      <w:tr>
        <w:trPr>
          <w:cantSplit/>
        </w:trPr>
        <w:tc>
          <w:tcPr>
            <w:tcW w:type="dxa" w:w="1054"/>
          </w:tcPr>
          <w:p>
            <w:pPr>
              <w:keepNext/>
              <w:keepLines/>
            </w:pPr>
            <w:r>
              <w:rPr>
                <w:sz w:val="14"/>
              </w:rPr>
              <w:t>FCFE</w:t>
            </w:r>
          </w:p>
        </w:tc>
        <w:tc>
          <w:tcPr>
            <w:tcW w:type="dxa" w:w="1054"/>
          </w:tcPr>
          <w:p>
            <w:pPr>
              <w:keepNext/>
              <w:keepLines/>
            </w:pPr>
            <w:r>
              <w:rPr>
                <w:sz w:val="14"/>
              </w:rPr>
              <w:t>198</w:t>
            </w:r>
          </w:p>
        </w:tc>
        <w:tc>
          <w:tcPr>
            <w:tcW w:type="dxa" w:w="1054"/>
          </w:tcPr>
          <w:p>
            <w:pPr>
              <w:keepNext/>
              <w:keepLines/>
            </w:pPr>
            <w:r>
              <w:rPr>
                <w:sz w:val="14"/>
              </w:rPr>
              <w:t>223</w:t>
            </w:r>
          </w:p>
        </w:tc>
        <w:tc>
          <w:tcPr>
            <w:tcW w:type="dxa" w:w="1054"/>
          </w:tcPr>
          <w:p>
            <w:pPr>
              <w:keepNext/>
              <w:keepLines/>
            </w:pPr>
            <w:r>
              <w:rPr>
                <w:sz w:val="14"/>
              </w:rPr>
              <w:t>248</w:t>
            </w:r>
          </w:p>
        </w:tc>
        <w:tc>
          <w:tcPr>
            <w:tcW w:type="dxa" w:w="1054"/>
          </w:tcPr>
          <w:p>
            <w:pPr>
              <w:keepNext/>
              <w:keepLines/>
            </w:pPr>
            <w:r>
              <w:rPr>
                <w:sz w:val="14"/>
              </w:rPr>
              <w:t>272</w:t>
            </w:r>
          </w:p>
        </w:tc>
        <w:tc>
          <w:tcPr>
            <w:tcW w:type="dxa" w:w="1054"/>
          </w:tcPr>
          <w:p>
            <w:pPr>
              <w:keepNext/>
              <w:keepLines/>
            </w:pPr>
            <w:r>
              <w:rPr>
                <w:sz w:val="14"/>
              </w:rPr>
              <w:t>295</w:t>
            </w:r>
          </w:p>
        </w:tc>
        <w:tc>
          <w:tcPr>
            <w:tcW w:type="dxa" w:w="1054"/>
          </w:tcPr>
          <w:p>
            <w:pPr>
              <w:keepNext/>
              <w:keepLines/>
            </w:pPr>
            <w:r>
              <w:rPr>
                <w:sz w:val="14"/>
              </w:rPr>
              <w:t>314</w:t>
            </w:r>
          </w:p>
        </w:tc>
        <w:tc>
          <w:tcPr>
            <w:tcW w:type="dxa" w:w="1054"/>
          </w:tcPr>
          <w:p>
            <w:pPr>
              <w:keepNext/>
              <w:keepLines/>
            </w:pPr>
            <w:r>
              <w:rPr>
                <w:sz w:val="14"/>
              </w:rPr>
              <w:t>331</w:t>
            </w:r>
          </w:p>
        </w:tc>
        <w:tc>
          <w:tcPr>
            <w:tcW w:type="dxa" w:w="1054"/>
          </w:tcPr>
          <w:p>
            <w:pPr>
              <w:keepNext/>
              <w:keepLines/>
            </w:pPr>
            <w:r>
              <w:rPr>
                <w:sz w:val="14"/>
              </w:rPr>
              <w:t>344</w:t>
            </w:r>
          </w:p>
        </w:tc>
        <w:tc>
          <w:tcPr>
            <w:tcW w:type="dxa" w:w="1054"/>
          </w:tcPr>
          <w:p>
            <w:pPr>
              <w:keepNext/>
              <w:keepLines/>
            </w:pPr>
            <w:r>
              <w:rPr>
                <w:sz w:val="14"/>
              </w:rPr>
              <w:t>352</w:t>
            </w:r>
          </w:p>
        </w:tc>
      </w:tr>
      <w:tr>
        <w:trPr>
          <w:cantSplit/>
        </w:trPr>
        <w:tc>
          <w:tcPr>
            <w:tcW w:type="dxa" w:w="1054"/>
          </w:tcPr>
          <w:p>
            <w:pPr>
              <w:keepNext/>
              <w:keepLines/>
            </w:pPr>
            <w:r>
              <w:rPr>
                <w:sz w:val="14"/>
              </w:rPr>
              <w:t>Equity, Intrinsic Value</w:t>
            </w:r>
          </w:p>
        </w:tc>
        <w:tc>
          <w:tcPr>
            <w:tcW w:type="dxa" w:w="1054"/>
          </w:tcPr>
          <w:p>
            <w:pPr>
              <w:keepNext/>
              <w:keepLines/>
            </w:pPr>
            <w:r>
              <w:rPr>
                <w:sz w:val="14"/>
              </w:rPr>
              <w:t>4,374</w:t>
            </w:r>
          </w:p>
        </w:tc>
        <w:tc>
          <w:tcPr>
            <w:tcW w:type="dxa" w:w="1054"/>
          </w:tcPr>
          <w:p>
            <w:pPr>
              <w:keepNext/>
              <w:keepLines/>
            </w:pPr>
            <w:r>
              <w:rPr>
                <w:sz w:val="14"/>
              </w:rPr>
              <w:t>4,608</w:t>
            </w:r>
          </w:p>
        </w:tc>
        <w:tc>
          <w:tcPr>
            <w:tcW w:type="dxa" w:w="1054"/>
          </w:tcPr>
          <w:p>
            <w:pPr>
              <w:keepNext/>
              <w:keepLines/>
            </w:pPr>
            <w:r>
              <w:rPr>
                <w:sz w:val="14"/>
              </w:rPr>
              <w:t>4,841</w:t>
            </w:r>
          </w:p>
        </w:tc>
        <w:tc>
          <w:tcPr>
            <w:tcW w:type="dxa" w:w="1054"/>
          </w:tcPr>
          <w:p>
            <w:pPr>
              <w:keepNext/>
              <w:keepLines/>
            </w:pPr>
            <w:r>
              <w:rPr>
                <w:sz w:val="14"/>
              </w:rPr>
              <w:t>5,075</w:t>
            </w:r>
          </w:p>
        </w:tc>
        <w:tc>
          <w:tcPr>
            <w:tcW w:type="dxa" w:w="1054"/>
          </w:tcPr>
          <w:p>
            <w:pPr>
              <w:keepNext/>
              <w:keepLines/>
            </w:pPr>
            <w:r>
              <w:rPr>
                <w:sz w:val="14"/>
              </w:rPr>
              <w:t>5,311</w:t>
            </w:r>
          </w:p>
        </w:tc>
        <w:tc>
          <w:tcPr>
            <w:tcW w:type="dxa" w:w="1054"/>
          </w:tcPr>
          <w:p>
            <w:pPr>
              <w:keepNext/>
              <w:keepLines/>
            </w:pPr>
            <w:r>
              <w:rPr>
                <w:sz w:val="14"/>
              </w:rPr>
              <w:t>5,551</w:t>
            </w:r>
          </w:p>
        </w:tc>
        <w:tc>
          <w:tcPr>
            <w:tcW w:type="dxa" w:w="1054"/>
          </w:tcPr>
          <w:p>
            <w:pPr>
              <w:keepNext/>
              <w:keepLines/>
            </w:pPr>
            <w:r>
              <w:rPr>
                <w:sz w:val="14"/>
              </w:rPr>
              <w:t>5,800</w:t>
            </w:r>
          </w:p>
        </w:tc>
        <w:tc>
          <w:tcPr>
            <w:tcW w:type="dxa" w:w="1054"/>
          </w:tcPr>
          <w:p>
            <w:pPr>
              <w:keepNext/>
              <w:keepLines/>
            </w:pPr>
            <w:r>
              <w:rPr>
                <w:sz w:val="14"/>
              </w:rPr>
              <w:t>6,063</w:t>
            </w:r>
          </w:p>
        </w:tc>
        <w:tc>
          <w:tcPr>
            <w:tcW w:type="dxa" w:w="1054"/>
          </w:tcPr>
          <w:p>
            <w:pPr>
              <w:keepNext/>
              <w:keepLines/>
            </w:pPr>
            <w:r>
              <w:rPr>
                <w:sz w:val="14"/>
              </w:rPr>
              <w:t>6,344</w:t>
            </w:r>
          </w:p>
        </w:tc>
      </w:tr>
      <w:tr>
        <w:trPr>
          <w:cantSplit/>
        </w:trPr>
        <w:tc>
          <w:tcPr>
            <w:tcW w:type="dxa" w:w="1054"/>
          </w:tcPr>
          <w:p>
            <w:pPr>
              <w:keepNext/>
              <w:keepLines/>
            </w:pPr>
            <w:r>
              <w:rPr>
                <w:sz w:val="14"/>
              </w:rPr>
              <w:t>Cash</w:t>
            </w:r>
          </w:p>
        </w:tc>
        <w:tc>
          <w:tcPr>
            <w:tcW w:type="dxa" w:w="1054"/>
          </w:tcPr>
          <w:p>
            <w:pPr>
              <w:keepNext/>
              <w:keepLines/>
            </w:pPr>
            <w:r>
              <w:rPr>
                <w:sz w:val="14"/>
              </w:rPr>
              <w:t>862</w:t>
            </w:r>
          </w:p>
        </w:tc>
        <w:tc>
          <w:tcPr>
            <w:tcW w:type="dxa" w:w="1054"/>
          </w:tcPr>
          <w:p>
            <w:pPr>
              <w:keepNext/>
              <w:keepLines/>
            </w:pPr>
            <w:r>
              <w:rPr>
                <w:sz w:val="14"/>
              </w:rPr>
              <w:t>1,085</w:t>
            </w:r>
          </w:p>
        </w:tc>
        <w:tc>
          <w:tcPr>
            <w:tcW w:type="dxa" w:w="1054"/>
          </w:tcPr>
          <w:p>
            <w:pPr>
              <w:keepNext/>
              <w:keepLines/>
            </w:pPr>
            <w:r>
              <w:rPr>
                <w:sz w:val="14"/>
              </w:rPr>
              <w:t>1,334</w:t>
            </w:r>
          </w:p>
        </w:tc>
        <w:tc>
          <w:tcPr>
            <w:tcW w:type="dxa" w:w="1054"/>
          </w:tcPr>
          <w:p>
            <w:pPr>
              <w:keepNext/>
              <w:keepLines/>
            </w:pPr>
            <w:r>
              <w:rPr>
                <w:sz w:val="14"/>
              </w:rPr>
              <w:t>1,606</w:t>
            </w:r>
          </w:p>
        </w:tc>
        <w:tc>
          <w:tcPr>
            <w:tcW w:type="dxa" w:w="1054"/>
          </w:tcPr>
          <w:p>
            <w:pPr>
              <w:keepNext/>
              <w:keepLines/>
            </w:pPr>
            <w:r>
              <w:rPr>
                <w:sz w:val="14"/>
              </w:rPr>
              <w:t>1,901</w:t>
            </w:r>
          </w:p>
        </w:tc>
        <w:tc>
          <w:tcPr>
            <w:tcW w:type="dxa" w:w="1054"/>
          </w:tcPr>
          <w:p>
            <w:pPr>
              <w:keepNext/>
              <w:keepLines/>
            </w:pPr>
            <w:r>
              <w:rPr>
                <w:sz w:val="14"/>
              </w:rPr>
              <w:t>2,215</w:t>
            </w:r>
          </w:p>
        </w:tc>
        <w:tc>
          <w:tcPr>
            <w:tcW w:type="dxa" w:w="1054"/>
          </w:tcPr>
          <w:p>
            <w:pPr>
              <w:keepNext/>
              <w:keepLines/>
            </w:pPr>
            <w:r>
              <w:rPr>
                <w:sz w:val="14"/>
              </w:rPr>
              <w:t>2,546</w:t>
            </w:r>
          </w:p>
        </w:tc>
        <w:tc>
          <w:tcPr>
            <w:tcW w:type="dxa" w:w="1054"/>
          </w:tcPr>
          <w:p>
            <w:pPr>
              <w:keepNext/>
              <w:keepLines/>
            </w:pPr>
            <w:r>
              <w:rPr>
                <w:sz w:val="14"/>
              </w:rPr>
              <w:t>2,890</w:t>
            </w:r>
          </w:p>
        </w:tc>
        <w:tc>
          <w:tcPr>
            <w:tcW w:type="dxa" w:w="1054"/>
          </w:tcPr>
          <w:p>
            <w:pPr>
              <w:keepNext/>
              <w:keepLines/>
            </w:pPr>
            <w:r>
              <w:rPr>
                <w:sz w:val="14"/>
              </w:rPr>
              <w:t>3,242</w:t>
            </w:r>
          </w:p>
        </w:tc>
      </w:tr>
      <w:tr>
        <w:trPr>
          <w:cantSplit/>
        </w:trPr>
        <w:tc>
          <w:tcPr>
            <w:tcW w:type="dxa" w:w="1054"/>
          </w:tcPr>
          <w:p>
            <w:r>
              <w:rPr>
                <w:sz w:val="14"/>
              </w:rPr>
              <w:t>Intrinsic Value per Share (US$)</w:t>
            </w:r>
          </w:p>
        </w:tc>
        <w:tc>
          <w:tcPr>
            <w:tcW w:type="dxa" w:w="1054"/>
          </w:tcPr>
          <w:p>
            <w:r>
              <w:rPr>
                <w:sz w:val="14"/>
              </w:rPr>
              <w:t>143.39</w:t>
            </w:r>
          </w:p>
        </w:tc>
        <w:tc>
          <w:tcPr>
            <w:tcW w:type="dxa" w:w="1054"/>
          </w:tcPr>
          <w:p>
            <w:r>
              <w:rPr>
                <w:sz w:val="14"/>
              </w:rPr>
              <w:t>151.05</w:t>
            </w:r>
          </w:p>
        </w:tc>
        <w:tc>
          <w:tcPr>
            <w:tcW w:type="dxa" w:w="1054"/>
          </w:tcPr>
          <w:p>
            <w:r>
              <w:rPr>
                <w:sz w:val="14"/>
              </w:rPr>
              <w:t>158.71</w:t>
            </w:r>
          </w:p>
        </w:tc>
        <w:tc>
          <w:tcPr>
            <w:tcW w:type="dxa" w:w="1054"/>
          </w:tcPr>
          <w:p>
            <w:r>
              <w:rPr>
                <w:sz w:val="14"/>
              </w:rPr>
              <w:t>166.37</w:t>
            </w:r>
          </w:p>
        </w:tc>
        <w:tc>
          <w:tcPr>
            <w:tcW w:type="dxa" w:w="1054"/>
          </w:tcPr>
          <w:p>
            <w:r>
              <w:rPr>
                <w:sz w:val="14"/>
              </w:rPr>
              <w:t>174.10</w:t>
            </w:r>
          </w:p>
        </w:tc>
        <w:tc>
          <w:tcPr>
            <w:tcW w:type="dxa" w:w="1054"/>
          </w:tcPr>
          <w:p>
            <w:r>
              <w:rPr>
                <w:sz w:val="14"/>
              </w:rPr>
              <w:t>181.99</w:t>
            </w:r>
          </w:p>
        </w:tc>
        <w:tc>
          <w:tcPr>
            <w:tcW w:type="dxa" w:w="1054"/>
          </w:tcPr>
          <w:p>
            <w:r>
              <w:rPr>
                <w:sz w:val="14"/>
              </w:rPr>
              <w:t>190.15</w:t>
            </w:r>
          </w:p>
        </w:tc>
        <w:tc>
          <w:tcPr>
            <w:tcW w:type="dxa" w:w="1054"/>
          </w:tcPr>
          <w:p>
            <w:r>
              <w:rPr>
                <w:sz w:val="14"/>
              </w:rPr>
              <w:t>198.76</w:t>
            </w:r>
          </w:p>
        </w:tc>
        <w:tc>
          <w:tcPr>
            <w:tcW w:type="dxa" w:w="1054"/>
          </w:tcPr>
          <w:p>
            <w:r>
              <w:rPr>
                <w:sz w:val="14"/>
              </w:rPr>
              <w:t>207.98</w:t>
            </w:r>
          </w:p>
        </w:tc>
      </w:tr>
    </w:tbl>
    <w:p/>
    <w:p>
      <w:pPr>
        <w:keepNext/>
        <w:keepLines/>
      </w:pPr>
      <w:r>
        <w:rPr>
          <w:i/>
        </w:rPr>
        <w:t>Source: C30, C57.</w:t>
      </w:r>
    </w:p>
    <w:p>
      <w:pPr>
        <w:keepNext/>
        <w:keepLines/>
      </w:pPr>
      <w:r>
        <w:rPr>
          <w:b/>
        </w:rPr>
        <w:t>Figure 10b – Finagle key rows, bear case (FY2025A–FY2031E explicit; FY2032E–FY2040E Finagle fade)</w:t>
      </w:r>
    </w:p>
    <w:tbl>
      <w:tblPr>
        <w:tblStyle w:val="TableGrid"/>
        <w:tblW w:type="auto" w:w="0"/>
        <w:tblLook w:firstColumn="1" w:firstRow="1" w:lastColumn="0" w:lastRow="0" w:noHBand="0" w:noVBand="1" w:val="04A0"/>
      </w:tblPr>
      <w:tblGrid>
        <w:gridCol w:w="1317"/>
        <w:gridCol w:w="1317"/>
        <w:gridCol w:w="1317"/>
        <w:gridCol w:w="1317"/>
        <w:gridCol w:w="1317"/>
        <w:gridCol w:w="1317"/>
        <w:gridCol w:w="1317"/>
        <w:gridCol w:w="1317"/>
      </w:tblGrid>
      <w:tr>
        <w:trPr>
          <w:cantSplit/>
          <w:tblHeader/>
        </w:trPr>
        <w:tc>
          <w:tcPr>
            <w:tcW w:type="dxa" w:w="1317"/>
          </w:tcPr>
          <w:p>
            <w:pPr>
              <w:keepNext/>
              <w:keepLines/>
            </w:pPr>
            <w:r>
              <w:rPr>
                <w:b/>
                <w:sz w:val="16"/>
              </w:rPr>
              <w:t>US$M</w:t>
            </w:r>
          </w:p>
        </w:tc>
        <w:tc>
          <w:tcPr>
            <w:tcW w:type="dxa" w:w="1317"/>
          </w:tcPr>
          <w:p>
            <w:pPr>
              <w:keepNext/>
              <w:keepLines/>
            </w:pPr>
            <w:r>
              <w:rPr>
                <w:b/>
                <w:sz w:val="16"/>
              </w:rPr>
              <w:t>FY2025A</w:t>
            </w:r>
          </w:p>
        </w:tc>
        <w:tc>
          <w:tcPr>
            <w:tcW w:type="dxa" w:w="1317"/>
          </w:tcPr>
          <w:p>
            <w:pPr>
              <w:keepNext/>
              <w:keepLines/>
            </w:pPr>
            <w:r>
              <w:rPr>
                <w:b/>
                <w:sz w:val="16"/>
              </w:rPr>
              <w:t>FY2026E</w:t>
            </w:r>
          </w:p>
        </w:tc>
        <w:tc>
          <w:tcPr>
            <w:tcW w:type="dxa" w:w="1317"/>
          </w:tcPr>
          <w:p>
            <w:pPr>
              <w:keepNext/>
              <w:keepLines/>
            </w:pPr>
            <w:r>
              <w:rPr>
                <w:b/>
                <w:sz w:val="16"/>
              </w:rPr>
              <w:t>FY2027E</w:t>
            </w:r>
          </w:p>
        </w:tc>
        <w:tc>
          <w:tcPr>
            <w:tcW w:type="dxa" w:w="1317"/>
          </w:tcPr>
          <w:p>
            <w:pPr>
              <w:keepNext/>
              <w:keepLines/>
            </w:pPr>
            <w:r>
              <w:rPr>
                <w:b/>
                <w:sz w:val="16"/>
              </w:rPr>
              <w:t>FY2028E</w:t>
            </w:r>
          </w:p>
        </w:tc>
        <w:tc>
          <w:tcPr>
            <w:tcW w:type="dxa" w:w="1317"/>
          </w:tcPr>
          <w:p>
            <w:pPr>
              <w:keepNext/>
              <w:keepLines/>
            </w:pPr>
            <w:r>
              <w:rPr>
                <w:b/>
                <w:sz w:val="16"/>
              </w:rPr>
              <w:t>FY2029E</w:t>
            </w:r>
          </w:p>
        </w:tc>
        <w:tc>
          <w:tcPr>
            <w:tcW w:type="dxa" w:w="1317"/>
          </w:tcPr>
          <w:p>
            <w:pPr>
              <w:keepNext/>
              <w:keepLines/>
            </w:pPr>
            <w:r>
              <w:rPr>
                <w:b/>
                <w:sz w:val="16"/>
              </w:rPr>
              <w:t>FY2030E</w:t>
            </w:r>
          </w:p>
        </w:tc>
        <w:tc>
          <w:tcPr>
            <w:tcW w:type="dxa" w:w="1317"/>
          </w:tcPr>
          <w:p>
            <w:pPr>
              <w:keepNext/>
              <w:keepLines/>
            </w:pPr>
            <w:r>
              <w:rPr>
                <w:b/>
                <w:sz w:val="16"/>
              </w:rPr>
              <w:t>FY2031E</w:t>
            </w:r>
          </w:p>
        </w:tc>
      </w:tr>
      <w:tr>
        <w:trPr>
          <w:cantSplit/>
        </w:trPr>
        <w:tc>
          <w:tcPr>
            <w:tcW w:type="dxa" w:w="1317"/>
          </w:tcPr>
          <w:p>
            <w:pPr>
              <w:keepNext/>
              <w:keepLines/>
            </w:pPr>
            <w:r>
              <w:rPr>
                <w:sz w:val="16"/>
              </w:rPr>
              <w:t>Revenue</w:t>
            </w:r>
          </w:p>
        </w:tc>
        <w:tc>
          <w:tcPr>
            <w:tcW w:type="dxa" w:w="1317"/>
          </w:tcPr>
          <w:p>
            <w:pPr>
              <w:keepNext/>
              <w:keepLines/>
            </w:pPr>
            <w:r>
              <w:rPr>
                <w:sz w:val="16"/>
              </w:rPr>
              <w:t>37.0</w:t>
            </w:r>
          </w:p>
        </w:tc>
        <w:tc>
          <w:tcPr>
            <w:tcW w:type="dxa" w:w="1317"/>
          </w:tcPr>
          <w:p>
            <w:pPr>
              <w:keepNext/>
              <w:keepLines/>
            </w:pPr>
            <w:r>
              <w:rPr>
                <w:sz w:val="16"/>
              </w:rPr>
              <w:t>48.0</w:t>
            </w:r>
          </w:p>
        </w:tc>
        <w:tc>
          <w:tcPr>
            <w:tcW w:type="dxa" w:w="1317"/>
          </w:tcPr>
          <w:p>
            <w:pPr>
              <w:keepNext/>
              <w:keepLines/>
            </w:pPr>
            <w:r>
              <w:rPr>
                <w:sz w:val="16"/>
              </w:rPr>
              <w:t>56.0</w:t>
            </w:r>
          </w:p>
        </w:tc>
        <w:tc>
          <w:tcPr>
            <w:tcW w:type="dxa" w:w="1317"/>
          </w:tcPr>
          <w:p>
            <w:pPr>
              <w:keepNext/>
              <w:keepLines/>
            </w:pPr>
            <w:r>
              <w:rPr>
                <w:sz w:val="16"/>
              </w:rPr>
              <w:t>67.9</w:t>
            </w:r>
          </w:p>
        </w:tc>
        <w:tc>
          <w:tcPr>
            <w:tcW w:type="dxa" w:w="1317"/>
          </w:tcPr>
          <w:p>
            <w:pPr>
              <w:keepNext/>
              <w:keepLines/>
            </w:pPr>
            <w:r>
              <w:rPr>
                <w:sz w:val="16"/>
              </w:rPr>
              <w:t>89.3</w:t>
            </w:r>
          </w:p>
        </w:tc>
        <w:tc>
          <w:tcPr>
            <w:tcW w:type="dxa" w:w="1317"/>
          </w:tcPr>
          <w:p>
            <w:pPr>
              <w:keepNext/>
              <w:keepLines/>
            </w:pPr>
            <w:r>
              <w:rPr>
                <w:sz w:val="16"/>
              </w:rPr>
              <w:t>119</w:t>
            </w:r>
          </w:p>
        </w:tc>
        <w:tc>
          <w:tcPr>
            <w:tcW w:type="dxa" w:w="1317"/>
          </w:tcPr>
          <w:p>
            <w:pPr>
              <w:keepNext/>
              <w:keepLines/>
            </w:pPr>
            <w:r>
              <w:rPr>
                <w:sz w:val="16"/>
              </w:rPr>
              <w:t>180</w:t>
            </w:r>
          </w:p>
        </w:tc>
      </w:tr>
      <w:tr>
        <w:trPr>
          <w:cantSplit/>
        </w:trPr>
        <w:tc>
          <w:tcPr>
            <w:tcW w:type="dxa" w:w="1317"/>
          </w:tcPr>
          <w:p>
            <w:pPr>
              <w:keepNext/>
              <w:keepLines/>
            </w:pPr>
            <w:r>
              <w:rPr>
                <w:sz w:val="16"/>
              </w:rPr>
              <w:t>Revenue growth (derived)</w:t>
            </w:r>
          </w:p>
        </w:tc>
        <w:tc>
          <w:tcPr>
            <w:tcW w:type="dxa" w:w="1317"/>
          </w:tcPr>
          <w:p>
            <w:pPr>
              <w:keepNext/>
              <w:keepLines/>
            </w:pPr>
            <w:r>
              <w:rPr>
                <w:sz w:val="16"/>
              </w:rPr>
              <w:t>–</w:t>
            </w:r>
          </w:p>
        </w:tc>
        <w:tc>
          <w:tcPr>
            <w:tcW w:type="dxa" w:w="1317"/>
          </w:tcPr>
          <w:p>
            <w:pPr>
              <w:keepNext/>
              <w:keepLines/>
            </w:pPr>
            <w:r>
              <w:rPr>
                <w:sz w:val="16"/>
              </w:rPr>
              <w:t>29.8%</w:t>
            </w:r>
          </w:p>
        </w:tc>
        <w:tc>
          <w:tcPr>
            <w:tcW w:type="dxa" w:w="1317"/>
          </w:tcPr>
          <w:p>
            <w:pPr>
              <w:keepNext/>
              <w:keepLines/>
            </w:pPr>
            <w:r>
              <w:rPr>
                <w:sz w:val="16"/>
              </w:rPr>
              <w:t>16.7%</w:t>
            </w:r>
          </w:p>
        </w:tc>
        <w:tc>
          <w:tcPr>
            <w:tcW w:type="dxa" w:w="1317"/>
          </w:tcPr>
          <w:p>
            <w:pPr>
              <w:keepNext/>
              <w:keepLines/>
            </w:pPr>
            <w:r>
              <w:rPr>
                <w:sz w:val="16"/>
              </w:rPr>
              <w:t>21.2%</w:t>
            </w:r>
          </w:p>
        </w:tc>
        <w:tc>
          <w:tcPr>
            <w:tcW w:type="dxa" w:w="1317"/>
          </w:tcPr>
          <w:p>
            <w:pPr>
              <w:keepNext/>
              <w:keepLines/>
            </w:pPr>
            <w:r>
              <w:rPr>
                <w:sz w:val="16"/>
              </w:rPr>
              <w:t>31.6%</w:t>
            </w:r>
          </w:p>
        </w:tc>
        <w:tc>
          <w:tcPr>
            <w:tcW w:type="dxa" w:w="1317"/>
          </w:tcPr>
          <w:p>
            <w:pPr>
              <w:keepNext/>
              <w:keepLines/>
            </w:pPr>
            <w:r>
              <w:rPr>
                <w:sz w:val="16"/>
              </w:rPr>
              <w:t>33.4%</w:t>
            </w:r>
          </w:p>
        </w:tc>
        <w:tc>
          <w:tcPr>
            <w:tcW w:type="dxa" w:w="1317"/>
          </w:tcPr>
          <w:p>
            <w:pPr>
              <w:keepNext/>
              <w:keepLines/>
            </w:pPr>
            <w:r>
              <w:rPr>
                <w:sz w:val="16"/>
              </w:rPr>
              <w:t>51.2%</w:t>
            </w:r>
          </w:p>
        </w:tc>
      </w:tr>
      <w:tr>
        <w:trPr>
          <w:cantSplit/>
        </w:trPr>
        <w:tc>
          <w:tcPr>
            <w:tcW w:type="dxa" w:w="1317"/>
          </w:tcPr>
          <w:p>
            <w:pPr>
              <w:keepNext/>
              <w:keepLines/>
            </w:pPr>
            <w:r>
              <w:rPr>
                <w:sz w:val="16"/>
              </w:rPr>
              <w:t>EBITDA</w:t>
            </w:r>
          </w:p>
        </w:tc>
        <w:tc>
          <w:tcPr>
            <w:tcW w:type="dxa" w:w="1317"/>
          </w:tcPr>
          <w:p>
            <w:pPr>
              <w:keepNext/>
              <w:keepLines/>
            </w:pPr>
            <w:r>
              <w:rPr>
                <w:sz w:val="16"/>
              </w:rPr>
              <w:t>−15.2</w:t>
            </w:r>
          </w:p>
        </w:tc>
        <w:tc>
          <w:tcPr>
            <w:tcW w:type="dxa" w:w="1317"/>
          </w:tcPr>
          <w:p>
            <w:pPr>
              <w:keepNext/>
              <w:keepLines/>
            </w:pPr>
            <w:r>
              <w:rPr>
                <w:sz w:val="16"/>
              </w:rPr>
              <w:t>−24.7</w:t>
            </w:r>
          </w:p>
        </w:tc>
        <w:tc>
          <w:tcPr>
            <w:tcW w:type="dxa" w:w="1317"/>
          </w:tcPr>
          <w:p>
            <w:pPr>
              <w:keepNext/>
              <w:keepLines/>
            </w:pPr>
            <w:r>
              <w:rPr>
                <w:sz w:val="16"/>
              </w:rPr>
              <w:t>−25.2</w:t>
            </w:r>
          </w:p>
        </w:tc>
        <w:tc>
          <w:tcPr>
            <w:tcW w:type="dxa" w:w="1317"/>
          </w:tcPr>
          <w:p>
            <w:pPr>
              <w:keepNext/>
              <w:keepLines/>
            </w:pPr>
            <w:r>
              <w:rPr>
                <w:sz w:val="16"/>
              </w:rPr>
              <w:t>−24.5</w:t>
            </w:r>
          </w:p>
        </w:tc>
        <w:tc>
          <w:tcPr>
            <w:tcW w:type="dxa" w:w="1317"/>
          </w:tcPr>
          <w:p>
            <w:pPr>
              <w:keepNext/>
              <w:keepLines/>
            </w:pPr>
            <w:r>
              <w:rPr>
                <w:sz w:val="16"/>
              </w:rPr>
              <w:t>−16.4</w:t>
            </w:r>
          </w:p>
        </w:tc>
        <w:tc>
          <w:tcPr>
            <w:tcW w:type="dxa" w:w="1317"/>
          </w:tcPr>
          <w:p>
            <w:pPr>
              <w:keepNext/>
              <w:keepLines/>
            </w:pPr>
            <w:r>
              <w:rPr>
                <w:sz w:val="16"/>
              </w:rPr>
              <w:t>−5.5</w:t>
            </w:r>
          </w:p>
        </w:tc>
        <w:tc>
          <w:tcPr>
            <w:tcW w:type="dxa" w:w="1317"/>
          </w:tcPr>
          <w:p>
            <w:pPr>
              <w:keepNext/>
              <w:keepLines/>
            </w:pPr>
            <w:r>
              <w:rPr>
                <w:sz w:val="16"/>
              </w:rPr>
              <w:t>25.8</w:t>
            </w:r>
          </w:p>
        </w:tc>
      </w:tr>
      <w:tr>
        <w:trPr>
          <w:cantSplit/>
        </w:trPr>
        <w:tc>
          <w:tcPr>
            <w:tcW w:type="dxa" w:w="1317"/>
          </w:tcPr>
          <w:p>
            <w:pPr>
              <w:keepNext/>
              <w:keepLines/>
            </w:pPr>
            <w:r>
              <w:rPr>
                <w:sz w:val="16"/>
              </w:rPr>
              <w:t>Stock-based compensation</w:t>
            </w:r>
          </w:p>
        </w:tc>
        <w:tc>
          <w:tcPr>
            <w:tcW w:type="dxa" w:w="1317"/>
          </w:tcPr>
          <w:p>
            <w:pPr>
              <w:keepNext/>
              <w:keepLines/>
            </w:pPr>
            <w:r>
              <w:rPr>
                <w:sz w:val="16"/>
              </w:rPr>
              <w:t>8.2</w:t>
            </w:r>
          </w:p>
        </w:tc>
        <w:tc>
          <w:tcPr>
            <w:tcW w:type="dxa" w:w="1317"/>
          </w:tcPr>
          <w:p>
            <w:pPr>
              <w:keepNext/>
              <w:keepLines/>
            </w:pPr>
            <w:r>
              <w:rPr>
                <w:sz w:val="16"/>
              </w:rPr>
              <w:t>8.0</w:t>
            </w:r>
          </w:p>
        </w:tc>
        <w:tc>
          <w:tcPr>
            <w:tcW w:type="dxa" w:w="1317"/>
          </w:tcPr>
          <w:p>
            <w:pPr>
              <w:keepNext/>
              <w:keepLines/>
            </w:pPr>
            <w:r>
              <w:rPr>
                <w:sz w:val="16"/>
              </w:rPr>
              <w:t>8.0</w:t>
            </w:r>
          </w:p>
        </w:tc>
        <w:tc>
          <w:tcPr>
            <w:tcW w:type="dxa" w:w="1317"/>
          </w:tcPr>
          <w:p>
            <w:pPr>
              <w:keepNext/>
              <w:keepLines/>
            </w:pPr>
            <w:r>
              <w:rPr>
                <w:sz w:val="16"/>
              </w:rPr>
              <w:t>8.0</w:t>
            </w:r>
          </w:p>
        </w:tc>
        <w:tc>
          <w:tcPr>
            <w:tcW w:type="dxa" w:w="1317"/>
          </w:tcPr>
          <w:p>
            <w:pPr>
              <w:keepNext/>
              <w:keepLines/>
            </w:pPr>
            <w:r>
              <w:rPr>
                <w:sz w:val="16"/>
              </w:rPr>
              <w:t>8.0</w:t>
            </w:r>
          </w:p>
        </w:tc>
        <w:tc>
          <w:tcPr>
            <w:tcW w:type="dxa" w:w="1317"/>
          </w:tcPr>
          <w:p>
            <w:pPr>
              <w:keepNext/>
              <w:keepLines/>
            </w:pPr>
            <w:r>
              <w:rPr>
                <w:sz w:val="16"/>
              </w:rPr>
              <w:t>8.0</w:t>
            </w:r>
          </w:p>
        </w:tc>
        <w:tc>
          <w:tcPr>
            <w:tcW w:type="dxa" w:w="1317"/>
          </w:tcPr>
          <w:p>
            <w:pPr>
              <w:keepNext/>
              <w:keepLines/>
            </w:pPr>
            <w:r>
              <w:rPr>
                <w:sz w:val="16"/>
              </w:rPr>
              <w:t>8.0</w:t>
            </w:r>
          </w:p>
        </w:tc>
      </w:tr>
      <w:tr>
        <w:trPr>
          <w:cantSplit/>
        </w:trPr>
        <w:tc>
          <w:tcPr>
            <w:tcW w:type="dxa" w:w="1317"/>
          </w:tcPr>
          <w:p>
            <w:pPr>
              <w:keepNext/>
              <w:keepLines/>
            </w:pPr>
            <w:r>
              <w:rPr>
                <w:sz w:val="16"/>
              </w:rPr>
              <w:t>Interest</w:t>
            </w:r>
          </w:p>
        </w:tc>
        <w:tc>
          <w:tcPr>
            <w:tcW w:type="dxa" w:w="1317"/>
          </w:tcPr>
          <w:p>
            <w:pPr>
              <w:keepNext/>
              <w:keepLines/>
            </w:pPr>
            <w:r>
              <w:rPr>
                <w:sz w:val="16"/>
              </w:rPr>
              <w:t>2.4</w:t>
            </w:r>
          </w:p>
        </w:tc>
        <w:tc>
          <w:tcPr>
            <w:tcW w:type="dxa" w:w="1317"/>
          </w:tcPr>
          <w:p>
            <w:pPr>
              <w:keepNext/>
              <w:keepLines/>
            </w:pPr>
            <w:r>
              <w:rPr>
                <w:sz w:val="16"/>
              </w:rPr>
              <w:t>4.5</w:t>
            </w:r>
          </w:p>
        </w:tc>
        <w:tc>
          <w:tcPr>
            <w:tcW w:type="dxa" w:w="1317"/>
          </w:tcPr>
          <w:p>
            <w:pPr>
              <w:keepNext/>
              <w:keepLines/>
            </w:pPr>
            <w:r>
              <w:rPr>
                <w:sz w:val="16"/>
              </w:rPr>
              <w:t>9.1</w:t>
            </w:r>
          </w:p>
        </w:tc>
        <w:tc>
          <w:tcPr>
            <w:tcW w:type="dxa" w:w="1317"/>
          </w:tcPr>
          <w:p>
            <w:pPr>
              <w:keepNext/>
              <w:keepLines/>
            </w:pPr>
            <w:r>
              <w:rPr>
                <w:sz w:val="16"/>
              </w:rPr>
              <w:t>9.1</w:t>
            </w:r>
          </w:p>
        </w:tc>
        <w:tc>
          <w:tcPr>
            <w:tcW w:type="dxa" w:w="1317"/>
          </w:tcPr>
          <w:p>
            <w:pPr>
              <w:keepNext/>
              <w:keepLines/>
            </w:pPr>
            <w:r>
              <w:rPr>
                <w:sz w:val="16"/>
              </w:rPr>
              <w:t>9.1</w:t>
            </w:r>
          </w:p>
        </w:tc>
        <w:tc>
          <w:tcPr>
            <w:tcW w:type="dxa" w:w="1317"/>
          </w:tcPr>
          <w:p>
            <w:pPr>
              <w:keepNext/>
              <w:keepLines/>
            </w:pPr>
            <w:r>
              <w:rPr>
                <w:sz w:val="16"/>
              </w:rPr>
              <w:t>9.1</w:t>
            </w:r>
          </w:p>
        </w:tc>
        <w:tc>
          <w:tcPr>
            <w:tcW w:type="dxa" w:w="1317"/>
          </w:tcPr>
          <w:p>
            <w:pPr>
              <w:keepNext/>
              <w:keepLines/>
            </w:pPr>
            <w:r>
              <w:rPr>
                <w:sz w:val="16"/>
              </w:rPr>
              <w:t>9.1</w:t>
            </w:r>
          </w:p>
        </w:tc>
      </w:tr>
      <w:tr>
        <w:trPr>
          <w:cantSplit/>
        </w:trPr>
        <w:tc>
          <w:tcPr>
            <w:tcW w:type="dxa" w:w="1317"/>
          </w:tcPr>
          <w:p>
            <w:pPr>
              <w:keepNext/>
              <w:keepLines/>
            </w:pPr>
            <w:r>
              <w:rPr>
                <w:sz w:val="16"/>
              </w:rPr>
              <w:t>Cash Taxes</w:t>
            </w:r>
          </w:p>
        </w:tc>
        <w:tc>
          <w:tcPr>
            <w:tcW w:type="dxa" w:w="1317"/>
          </w:tcPr>
          <w:p>
            <w:pPr>
              <w:keepNext/>
              <w:keepLines/>
            </w:pPr>
            <w:r>
              <w:rPr>
                <w:sz w:val="16"/>
              </w:rPr>
              <w:t>0.1</w:t>
            </w:r>
          </w:p>
        </w:tc>
        <w:tc>
          <w:tcPr>
            <w:tcW w:type="dxa" w:w="1317"/>
          </w:tcPr>
          <w:p>
            <w:pPr>
              <w:keepNext/>
              <w:keepLines/>
            </w:pPr>
            <w:r>
              <w:rPr>
                <w:sz w:val="16"/>
              </w:rPr>
              <w:t>0.0</w:t>
            </w:r>
          </w:p>
        </w:tc>
        <w:tc>
          <w:tcPr>
            <w:tcW w:type="dxa" w:w="1317"/>
          </w:tcPr>
          <w:p>
            <w:pPr>
              <w:keepNext/>
              <w:keepLines/>
            </w:pPr>
            <w:r>
              <w:rPr>
                <w:sz w:val="16"/>
              </w:rPr>
              <w:t>0.0</w:t>
            </w:r>
          </w:p>
        </w:tc>
        <w:tc>
          <w:tcPr>
            <w:tcW w:type="dxa" w:w="1317"/>
          </w:tcPr>
          <w:p>
            <w:pPr>
              <w:keepNext/>
              <w:keepLines/>
            </w:pPr>
            <w:r>
              <w:rPr>
                <w:sz w:val="16"/>
              </w:rPr>
              <w:t>0.0</w:t>
            </w:r>
          </w:p>
        </w:tc>
        <w:tc>
          <w:tcPr>
            <w:tcW w:type="dxa" w:w="1317"/>
          </w:tcPr>
          <w:p>
            <w:pPr>
              <w:keepNext/>
              <w:keepLines/>
            </w:pPr>
            <w:r>
              <w:rPr>
                <w:sz w:val="16"/>
              </w:rPr>
              <w:t>0.0</w:t>
            </w:r>
          </w:p>
        </w:tc>
        <w:tc>
          <w:tcPr>
            <w:tcW w:type="dxa" w:w="1317"/>
          </w:tcPr>
          <w:p>
            <w:pPr>
              <w:keepNext/>
              <w:keepLines/>
            </w:pPr>
            <w:r>
              <w:rPr>
                <w:sz w:val="16"/>
              </w:rPr>
              <w:t>0.0</w:t>
            </w:r>
          </w:p>
        </w:tc>
        <w:tc>
          <w:tcPr>
            <w:tcW w:type="dxa" w:w="1317"/>
          </w:tcPr>
          <w:p>
            <w:pPr>
              <w:keepNext/>
              <w:keepLines/>
            </w:pPr>
            <w:r>
              <w:rPr>
                <w:sz w:val="16"/>
              </w:rPr>
              <w:t>0.0</w:t>
            </w:r>
          </w:p>
        </w:tc>
      </w:tr>
      <w:tr>
        <w:trPr>
          <w:cantSplit/>
        </w:trPr>
        <w:tc>
          <w:tcPr>
            <w:tcW w:type="dxa" w:w="1317"/>
          </w:tcPr>
          <w:p>
            <w:pPr>
              <w:keepNext/>
              <w:keepLines/>
            </w:pPr>
            <w:r>
              <w:rPr>
                <w:sz w:val="16"/>
              </w:rPr>
              <w:t>Capex</w:t>
            </w:r>
          </w:p>
        </w:tc>
        <w:tc>
          <w:tcPr>
            <w:tcW w:type="dxa" w:w="1317"/>
          </w:tcPr>
          <w:p>
            <w:pPr>
              <w:keepNext/>
              <w:keepLines/>
            </w:pPr>
            <w:r>
              <w:rPr>
                <w:sz w:val="16"/>
              </w:rPr>
              <w:t>0.5</w:t>
            </w:r>
          </w:p>
        </w:tc>
        <w:tc>
          <w:tcPr>
            <w:tcW w:type="dxa" w:w="1317"/>
          </w:tcPr>
          <w:p>
            <w:pPr>
              <w:keepNext/>
              <w:keepLines/>
            </w:pPr>
            <w:r>
              <w:rPr>
                <w:sz w:val="16"/>
              </w:rPr>
              <w:t>1.3</w:t>
            </w:r>
          </w:p>
        </w:tc>
        <w:tc>
          <w:tcPr>
            <w:tcW w:type="dxa" w:w="1317"/>
          </w:tcPr>
          <w:p>
            <w:pPr>
              <w:keepNext/>
              <w:keepLines/>
            </w:pPr>
            <w:r>
              <w:rPr>
                <w:sz w:val="16"/>
              </w:rPr>
              <w:t>1.9</w:t>
            </w:r>
          </w:p>
        </w:tc>
        <w:tc>
          <w:tcPr>
            <w:tcW w:type="dxa" w:w="1317"/>
          </w:tcPr>
          <w:p>
            <w:pPr>
              <w:keepNext/>
              <w:keepLines/>
            </w:pPr>
            <w:r>
              <w:rPr>
                <w:sz w:val="16"/>
              </w:rPr>
              <w:t>2.7</w:t>
            </w:r>
          </w:p>
        </w:tc>
        <w:tc>
          <w:tcPr>
            <w:tcW w:type="dxa" w:w="1317"/>
          </w:tcPr>
          <w:p>
            <w:pPr>
              <w:keepNext/>
              <w:keepLines/>
            </w:pPr>
            <w:r>
              <w:rPr>
                <w:sz w:val="16"/>
              </w:rPr>
              <w:t>4.3</w:t>
            </w:r>
          </w:p>
        </w:tc>
        <w:tc>
          <w:tcPr>
            <w:tcW w:type="dxa" w:w="1317"/>
          </w:tcPr>
          <w:p>
            <w:pPr>
              <w:keepNext/>
              <w:keepLines/>
            </w:pPr>
            <w:r>
              <w:rPr>
                <w:sz w:val="16"/>
              </w:rPr>
              <w:t>6.4</w:t>
            </w:r>
          </w:p>
        </w:tc>
        <w:tc>
          <w:tcPr>
            <w:tcW w:type="dxa" w:w="1317"/>
          </w:tcPr>
          <w:p>
            <w:pPr>
              <w:keepNext/>
              <w:keepLines/>
            </w:pPr>
            <w:r>
              <w:rPr>
                <w:sz w:val="16"/>
              </w:rPr>
              <w:t>10.8</w:t>
            </w:r>
          </w:p>
        </w:tc>
      </w:tr>
      <w:tr>
        <w:trPr>
          <w:cantSplit/>
        </w:trPr>
        <w:tc>
          <w:tcPr>
            <w:tcW w:type="dxa" w:w="1317"/>
          </w:tcPr>
          <w:p>
            <w:pPr>
              <w:keepNext/>
              <w:keepLines/>
            </w:pPr>
            <w:r>
              <w:rPr>
                <w:sz w:val="16"/>
              </w:rPr>
              <w:t>Debt, Market Value</w:t>
            </w:r>
          </w:p>
        </w:tc>
        <w:tc>
          <w:tcPr>
            <w:tcW w:type="dxa" w:w="1317"/>
          </w:tcPr>
          <w:p>
            <w:pPr>
              <w:keepNext/>
              <w:keepLines/>
            </w:pPr>
            <w:r>
              <w:rPr>
                <w:sz w:val="16"/>
              </w:rPr>
              <w:t>49.1</w:t>
            </w:r>
          </w:p>
        </w:tc>
        <w:tc>
          <w:tcPr>
            <w:tcW w:type="dxa" w:w="1317"/>
          </w:tcPr>
          <w:p>
            <w:pPr>
              <w:keepNext/>
              <w:keepLines/>
            </w:pPr>
            <w:r>
              <w:rPr>
                <w:sz w:val="16"/>
              </w:rPr>
              <w:t>99.1</w:t>
            </w:r>
          </w:p>
        </w:tc>
        <w:tc>
          <w:tcPr>
            <w:tcW w:type="dxa" w:w="1317"/>
          </w:tcPr>
          <w:p>
            <w:pPr>
              <w:keepNext/>
              <w:keepLines/>
            </w:pPr>
            <w:r>
              <w:rPr>
                <w:sz w:val="16"/>
              </w:rPr>
              <w:t>99.1</w:t>
            </w:r>
          </w:p>
        </w:tc>
        <w:tc>
          <w:tcPr>
            <w:tcW w:type="dxa" w:w="1317"/>
          </w:tcPr>
          <w:p>
            <w:pPr>
              <w:keepNext/>
              <w:keepLines/>
            </w:pPr>
            <w:r>
              <w:rPr>
                <w:sz w:val="16"/>
              </w:rPr>
              <w:t>99.1</w:t>
            </w:r>
          </w:p>
        </w:tc>
        <w:tc>
          <w:tcPr>
            <w:tcW w:type="dxa" w:w="1317"/>
          </w:tcPr>
          <w:p>
            <w:pPr>
              <w:keepNext/>
              <w:keepLines/>
            </w:pPr>
            <w:r>
              <w:rPr>
                <w:sz w:val="16"/>
              </w:rPr>
              <w:t>99.1</w:t>
            </w:r>
          </w:p>
        </w:tc>
        <w:tc>
          <w:tcPr>
            <w:tcW w:type="dxa" w:w="1317"/>
          </w:tcPr>
          <w:p>
            <w:pPr>
              <w:keepNext/>
              <w:keepLines/>
            </w:pPr>
            <w:r>
              <w:rPr>
                <w:sz w:val="16"/>
              </w:rPr>
              <w:t>99.1</w:t>
            </w:r>
          </w:p>
        </w:tc>
        <w:tc>
          <w:tcPr>
            <w:tcW w:type="dxa" w:w="1317"/>
          </w:tcPr>
          <w:p>
            <w:pPr>
              <w:keepNext/>
              <w:keepLines/>
            </w:pPr>
            <w:r>
              <w:rPr>
                <w:sz w:val="16"/>
              </w:rPr>
              <w:t>101</w:t>
            </w:r>
          </w:p>
        </w:tc>
      </w:tr>
      <w:tr>
        <w:trPr>
          <w:cantSplit/>
        </w:trPr>
        <w:tc>
          <w:tcPr>
            <w:tcW w:type="dxa" w:w="1317"/>
          </w:tcPr>
          <w:p>
            <w:pPr>
              <w:keepNext/>
              <w:keepLines/>
            </w:pPr>
            <w:r>
              <w:rPr>
                <w:sz w:val="16"/>
              </w:rPr>
              <w:t>FCFE</w:t>
            </w:r>
          </w:p>
        </w:tc>
        <w:tc>
          <w:tcPr>
            <w:tcW w:type="dxa" w:w="1317"/>
          </w:tcPr>
          <w:p>
            <w:pPr>
              <w:keepNext/>
              <w:keepLines/>
            </w:pPr>
            <w:r>
              <w:rPr>
                <w:sz w:val="16"/>
              </w:rPr>
              <w:t>−26.3</w:t>
            </w:r>
          </w:p>
        </w:tc>
        <w:tc>
          <w:tcPr>
            <w:tcW w:type="dxa" w:w="1317"/>
          </w:tcPr>
          <w:p>
            <w:pPr>
              <w:keepNext/>
              <w:keepLines/>
            </w:pPr>
            <w:r>
              <w:rPr>
                <w:sz w:val="16"/>
              </w:rPr>
              <w:t>11.4</w:t>
            </w:r>
          </w:p>
        </w:tc>
        <w:tc>
          <w:tcPr>
            <w:tcW w:type="dxa" w:w="1317"/>
          </w:tcPr>
          <w:p>
            <w:pPr>
              <w:keepNext/>
              <w:keepLines/>
            </w:pPr>
            <w:r>
              <w:rPr>
                <w:sz w:val="16"/>
              </w:rPr>
              <w:t>−44.2</w:t>
            </w:r>
          </w:p>
        </w:tc>
        <w:tc>
          <w:tcPr>
            <w:tcW w:type="dxa" w:w="1317"/>
          </w:tcPr>
          <w:p>
            <w:pPr>
              <w:keepNext/>
              <w:keepLines/>
            </w:pPr>
            <w:r>
              <w:rPr>
                <w:sz w:val="16"/>
              </w:rPr>
              <w:t>−44.4</w:t>
            </w:r>
          </w:p>
        </w:tc>
        <w:tc>
          <w:tcPr>
            <w:tcW w:type="dxa" w:w="1317"/>
          </w:tcPr>
          <w:p>
            <w:pPr>
              <w:keepNext/>
              <w:keepLines/>
            </w:pPr>
            <w:r>
              <w:rPr>
                <w:sz w:val="16"/>
              </w:rPr>
              <w:t>−37.8</w:t>
            </w:r>
          </w:p>
        </w:tc>
        <w:tc>
          <w:tcPr>
            <w:tcW w:type="dxa" w:w="1317"/>
          </w:tcPr>
          <w:p>
            <w:pPr>
              <w:keepNext/>
              <w:keepLines/>
            </w:pPr>
            <w:r>
              <w:rPr>
                <w:sz w:val="16"/>
              </w:rPr>
              <w:t>−29.0</w:t>
            </w:r>
          </w:p>
        </w:tc>
        <w:tc>
          <w:tcPr>
            <w:tcW w:type="dxa" w:w="1317"/>
          </w:tcPr>
          <w:p>
            <w:pPr>
              <w:keepNext/>
              <w:keepLines/>
            </w:pPr>
            <w:r>
              <w:rPr>
                <w:sz w:val="16"/>
              </w:rPr>
              <w:t>0.0</w:t>
            </w:r>
          </w:p>
        </w:tc>
      </w:tr>
      <w:tr>
        <w:trPr>
          <w:cantSplit/>
        </w:trPr>
        <w:tc>
          <w:tcPr>
            <w:tcW w:type="dxa" w:w="1317"/>
          </w:tcPr>
          <w:p>
            <w:pPr>
              <w:keepNext/>
              <w:keepLines/>
            </w:pPr>
            <w:r>
              <w:rPr>
                <w:sz w:val="16"/>
              </w:rPr>
              <w:t>Equity, Intrinsic Value</w:t>
            </w:r>
          </w:p>
        </w:tc>
        <w:tc>
          <w:tcPr>
            <w:tcW w:type="dxa" w:w="1317"/>
          </w:tcPr>
          <w:p>
            <w:pPr>
              <w:keepNext/>
              <w:keepLines/>
            </w:pPr>
            <w:r>
              <w:rPr>
                <w:sz w:val="16"/>
              </w:rPr>
              <w:t>398</w:t>
            </w:r>
          </w:p>
        </w:tc>
        <w:tc>
          <w:tcPr>
            <w:tcW w:type="dxa" w:w="1317"/>
          </w:tcPr>
          <w:p>
            <w:pPr>
              <w:keepNext/>
              <w:keepLines/>
            </w:pPr>
            <w:r>
              <w:rPr>
                <w:sz w:val="16"/>
              </w:rPr>
              <w:t>428</w:t>
            </w:r>
          </w:p>
        </w:tc>
        <w:tc>
          <w:tcPr>
            <w:tcW w:type="dxa" w:w="1317"/>
          </w:tcPr>
          <w:p>
            <w:pPr>
              <w:keepNext/>
              <w:keepLines/>
            </w:pPr>
            <w:r>
              <w:rPr>
                <w:sz w:val="16"/>
              </w:rPr>
              <w:t>517</w:t>
            </w:r>
          </w:p>
        </w:tc>
        <w:tc>
          <w:tcPr>
            <w:tcW w:type="dxa" w:w="1317"/>
          </w:tcPr>
          <w:p>
            <w:pPr>
              <w:keepNext/>
              <w:keepLines/>
            </w:pPr>
            <w:r>
              <w:rPr>
                <w:sz w:val="16"/>
              </w:rPr>
              <w:t>616</w:t>
            </w:r>
          </w:p>
        </w:tc>
        <w:tc>
          <w:tcPr>
            <w:tcW w:type="dxa" w:w="1317"/>
          </w:tcPr>
          <w:p>
            <w:pPr>
              <w:keepNext/>
              <w:keepLines/>
            </w:pPr>
            <w:r>
              <w:rPr>
                <w:sz w:val="16"/>
              </w:rPr>
              <w:t>718</w:t>
            </w:r>
          </w:p>
        </w:tc>
        <w:tc>
          <w:tcPr>
            <w:tcW w:type="dxa" w:w="1317"/>
          </w:tcPr>
          <w:p>
            <w:pPr>
              <w:keepNext/>
              <w:keepLines/>
            </w:pPr>
            <w:r>
              <w:rPr>
                <w:sz w:val="16"/>
              </w:rPr>
              <w:t>822</w:t>
            </w:r>
          </w:p>
        </w:tc>
        <w:tc>
          <w:tcPr>
            <w:tcW w:type="dxa" w:w="1317"/>
          </w:tcPr>
          <w:p>
            <w:pPr>
              <w:keepNext/>
              <w:keepLines/>
            </w:pPr>
            <w:r>
              <w:rPr>
                <w:sz w:val="16"/>
              </w:rPr>
              <w:t>908</w:t>
            </w:r>
          </w:p>
        </w:tc>
      </w:tr>
      <w:tr>
        <w:trPr>
          <w:cantSplit/>
        </w:trPr>
        <w:tc>
          <w:tcPr>
            <w:tcW w:type="dxa" w:w="1317"/>
          </w:tcPr>
          <w:p>
            <w:pPr>
              <w:keepNext/>
              <w:keepLines/>
            </w:pPr>
            <w:r>
              <w:rPr>
                <w:sz w:val="16"/>
              </w:rPr>
              <w:t>Cash</w:t>
            </w:r>
          </w:p>
        </w:tc>
        <w:tc>
          <w:tcPr>
            <w:tcW w:type="dxa" w:w="1317"/>
          </w:tcPr>
          <w:p>
            <w:pPr>
              <w:keepNext/>
              <w:keepLines/>
            </w:pPr>
            <w:r>
              <w:rPr>
                <w:sz w:val="16"/>
              </w:rPr>
              <w:t>45.9</w:t>
            </w:r>
          </w:p>
        </w:tc>
        <w:tc>
          <w:tcPr>
            <w:tcW w:type="dxa" w:w="1317"/>
          </w:tcPr>
          <w:p>
            <w:pPr>
              <w:keepNext/>
              <w:keepLines/>
            </w:pPr>
            <w:r>
              <w:rPr>
                <w:sz w:val="16"/>
              </w:rPr>
              <w:t>57.4</w:t>
            </w:r>
          </w:p>
        </w:tc>
        <w:tc>
          <w:tcPr>
            <w:tcW w:type="dxa" w:w="1317"/>
          </w:tcPr>
          <w:p>
            <w:pPr>
              <w:keepNext/>
              <w:keepLines/>
            </w:pPr>
            <w:r>
              <w:rPr>
                <w:sz w:val="16"/>
              </w:rPr>
              <w:t>13.2</w:t>
            </w:r>
          </w:p>
        </w:tc>
        <w:tc>
          <w:tcPr>
            <w:tcW w:type="dxa" w:w="1317"/>
          </w:tcPr>
          <w:p>
            <w:pPr>
              <w:keepNext/>
              <w:keepLines/>
            </w:pPr>
            <w:r>
              <w:rPr>
                <w:sz w:val="16"/>
              </w:rPr>
              <w:t>−31.2</w:t>
            </w:r>
          </w:p>
        </w:tc>
        <w:tc>
          <w:tcPr>
            <w:tcW w:type="dxa" w:w="1317"/>
          </w:tcPr>
          <w:p>
            <w:pPr>
              <w:keepNext/>
              <w:keepLines/>
            </w:pPr>
            <w:r>
              <w:rPr>
                <w:sz w:val="16"/>
              </w:rPr>
              <w:t>−69.0</w:t>
            </w:r>
          </w:p>
        </w:tc>
        <w:tc>
          <w:tcPr>
            <w:tcW w:type="dxa" w:w="1317"/>
          </w:tcPr>
          <w:p>
            <w:pPr>
              <w:keepNext/>
              <w:keepLines/>
            </w:pPr>
            <w:r>
              <w:rPr>
                <w:sz w:val="16"/>
              </w:rPr>
              <w:t>−98.0</w:t>
            </w:r>
          </w:p>
        </w:tc>
        <w:tc>
          <w:tcPr>
            <w:tcW w:type="dxa" w:w="1317"/>
          </w:tcPr>
          <w:p>
            <w:pPr>
              <w:keepNext/>
              <w:keepLines/>
            </w:pPr>
            <w:r>
              <w:rPr>
                <w:sz w:val="16"/>
              </w:rPr>
              <w:t>−98.0</w:t>
            </w:r>
          </w:p>
        </w:tc>
      </w:tr>
      <w:tr>
        <w:trPr>
          <w:cantSplit/>
        </w:trPr>
        <w:tc>
          <w:tcPr>
            <w:tcW w:type="dxa" w:w="1317"/>
          </w:tcPr>
          <w:p>
            <w:r>
              <w:rPr>
                <w:sz w:val="16"/>
              </w:rPr>
              <w:t>Intrinsic Value per Share (US$)</w:t>
            </w:r>
          </w:p>
        </w:tc>
        <w:tc>
          <w:tcPr>
            <w:tcW w:type="dxa" w:w="1317"/>
          </w:tcPr>
          <w:p>
            <w:r>
              <w:rPr>
                <w:sz w:val="16"/>
              </w:rPr>
              <w:t>14.56</w:t>
            </w:r>
          </w:p>
        </w:tc>
        <w:tc>
          <w:tcPr>
            <w:tcW w:type="dxa" w:w="1317"/>
          </w:tcPr>
          <w:p>
            <w:r>
              <w:rPr>
                <w:sz w:val="16"/>
              </w:rPr>
              <w:t>14.04</w:t>
            </w:r>
          </w:p>
        </w:tc>
        <w:tc>
          <w:tcPr>
            <w:tcW w:type="dxa" w:w="1317"/>
          </w:tcPr>
          <w:p>
            <w:r>
              <w:rPr>
                <w:sz w:val="16"/>
              </w:rPr>
              <w:t>16.96</w:t>
            </w:r>
          </w:p>
        </w:tc>
        <w:tc>
          <w:tcPr>
            <w:tcW w:type="dxa" w:w="1317"/>
          </w:tcPr>
          <w:p>
            <w:r>
              <w:rPr>
                <w:sz w:val="16"/>
              </w:rPr>
              <w:t>20.19</w:t>
            </w:r>
          </w:p>
        </w:tc>
        <w:tc>
          <w:tcPr>
            <w:tcW w:type="dxa" w:w="1317"/>
          </w:tcPr>
          <w:p>
            <w:r>
              <w:rPr>
                <w:sz w:val="16"/>
              </w:rPr>
              <w:t>23.53</w:t>
            </w:r>
          </w:p>
        </w:tc>
        <w:tc>
          <w:tcPr>
            <w:tcW w:type="dxa" w:w="1317"/>
          </w:tcPr>
          <w:p>
            <w:r>
              <w:rPr>
                <w:sz w:val="16"/>
              </w:rPr>
              <w:t>26.94</w:t>
            </w:r>
          </w:p>
        </w:tc>
        <w:tc>
          <w:tcPr>
            <w:tcW w:type="dxa" w:w="1317"/>
          </w:tcPr>
          <w:p>
            <w:r>
              <w:rPr>
                <w:sz w:val="16"/>
              </w:rPr>
              <w:t>29.76</w:t>
            </w:r>
          </w:p>
        </w:tc>
      </w:tr>
    </w:tbl>
    <w:p/>
    <w:tbl>
      <w:tblPr>
        <w:tblStyle w:val="TableGrid"/>
        <w:tblW w:type="auto" w:w="0"/>
        <w:tblLook w:firstColumn="1" w:firstRow="1" w:lastColumn="0" w:lastRow="0" w:noHBand="0" w:noVBand="1" w:val="04A0"/>
      </w:tblPr>
      <w:tblGrid>
        <w:gridCol w:w="1054"/>
        <w:gridCol w:w="1054"/>
        <w:gridCol w:w="1054"/>
        <w:gridCol w:w="1054"/>
        <w:gridCol w:w="1054"/>
        <w:gridCol w:w="1054"/>
        <w:gridCol w:w="1054"/>
        <w:gridCol w:w="1054"/>
        <w:gridCol w:w="1054"/>
        <w:gridCol w:w="1054"/>
      </w:tblGrid>
      <w:tr>
        <w:trPr>
          <w:cantSplit/>
          <w:tblHeader/>
        </w:trPr>
        <w:tc>
          <w:tcPr>
            <w:tcW w:type="dxa" w:w="1054"/>
          </w:tcPr>
          <w:p>
            <w:pPr>
              <w:keepNext/>
              <w:keepLines/>
            </w:pPr>
            <w:r>
              <w:rPr>
                <w:b/>
                <w:sz w:val="14"/>
              </w:rPr>
              <w:t>US$M</w:t>
            </w:r>
          </w:p>
        </w:tc>
        <w:tc>
          <w:tcPr>
            <w:tcW w:type="dxa" w:w="1054"/>
          </w:tcPr>
          <w:p>
            <w:pPr>
              <w:keepNext/>
              <w:keepLines/>
            </w:pPr>
            <w:r>
              <w:rPr>
                <w:b/>
                <w:sz w:val="14"/>
              </w:rPr>
              <w:t>FY2032E</w:t>
            </w:r>
          </w:p>
        </w:tc>
        <w:tc>
          <w:tcPr>
            <w:tcW w:type="dxa" w:w="1054"/>
          </w:tcPr>
          <w:p>
            <w:pPr>
              <w:keepNext/>
              <w:keepLines/>
            </w:pPr>
            <w:r>
              <w:rPr>
                <w:b/>
                <w:sz w:val="14"/>
              </w:rPr>
              <w:t>FY2033E</w:t>
            </w:r>
          </w:p>
        </w:tc>
        <w:tc>
          <w:tcPr>
            <w:tcW w:type="dxa" w:w="1054"/>
          </w:tcPr>
          <w:p>
            <w:pPr>
              <w:keepNext/>
              <w:keepLines/>
            </w:pPr>
            <w:r>
              <w:rPr>
                <w:b/>
                <w:sz w:val="14"/>
              </w:rPr>
              <w:t>FY2034E</w:t>
            </w:r>
          </w:p>
        </w:tc>
        <w:tc>
          <w:tcPr>
            <w:tcW w:type="dxa" w:w="1054"/>
          </w:tcPr>
          <w:p>
            <w:pPr>
              <w:keepNext/>
              <w:keepLines/>
            </w:pPr>
            <w:r>
              <w:rPr>
                <w:b/>
                <w:sz w:val="14"/>
              </w:rPr>
              <w:t>FY2035E</w:t>
            </w:r>
          </w:p>
        </w:tc>
        <w:tc>
          <w:tcPr>
            <w:tcW w:type="dxa" w:w="1054"/>
          </w:tcPr>
          <w:p>
            <w:pPr>
              <w:keepNext/>
              <w:keepLines/>
            </w:pPr>
            <w:r>
              <w:rPr>
                <w:b/>
                <w:sz w:val="14"/>
              </w:rPr>
              <w:t>FY2036E</w:t>
            </w:r>
          </w:p>
        </w:tc>
        <w:tc>
          <w:tcPr>
            <w:tcW w:type="dxa" w:w="1054"/>
          </w:tcPr>
          <w:p>
            <w:pPr>
              <w:keepNext/>
              <w:keepLines/>
            </w:pPr>
            <w:r>
              <w:rPr>
                <w:b/>
                <w:sz w:val="14"/>
              </w:rPr>
              <w:t>FY2037E</w:t>
            </w:r>
          </w:p>
        </w:tc>
        <w:tc>
          <w:tcPr>
            <w:tcW w:type="dxa" w:w="1054"/>
          </w:tcPr>
          <w:p>
            <w:pPr>
              <w:keepNext/>
              <w:keepLines/>
            </w:pPr>
            <w:r>
              <w:rPr>
                <w:b/>
                <w:sz w:val="14"/>
              </w:rPr>
              <w:t>FY2038E</w:t>
            </w:r>
          </w:p>
        </w:tc>
        <w:tc>
          <w:tcPr>
            <w:tcW w:type="dxa" w:w="1054"/>
          </w:tcPr>
          <w:p>
            <w:pPr>
              <w:keepNext/>
              <w:keepLines/>
            </w:pPr>
            <w:r>
              <w:rPr>
                <w:b/>
                <w:sz w:val="14"/>
              </w:rPr>
              <w:t>FY2039E</w:t>
            </w:r>
          </w:p>
        </w:tc>
        <w:tc>
          <w:tcPr>
            <w:tcW w:type="dxa" w:w="1054"/>
          </w:tcPr>
          <w:p>
            <w:pPr>
              <w:keepNext/>
              <w:keepLines/>
            </w:pPr>
            <w:r>
              <w:rPr>
                <w:b/>
                <w:sz w:val="14"/>
              </w:rPr>
              <w:t>FY2040E</w:t>
            </w:r>
          </w:p>
        </w:tc>
      </w:tr>
      <w:tr>
        <w:trPr>
          <w:cantSplit/>
        </w:trPr>
        <w:tc>
          <w:tcPr>
            <w:tcW w:type="dxa" w:w="1054"/>
          </w:tcPr>
          <w:p>
            <w:pPr>
              <w:keepNext/>
              <w:keepLines/>
            </w:pPr>
            <w:r>
              <w:rPr>
                <w:sz w:val="14"/>
              </w:rPr>
              <w:t>Revenue</w:t>
            </w:r>
          </w:p>
        </w:tc>
        <w:tc>
          <w:tcPr>
            <w:tcW w:type="dxa" w:w="1054"/>
          </w:tcPr>
          <w:p>
            <w:pPr>
              <w:keepNext/>
              <w:keepLines/>
            </w:pPr>
            <w:r>
              <w:rPr>
                <w:sz w:val="14"/>
              </w:rPr>
              <w:t>207</w:t>
            </w:r>
          </w:p>
        </w:tc>
        <w:tc>
          <w:tcPr>
            <w:tcW w:type="dxa" w:w="1054"/>
          </w:tcPr>
          <w:p>
            <w:pPr>
              <w:keepNext/>
              <w:keepLines/>
            </w:pPr>
            <w:r>
              <w:rPr>
                <w:sz w:val="14"/>
              </w:rPr>
              <w:t>236</w:t>
            </w:r>
          </w:p>
        </w:tc>
        <w:tc>
          <w:tcPr>
            <w:tcW w:type="dxa" w:w="1054"/>
          </w:tcPr>
          <w:p>
            <w:pPr>
              <w:keepNext/>
              <w:keepLines/>
            </w:pPr>
            <w:r>
              <w:rPr>
                <w:sz w:val="14"/>
              </w:rPr>
              <w:t>266</w:t>
            </w:r>
          </w:p>
        </w:tc>
        <w:tc>
          <w:tcPr>
            <w:tcW w:type="dxa" w:w="1054"/>
          </w:tcPr>
          <w:p>
            <w:pPr>
              <w:keepNext/>
              <w:keepLines/>
            </w:pPr>
            <w:r>
              <w:rPr>
                <w:sz w:val="14"/>
              </w:rPr>
              <w:t>297</w:t>
            </w:r>
          </w:p>
        </w:tc>
        <w:tc>
          <w:tcPr>
            <w:tcW w:type="dxa" w:w="1054"/>
          </w:tcPr>
          <w:p>
            <w:pPr>
              <w:keepNext/>
              <w:keepLines/>
            </w:pPr>
            <w:r>
              <w:rPr>
                <w:sz w:val="14"/>
              </w:rPr>
              <w:t>328</w:t>
            </w:r>
          </w:p>
        </w:tc>
        <w:tc>
          <w:tcPr>
            <w:tcW w:type="dxa" w:w="1054"/>
          </w:tcPr>
          <w:p>
            <w:pPr>
              <w:keepNext/>
              <w:keepLines/>
            </w:pPr>
            <w:r>
              <w:rPr>
                <w:sz w:val="14"/>
              </w:rPr>
              <w:t>359</w:t>
            </w:r>
          </w:p>
        </w:tc>
        <w:tc>
          <w:tcPr>
            <w:tcW w:type="dxa" w:w="1054"/>
          </w:tcPr>
          <w:p>
            <w:pPr>
              <w:keepNext/>
              <w:keepLines/>
            </w:pPr>
            <w:r>
              <w:rPr>
                <w:sz w:val="14"/>
              </w:rPr>
              <w:t>389</w:t>
            </w:r>
          </w:p>
        </w:tc>
        <w:tc>
          <w:tcPr>
            <w:tcW w:type="dxa" w:w="1054"/>
          </w:tcPr>
          <w:p>
            <w:pPr>
              <w:keepNext/>
              <w:keepLines/>
            </w:pPr>
            <w:r>
              <w:rPr>
                <w:sz w:val="14"/>
              </w:rPr>
              <w:t>417</w:t>
            </w:r>
          </w:p>
        </w:tc>
        <w:tc>
          <w:tcPr>
            <w:tcW w:type="dxa" w:w="1054"/>
          </w:tcPr>
          <w:p>
            <w:pPr>
              <w:keepNext/>
              <w:keepLines/>
            </w:pPr>
            <w:r>
              <w:rPr>
                <w:sz w:val="14"/>
              </w:rPr>
              <w:t>442</w:t>
            </w:r>
          </w:p>
        </w:tc>
      </w:tr>
      <w:tr>
        <w:trPr>
          <w:cantSplit/>
        </w:trPr>
        <w:tc>
          <w:tcPr>
            <w:tcW w:type="dxa" w:w="1054"/>
          </w:tcPr>
          <w:p>
            <w:pPr>
              <w:keepNext/>
              <w:keepLines/>
            </w:pPr>
            <w:r>
              <w:rPr>
                <w:sz w:val="14"/>
              </w:rPr>
              <w:t>Revenue growth (derived)</w:t>
            </w:r>
          </w:p>
        </w:tc>
        <w:tc>
          <w:tcPr>
            <w:tcW w:type="dxa" w:w="1054"/>
          </w:tcPr>
          <w:p>
            <w:pPr>
              <w:keepNext/>
              <w:keepLines/>
            </w:pPr>
            <w:r>
              <w:rPr>
                <w:sz w:val="14"/>
              </w:rPr>
              <w:t>15.0%</w:t>
            </w:r>
          </w:p>
        </w:tc>
        <w:tc>
          <w:tcPr>
            <w:tcW w:type="dxa" w:w="1054"/>
          </w:tcPr>
          <w:p>
            <w:pPr>
              <w:keepNext/>
              <w:keepLines/>
            </w:pPr>
            <w:r>
              <w:rPr>
                <w:sz w:val="14"/>
              </w:rPr>
              <w:t>13.9%</w:t>
            </w:r>
          </w:p>
        </w:tc>
        <w:tc>
          <w:tcPr>
            <w:tcW w:type="dxa" w:w="1054"/>
          </w:tcPr>
          <w:p>
            <w:pPr>
              <w:keepNext/>
              <w:keepLines/>
            </w:pPr>
            <w:r>
              <w:rPr>
                <w:sz w:val="14"/>
              </w:rPr>
              <w:t>12.8%</w:t>
            </w:r>
          </w:p>
        </w:tc>
        <w:tc>
          <w:tcPr>
            <w:tcW w:type="dxa" w:w="1054"/>
          </w:tcPr>
          <w:p>
            <w:pPr>
              <w:keepNext/>
              <w:keepLines/>
            </w:pPr>
            <w:r>
              <w:rPr>
                <w:sz w:val="14"/>
              </w:rPr>
              <w:t>11.7%</w:t>
            </w:r>
          </w:p>
        </w:tc>
        <w:tc>
          <w:tcPr>
            <w:tcW w:type="dxa" w:w="1054"/>
          </w:tcPr>
          <w:p>
            <w:pPr>
              <w:keepNext/>
              <w:keepLines/>
            </w:pPr>
            <w:r>
              <w:rPr>
                <w:sz w:val="14"/>
              </w:rPr>
              <w:t>10.5%</w:t>
            </w:r>
          </w:p>
        </w:tc>
        <w:tc>
          <w:tcPr>
            <w:tcW w:type="dxa" w:w="1054"/>
          </w:tcPr>
          <w:p>
            <w:pPr>
              <w:keepNext/>
              <w:keepLines/>
            </w:pPr>
            <w:r>
              <w:rPr>
                <w:sz w:val="14"/>
              </w:rPr>
              <w:t>9.4%</w:t>
            </w:r>
          </w:p>
        </w:tc>
        <w:tc>
          <w:tcPr>
            <w:tcW w:type="dxa" w:w="1054"/>
          </w:tcPr>
          <w:p>
            <w:pPr>
              <w:keepNext/>
              <w:keepLines/>
            </w:pPr>
            <w:r>
              <w:rPr>
                <w:sz w:val="14"/>
              </w:rPr>
              <w:t>8.3%</w:t>
            </w:r>
          </w:p>
        </w:tc>
        <w:tc>
          <w:tcPr>
            <w:tcW w:type="dxa" w:w="1054"/>
          </w:tcPr>
          <w:p>
            <w:pPr>
              <w:keepNext/>
              <w:keepLines/>
            </w:pPr>
            <w:r>
              <w:rPr>
                <w:sz w:val="14"/>
              </w:rPr>
              <w:t>7.2%</w:t>
            </w:r>
          </w:p>
        </w:tc>
        <w:tc>
          <w:tcPr>
            <w:tcW w:type="dxa" w:w="1054"/>
          </w:tcPr>
          <w:p>
            <w:pPr>
              <w:keepNext/>
              <w:keepLines/>
            </w:pPr>
            <w:r>
              <w:rPr>
                <w:sz w:val="14"/>
              </w:rPr>
              <w:t>6.1%</w:t>
            </w:r>
          </w:p>
        </w:tc>
      </w:tr>
      <w:tr>
        <w:trPr>
          <w:cantSplit/>
        </w:trPr>
        <w:tc>
          <w:tcPr>
            <w:tcW w:type="dxa" w:w="1054"/>
          </w:tcPr>
          <w:p>
            <w:pPr>
              <w:keepNext/>
              <w:keepLines/>
            </w:pPr>
            <w:r>
              <w:rPr>
                <w:sz w:val="14"/>
              </w:rPr>
              <w:t>EBITDA</w:t>
            </w:r>
          </w:p>
        </w:tc>
        <w:tc>
          <w:tcPr>
            <w:tcW w:type="dxa" w:w="1054"/>
          </w:tcPr>
          <w:p>
            <w:pPr>
              <w:keepNext/>
              <w:keepLines/>
            </w:pPr>
            <w:r>
              <w:rPr>
                <w:sz w:val="14"/>
              </w:rPr>
              <w:t>37.9</w:t>
            </w:r>
          </w:p>
        </w:tc>
        <w:tc>
          <w:tcPr>
            <w:tcW w:type="dxa" w:w="1054"/>
          </w:tcPr>
          <w:p>
            <w:pPr>
              <w:keepNext/>
              <w:keepLines/>
            </w:pPr>
            <w:r>
              <w:rPr>
                <w:sz w:val="14"/>
              </w:rPr>
              <w:t>50.9</w:t>
            </w:r>
          </w:p>
        </w:tc>
        <w:tc>
          <w:tcPr>
            <w:tcW w:type="dxa" w:w="1054"/>
          </w:tcPr>
          <w:p>
            <w:pPr>
              <w:keepNext/>
              <w:keepLines/>
            </w:pPr>
            <w:r>
              <w:rPr>
                <w:sz w:val="14"/>
              </w:rPr>
              <w:t>64.4</w:t>
            </w:r>
          </w:p>
        </w:tc>
        <w:tc>
          <w:tcPr>
            <w:tcW w:type="dxa" w:w="1054"/>
          </w:tcPr>
          <w:p>
            <w:pPr>
              <w:keepNext/>
              <w:keepLines/>
            </w:pPr>
            <w:r>
              <w:rPr>
                <w:sz w:val="14"/>
              </w:rPr>
              <w:t>78.4</w:t>
            </w:r>
          </w:p>
        </w:tc>
        <w:tc>
          <w:tcPr>
            <w:tcW w:type="dxa" w:w="1054"/>
          </w:tcPr>
          <w:p>
            <w:pPr>
              <w:keepNext/>
              <w:keepLines/>
            </w:pPr>
            <w:r>
              <w:rPr>
                <w:sz w:val="14"/>
              </w:rPr>
              <w:t>92.5</w:t>
            </w:r>
          </w:p>
        </w:tc>
        <w:tc>
          <w:tcPr>
            <w:tcW w:type="dxa" w:w="1054"/>
          </w:tcPr>
          <w:p>
            <w:pPr>
              <w:keepNext/>
              <w:keepLines/>
            </w:pPr>
            <w:r>
              <w:rPr>
                <w:sz w:val="14"/>
              </w:rPr>
              <w:t>106</w:t>
            </w:r>
          </w:p>
        </w:tc>
        <w:tc>
          <w:tcPr>
            <w:tcW w:type="dxa" w:w="1054"/>
          </w:tcPr>
          <w:p>
            <w:pPr>
              <w:keepNext/>
              <w:keepLines/>
            </w:pPr>
            <w:r>
              <w:rPr>
                <w:sz w:val="14"/>
              </w:rPr>
              <w:t>120</w:t>
            </w:r>
          </w:p>
        </w:tc>
        <w:tc>
          <w:tcPr>
            <w:tcW w:type="dxa" w:w="1054"/>
          </w:tcPr>
          <w:p>
            <w:pPr>
              <w:keepNext/>
              <w:keepLines/>
            </w:pPr>
            <w:r>
              <w:rPr>
                <w:sz w:val="14"/>
              </w:rPr>
              <w:t>132</w:t>
            </w:r>
          </w:p>
        </w:tc>
        <w:tc>
          <w:tcPr>
            <w:tcW w:type="dxa" w:w="1054"/>
          </w:tcPr>
          <w:p>
            <w:pPr>
              <w:keepNext/>
              <w:keepLines/>
            </w:pPr>
            <w:r>
              <w:rPr>
                <w:sz w:val="14"/>
              </w:rPr>
              <w:t>144</w:t>
            </w:r>
          </w:p>
        </w:tc>
      </w:tr>
      <w:tr>
        <w:trPr>
          <w:cantSplit/>
        </w:trPr>
        <w:tc>
          <w:tcPr>
            <w:tcW w:type="dxa" w:w="1054"/>
          </w:tcPr>
          <w:p>
            <w:pPr>
              <w:keepNext/>
              <w:keepLines/>
            </w:pPr>
            <w:r>
              <w:rPr>
                <w:sz w:val="14"/>
              </w:rPr>
              <w:t>Stock-based compensation</w:t>
            </w:r>
          </w:p>
        </w:tc>
        <w:tc>
          <w:tcPr>
            <w:tcW w:type="dxa" w:w="1054"/>
          </w:tcPr>
          <w:p>
            <w:pPr>
              <w:keepNext/>
              <w:keepLines/>
            </w:pPr>
            <w:r>
              <w:rPr>
                <w:sz w:val="14"/>
              </w:rPr>
              <w:t>7.9</w:t>
            </w:r>
          </w:p>
        </w:tc>
        <w:tc>
          <w:tcPr>
            <w:tcW w:type="dxa" w:w="1054"/>
          </w:tcPr>
          <w:p>
            <w:pPr>
              <w:keepNext/>
              <w:keepLines/>
            </w:pPr>
            <w:r>
              <w:rPr>
                <w:sz w:val="14"/>
              </w:rPr>
              <w:t>7.8</w:t>
            </w:r>
          </w:p>
        </w:tc>
        <w:tc>
          <w:tcPr>
            <w:tcW w:type="dxa" w:w="1054"/>
          </w:tcPr>
          <w:p>
            <w:pPr>
              <w:keepNext/>
              <w:keepLines/>
            </w:pPr>
            <w:r>
              <w:rPr>
                <w:sz w:val="14"/>
              </w:rPr>
              <w:t>7.7</w:t>
            </w:r>
          </w:p>
        </w:tc>
        <w:tc>
          <w:tcPr>
            <w:tcW w:type="dxa" w:w="1054"/>
          </w:tcPr>
          <w:p>
            <w:pPr>
              <w:keepNext/>
              <w:keepLines/>
            </w:pPr>
            <w:r>
              <w:rPr>
                <w:sz w:val="14"/>
              </w:rPr>
              <w:t>7.6</w:t>
            </w:r>
          </w:p>
        </w:tc>
        <w:tc>
          <w:tcPr>
            <w:tcW w:type="dxa" w:w="1054"/>
          </w:tcPr>
          <w:p>
            <w:pPr>
              <w:keepNext/>
              <w:keepLines/>
            </w:pPr>
            <w:r>
              <w:rPr>
                <w:sz w:val="14"/>
              </w:rPr>
              <w:t>7.5</w:t>
            </w:r>
          </w:p>
        </w:tc>
        <w:tc>
          <w:tcPr>
            <w:tcW w:type="dxa" w:w="1054"/>
          </w:tcPr>
          <w:p>
            <w:pPr>
              <w:keepNext/>
              <w:keepLines/>
            </w:pPr>
            <w:r>
              <w:rPr>
                <w:sz w:val="14"/>
              </w:rPr>
              <w:t>7.5</w:t>
            </w:r>
          </w:p>
        </w:tc>
        <w:tc>
          <w:tcPr>
            <w:tcW w:type="dxa" w:w="1054"/>
          </w:tcPr>
          <w:p>
            <w:pPr>
              <w:keepNext/>
              <w:keepLines/>
            </w:pPr>
            <w:r>
              <w:rPr>
                <w:sz w:val="14"/>
              </w:rPr>
              <w:t>7.4</w:t>
            </w:r>
          </w:p>
        </w:tc>
        <w:tc>
          <w:tcPr>
            <w:tcW w:type="dxa" w:w="1054"/>
          </w:tcPr>
          <w:p>
            <w:pPr>
              <w:keepNext/>
              <w:keepLines/>
            </w:pPr>
            <w:r>
              <w:rPr>
                <w:sz w:val="14"/>
              </w:rPr>
              <w:t>7.3</w:t>
            </w:r>
          </w:p>
        </w:tc>
        <w:tc>
          <w:tcPr>
            <w:tcW w:type="dxa" w:w="1054"/>
          </w:tcPr>
          <w:p>
            <w:pPr>
              <w:keepNext/>
              <w:keepLines/>
            </w:pPr>
            <w:r>
              <w:rPr>
                <w:sz w:val="14"/>
              </w:rPr>
              <w:t>7.2</w:t>
            </w:r>
          </w:p>
        </w:tc>
      </w:tr>
      <w:tr>
        <w:trPr>
          <w:cantSplit/>
        </w:trPr>
        <w:tc>
          <w:tcPr>
            <w:tcW w:type="dxa" w:w="1054"/>
          </w:tcPr>
          <w:p>
            <w:pPr>
              <w:keepNext/>
              <w:keepLines/>
            </w:pPr>
            <w:r>
              <w:rPr>
                <w:sz w:val="14"/>
              </w:rPr>
              <w:t>Interest</w:t>
            </w:r>
          </w:p>
        </w:tc>
        <w:tc>
          <w:tcPr>
            <w:tcW w:type="dxa" w:w="1054"/>
          </w:tcPr>
          <w:p>
            <w:pPr>
              <w:keepNext/>
              <w:keepLines/>
            </w:pPr>
            <w:r>
              <w:rPr>
                <w:sz w:val="14"/>
              </w:rPr>
              <w:t>9.3</w:t>
            </w:r>
          </w:p>
        </w:tc>
        <w:tc>
          <w:tcPr>
            <w:tcW w:type="dxa" w:w="1054"/>
          </w:tcPr>
          <w:p>
            <w:pPr>
              <w:keepNext/>
              <w:keepLines/>
            </w:pPr>
            <w:r>
              <w:rPr>
                <w:sz w:val="14"/>
              </w:rPr>
              <w:t>8.6</w:t>
            </w:r>
          </w:p>
        </w:tc>
        <w:tc>
          <w:tcPr>
            <w:tcW w:type="dxa" w:w="1054"/>
          </w:tcPr>
          <w:p>
            <w:pPr>
              <w:keepNext/>
              <w:keepLines/>
            </w:pPr>
            <w:r>
              <w:rPr>
                <w:sz w:val="14"/>
              </w:rPr>
              <w:t>9.4</w:t>
            </w:r>
          </w:p>
        </w:tc>
        <w:tc>
          <w:tcPr>
            <w:tcW w:type="dxa" w:w="1054"/>
          </w:tcPr>
          <w:p>
            <w:pPr>
              <w:keepNext/>
              <w:keepLines/>
            </w:pPr>
            <w:r>
              <w:rPr>
                <w:sz w:val="14"/>
              </w:rPr>
              <w:t>11.9</w:t>
            </w:r>
          </w:p>
        </w:tc>
        <w:tc>
          <w:tcPr>
            <w:tcW w:type="dxa" w:w="1054"/>
          </w:tcPr>
          <w:p>
            <w:pPr>
              <w:keepNext/>
              <w:keepLines/>
            </w:pPr>
            <w:r>
              <w:rPr>
                <w:sz w:val="14"/>
              </w:rPr>
              <w:t>14.4</w:t>
            </w:r>
          </w:p>
        </w:tc>
        <w:tc>
          <w:tcPr>
            <w:tcW w:type="dxa" w:w="1054"/>
          </w:tcPr>
          <w:p>
            <w:pPr>
              <w:keepNext/>
              <w:keepLines/>
            </w:pPr>
            <w:r>
              <w:rPr>
                <w:sz w:val="14"/>
              </w:rPr>
              <w:t>17.0</w:t>
            </w:r>
          </w:p>
        </w:tc>
        <w:tc>
          <w:tcPr>
            <w:tcW w:type="dxa" w:w="1054"/>
          </w:tcPr>
          <w:p>
            <w:pPr>
              <w:keepNext/>
              <w:keepLines/>
            </w:pPr>
            <w:r>
              <w:rPr>
                <w:sz w:val="14"/>
              </w:rPr>
              <w:t>19.6</w:t>
            </w:r>
          </w:p>
        </w:tc>
        <w:tc>
          <w:tcPr>
            <w:tcW w:type="dxa" w:w="1054"/>
          </w:tcPr>
          <w:p>
            <w:pPr>
              <w:keepNext/>
              <w:keepLines/>
            </w:pPr>
            <w:r>
              <w:rPr>
                <w:sz w:val="14"/>
              </w:rPr>
              <w:t>22.0</w:t>
            </w:r>
          </w:p>
        </w:tc>
        <w:tc>
          <w:tcPr>
            <w:tcW w:type="dxa" w:w="1054"/>
          </w:tcPr>
          <w:p>
            <w:pPr>
              <w:keepNext/>
              <w:keepLines/>
            </w:pPr>
            <w:r>
              <w:rPr>
                <w:sz w:val="14"/>
              </w:rPr>
              <w:t>24.4</w:t>
            </w:r>
          </w:p>
        </w:tc>
      </w:tr>
      <w:tr>
        <w:trPr>
          <w:cantSplit/>
        </w:trPr>
        <w:tc>
          <w:tcPr>
            <w:tcW w:type="dxa" w:w="1054"/>
          </w:tcPr>
          <w:p>
            <w:pPr>
              <w:keepNext/>
              <w:keepLines/>
            </w:pPr>
            <w:r>
              <w:rPr>
                <w:sz w:val="14"/>
              </w:rPr>
              <w:t>Cash Taxes</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0.0</w:t>
            </w:r>
          </w:p>
        </w:tc>
        <w:tc>
          <w:tcPr>
            <w:tcW w:type="dxa" w:w="1054"/>
          </w:tcPr>
          <w:p>
            <w:pPr>
              <w:keepNext/>
              <w:keepLines/>
            </w:pPr>
            <w:r>
              <w:rPr>
                <w:sz w:val="14"/>
              </w:rPr>
              <w:t>3.2</w:t>
            </w:r>
          </w:p>
        </w:tc>
        <w:tc>
          <w:tcPr>
            <w:tcW w:type="dxa" w:w="1054"/>
          </w:tcPr>
          <w:p>
            <w:pPr>
              <w:keepNext/>
              <w:keepLines/>
            </w:pPr>
            <w:r>
              <w:rPr>
                <w:sz w:val="14"/>
              </w:rPr>
              <w:t>21.5</w:t>
            </w:r>
          </w:p>
        </w:tc>
      </w:tr>
      <w:tr>
        <w:trPr>
          <w:cantSplit/>
        </w:trPr>
        <w:tc>
          <w:tcPr>
            <w:tcW w:type="dxa" w:w="1054"/>
          </w:tcPr>
          <w:p>
            <w:pPr>
              <w:keepNext/>
              <w:keepLines/>
            </w:pPr>
            <w:r>
              <w:rPr>
                <w:sz w:val="14"/>
              </w:rPr>
              <w:t>Capex</w:t>
            </w:r>
          </w:p>
        </w:tc>
        <w:tc>
          <w:tcPr>
            <w:tcW w:type="dxa" w:w="1054"/>
          </w:tcPr>
          <w:p>
            <w:pPr>
              <w:keepNext/>
              <w:keepLines/>
            </w:pPr>
            <w:r>
              <w:rPr>
                <w:sz w:val="14"/>
              </w:rPr>
              <w:t>12.7</w:t>
            </w:r>
          </w:p>
        </w:tc>
        <w:tc>
          <w:tcPr>
            <w:tcW w:type="dxa" w:w="1054"/>
          </w:tcPr>
          <w:p>
            <w:pPr>
              <w:keepNext/>
              <w:keepLines/>
            </w:pPr>
            <w:r>
              <w:rPr>
                <w:sz w:val="14"/>
              </w:rPr>
              <w:t>14.8</w:t>
            </w:r>
          </w:p>
        </w:tc>
        <w:tc>
          <w:tcPr>
            <w:tcW w:type="dxa" w:w="1054"/>
          </w:tcPr>
          <w:p>
            <w:pPr>
              <w:keepNext/>
              <w:keepLines/>
            </w:pPr>
            <w:r>
              <w:rPr>
                <w:sz w:val="14"/>
              </w:rPr>
              <w:t>17.0</w:t>
            </w:r>
          </w:p>
        </w:tc>
        <w:tc>
          <w:tcPr>
            <w:tcW w:type="dxa" w:w="1054"/>
          </w:tcPr>
          <w:p>
            <w:pPr>
              <w:keepNext/>
              <w:keepLines/>
            </w:pPr>
            <w:r>
              <w:rPr>
                <w:sz w:val="14"/>
              </w:rPr>
              <w:t>19.2</w:t>
            </w:r>
          </w:p>
        </w:tc>
        <w:tc>
          <w:tcPr>
            <w:tcW w:type="dxa" w:w="1054"/>
          </w:tcPr>
          <w:p>
            <w:pPr>
              <w:keepNext/>
              <w:keepLines/>
            </w:pPr>
            <w:r>
              <w:rPr>
                <w:sz w:val="14"/>
              </w:rPr>
              <w:t>21.4</w:t>
            </w:r>
          </w:p>
        </w:tc>
        <w:tc>
          <w:tcPr>
            <w:tcW w:type="dxa" w:w="1054"/>
          </w:tcPr>
          <w:p>
            <w:pPr>
              <w:keepNext/>
              <w:keepLines/>
            </w:pPr>
            <w:r>
              <w:rPr>
                <w:sz w:val="14"/>
              </w:rPr>
              <w:t>23.6</w:t>
            </w:r>
          </w:p>
        </w:tc>
        <w:tc>
          <w:tcPr>
            <w:tcW w:type="dxa" w:w="1054"/>
          </w:tcPr>
          <w:p>
            <w:pPr>
              <w:keepNext/>
              <w:keepLines/>
            </w:pPr>
            <w:r>
              <w:rPr>
                <w:sz w:val="14"/>
              </w:rPr>
              <w:t>25.8</w:t>
            </w:r>
          </w:p>
        </w:tc>
        <w:tc>
          <w:tcPr>
            <w:tcW w:type="dxa" w:w="1054"/>
          </w:tcPr>
          <w:p>
            <w:pPr>
              <w:keepNext/>
              <w:keepLines/>
            </w:pPr>
            <w:r>
              <w:rPr>
                <w:sz w:val="14"/>
              </w:rPr>
              <w:t>27.8</w:t>
            </w:r>
          </w:p>
        </w:tc>
        <w:tc>
          <w:tcPr>
            <w:tcW w:type="dxa" w:w="1054"/>
          </w:tcPr>
          <w:p>
            <w:pPr>
              <w:keepNext/>
              <w:keepLines/>
            </w:pPr>
            <w:r>
              <w:rPr>
                <w:sz w:val="14"/>
              </w:rPr>
              <w:t>29.6</w:t>
            </w:r>
          </w:p>
        </w:tc>
      </w:tr>
      <w:tr>
        <w:trPr>
          <w:cantSplit/>
        </w:trPr>
        <w:tc>
          <w:tcPr>
            <w:tcW w:type="dxa" w:w="1054"/>
          </w:tcPr>
          <w:p>
            <w:pPr>
              <w:keepNext/>
              <w:keepLines/>
            </w:pPr>
            <w:r>
              <w:rPr>
                <w:sz w:val="14"/>
              </w:rPr>
              <w:t>Debt, Market Value</w:t>
            </w:r>
          </w:p>
        </w:tc>
        <w:tc>
          <w:tcPr>
            <w:tcW w:type="dxa" w:w="1054"/>
          </w:tcPr>
          <w:p>
            <w:pPr>
              <w:keepNext/>
              <w:keepLines/>
            </w:pPr>
            <w:r>
              <w:rPr>
                <w:sz w:val="14"/>
              </w:rPr>
              <w:t>93.3</w:t>
            </w:r>
          </w:p>
        </w:tc>
        <w:tc>
          <w:tcPr>
            <w:tcW w:type="dxa" w:w="1054"/>
          </w:tcPr>
          <w:p>
            <w:pPr>
              <w:keepNext/>
              <w:keepLines/>
            </w:pPr>
            <w:r>
              <w:rPr>
                <w:sz w:val="14"/>
              </w:rPr>
              <w:t>102</w:t>
            </w:r>
          </w:p>
        </w:tc>
        <w:tc>
          <w:tcPr>
            <w:tcW w:type="dxa" w:w="1054"/>
          </w:tcPr>
          <w:p>
            <w:pPr>
              <w:keepNext/>
              <w:keepLines/>
            </w:pPr>
            <w:r>
              <w:rPr>
                <w:sz w:val="14"/>
              </w:rPr>
              <w:t>129</w:t>
            </w:r>
          </w:p>
        </w:tc>
        <w:tc>
          <w:tcPr>
            <w:tcW w:type="dxa" w:w="1054"/>
          </w:tcPr>
          <w:p>
            <w:pPr>
              <w:keepNext/>
              <w:keepLines/>
            </w:pPr>
            <w:r>
              <w:rPr>
                <w:sz w:val="14"/>
              </w:rPr>
              <w:t>157</w:t>
            </w:r>
          </w:p>
        </w:tc>
        <w:tc>
          <w:tcPr>
            <w:tcW w:type="dxa" w:w="1054"/>
          </w:tcPr>
          <w:p>
            <w:pPr>
              <w:keepNext/>
              <w:keepLines/>
            </w:pPr>
            <w:r>
              <w:rPr>
                <w:sz w:val="14"/>
              </w:rPr>
              <w:t>185</w:t>
            </w:r>
          </w:p>
        </w:tc>
        <w:tc>
          <w:tcPr>
            <w:tcW w:type="dxa" w:w="1054"/>
          </w:tcPr>
          <w:p>
            <w:pPr>
              <w:keepNext/>
              <w:keepLines/>
            </w:pPr>
            <w:r>
              <w:rPr>
                <w:sz w:val="14"/>
              </w:rPr>
              <w:t>213</w:t>
            </w:r>
          </w:p>
        </w:tc>
        <w:tc>
          <w:tcPr>
            <w:tcW w:type="dxa" w:w="1054"/>
          </w:tcPr>
          <w:p>
            <w:pPr>
              <w:keepNext/>
              <w:keepLines/>
            </w:pPr>
            <w:r>
              <w:rPr>
                <w:sz w:val="14"/>
              </w:rPr>
              <w:t>240</w:t>
            </w:r>
          </w:p>
        </w:tc>
        <w:tc>
          <w:tcPr>
            <w:tcW w:type="dxa" w:w="1054"/>
          </w:tcPr>
          <w:p>
            <w:pPr>
              <w:keepNext/>
              <w:keepLines/>
            </w:pPr>
            <w:r>
              <w:rPr>
                <w:sz w:val="14"/>
              </w:rPr>
              <w:t>265</w:t>
            </w:r>
          </w:p>
        </w:tc>
        <w:tc>
          <w:tcPr>
            <w:tcW w:type="dxa" w:w="1054"/>
          </w:tcPr>
          <w:p>
            <w:pPr>
              <w:keepNext/>
              <w:keepLines/>
            </w:pPr>
            <w:r>
              <w:rPr>
                <w:sz w:val="14"/>
              </w:rPr>
              <w:t>288</w:t>
            </w:r>
          </w:p>
        </w:tc>
      </w:tr>
      <w:tr>
        <w:trPr>
          <w:cantSplit/>
        </w:trPr>
        <w:tc>
          <w:tcPr>
            <w:tcW w:type="dxa" w:w="1054"/>
          </w:tcPr>
          <w:p>
            <w:pPr>
              <w:keepNext/>
              <w:keepLines/>
            </w:pPr>
            <w:r>
              <w:rPr>
                <w:sz w:val="14"/>
              </w:rPr>
              <w:t>FCFE</w:t>
            </w:r>
          </w:p>
        </w:tc>
        <w:tc>
          <w:tcPr>
            <w:tcW w:type="dxa" w:w="1054"/>
          </w:tcPr>
          <w:p>
            <w:pPr>
              <w:keepNext/>
              <w:keepLines/>
            </w:pPr>
            <w:r>
              <w:rPr>
                <w:sz w:val="14"/>
              </w:rPr>
              <w:t>0.0</w:t>
            </w:r>
          </w:p>
        </w:tc>
        <w:tc>
          <w:tcPr>
            <w:tcW w:type="dxa" w:w="1054"/>
          </w:tcPr>
          <w:p>
            <w:pPr>
              <w:keepNext/>
              <w:keepLines/>
            </w:pPr>
            <w:r>
              <w:rPr>
                <w:sz w:val="14"/>
              </w:rPr>
              <w:t>28.1</w:t>
            </w:r>
          </w:p>
        </w:tc>
        <w:tc>
          <w:tcPr>
            <w:tcW w:type="dxa" w:w="1054"/>
          </w:tcPr>
          <w:p>
            <w:pPr>
              <w:keepNext/>
              <w:keepLines/>
            </w:pPr>
            <w:r>
              <w:rPr>
                <w:sz w:val="14"/>
              </w:rPr>
              <w:t>57.5</w:t>
            </w:r>
          </w:p>
        </w:tc>
        <w:tc>
          <w:tcPr>
            <w:tcW w:type="dxa" w:w="1054"/>
          </w:tcPr>
          <w:p>
            <w:pPr>
              <w:keepNext/>
              <w:keepLines/>
            </w:pPr>
            <w:r>
              <w:rPr>
                <w:sz w:val="14"/>
              </w:rPr>
              <w:t>67.6</w:t>
            </w:r>
          </w:p>
        </w:tc>
        <w:tc>
          <w:tcPr>
            <w:tcW w:type="dxa" w:w="1054"/>
          </w:tcPr>
          <w:p>
            <w:pPr>
              <w:keepNext/>
              <w:keepLines/>
            </w:pPr>
            <w:r>
              <w:rPr>
                <w:sz w:val="14"/>
              </w:rPr>
              <w:t>77.2</w:t>
            </w:r>
          </w:p>
        </w:tc>
        <w:tc>
          <w:tcPr>
            <w:tcW w:type="dxa" w:w="1054"/>
          </w:tcPr>
          <w:p>
            <w:pPr>
              <w:keepNext/>
              <w:keepLines/>
            </w:pPr>
            <w:r>
              <w:rPr>
                <w:sz w:val="14"/>
              </w:rPr>
              <w:t>86.1</w:t>
            </w:r>
          </w:p>
        </w:tc>
        <w:tc>
          <w:tcPr>
            <w:tcW w:type="dxa" w:w="1054"/>
          </w:tcPr>
          <w:p>
            <w:pPr>
              <w:keepNext/>
              <w:keepLines/>
            </w:pPr>
            <w:r>
              <w:rPr>
                <w:sz w:val="14"/>
              </w:rPr>
              <w:t>93.9</w:t>
            </w:r>
          </w:p>
        </w:tc>
        <w:tc>
          <w:tcPr>
            <w:tcW w:type="dxa" w:w="1054"/>
          </w:tcPr>
          <w:p>
            <w:pPr>
              <w:keepNext/>
              <w:keepLines/>
            </w:pPr>
            <w:r>
              <w:rPr>
                <w:sz w:val="14"/>
              </w:rPr>
              <w:t>97.2</w:t>
            </w:r>
          </w:p>
        </w:tc>
        <w:tc>
          <w:tcPr>
            <w:tcW w:type="dxa" w:w="1054"/>
          </w:tcPr>
          <w:p>
            <w:pPr>
              <w:keepNext/>
              <w:keepLines/>
            </w:pPr>
            <w:r>
              <w:rPr>
                <w:sz w:val="14"/>
              </w:rPr>
              <w:t>83.9</w:t>
            </w:r>
          </w:p>
        </w:tc>
      </w:tr>
      <w:tr>
        <w:trPr>
          <w:cantSplit/>
        </w:trPr>
        <w:tc>
          <w:tcPr>
            <w:tcW w:type="dxa" w:w="1054"/>
          </w:tcPr>
          <w:p>
            <w:pPr>
              <w:keepNext/>
              <w:keepLines/>
            </w:pPr>
            <w:r>
              <w:rPr>
                <w:sz w:val="14"/>
              </w:rPr>
              <w:t>Equity, Intrinsic Value</w:t>
            </w:r>
          </w:p>
        </w:tc>
        <w:tc>
          <w:tcPr>
            <w:tcW w:type="dxa" w:w="1054"/>
          </w:tcPr>
          <w:p>
            <w:pPr>
              <w:keepNext/>
              <w:keepLines/>
            </w:pPr>
            <w:r>
              <w:rPr>
                <w:sz w:val="14"/>
              </w:rPr>
              <w:t>1,003</w:t>
            </w:r>
          </w:p>
        </w:tc>
        <w:tc>
          <w:tcPr>
            <w:tcW w:type="dxa" w:w="1054"/>
          </w:tcPr>
          <w:p>
            <w:pPr>
              <w:keepNext/>
              <w:keepLines/>
            </w:pPr>
            <w:r>
              <w:rPr>
                <w:sz w:val="14"/>
              </w:rPr>
              <w:t>1,079</w:t>
            </w:r>
          </w:p>
        </w:tc>
        <w:tc>
          <w:tcPr>
            <w:tcW w:type="dxa" w:w="1054"/>
          </w:tcPr>
          <w:p>
            <w:pPr>
              <w:keepNext/>
              <w:keepLines/>
            </w:pPr>
            <w:r>
              <w:rPr>
                <w:sz w:val="14"/>
              </w:rPr>
              <w:t>1,135</w:t>
            </w:r>
          </w:p>
        </w:tc>
        <w:tc>
          <w:tcPr>
            <w:tcW w:type="dxa" w:w="1054"/>
          </w:tcPr>
          <w:p>
            <w:pPr>
              <w:keepNext/>
              <w:keepLines/>
            </w:pPr>
            <w:r>
              <w:rPr>
                <w:sz w:val="14"/>
              </w:rPr>
              <w:t>1,186</w:t>
            </w:r>
          </w:p>
        </w:tc>
        <w:tc>
          <w:tcPr>
            <w:tcW w:type="dxa" w:w="1054"/>
          </w:tcPr>
          <w:p>
            <w:pPr>
              <w:keepNext/>
              <w:keepLines/>
            </w:pPr>
            <w:r>
              <w:rPr>
                <w:sz w:val="14"/>
              </w:rPr>
              <w:t>1,232</w:t>
            </w:r>
          </w:p>
        </w:tc>
        <w:tc>
          <w:tcPr>
            <w:tcW w:type="dxa" w:w="1054"/>
          </w:tcPr>
          <w:p>
            <w:pPr>
              <w:keepNext/>
              <w:keepLines/>
            </w:pPr>
            <w:r>
              <w:rPr>
                <w:sz w:val="14"/>
              </w:rPr>
              <w:t>1,275</w:t>
            </w:r>
          </w:p>
        </w:tc>
        <w:tc>
          <w:tcPr>
            <w:tcW w:type="dxa" w:w="1054"/>
          </w:tcPr>
          <w:p>
            <w:pPr>
              <w:keepNext/>
              <w:keepLines/>
            </w:pPr>
            <w:r>
              <w:rPr>
                <w:sz w:val="14"/>
              </w:rPr>
              <w:t>1,314</w:t>
            </w:r>
          </w:p>
        </w:tc>
        <w:tc>
          <w:tcPr>
            <w:tcW w:type="dxa" w:w="1054"/>
          </w:tcPr>
          <w:p>
            <w:pPr>
              <w:keepNext/>
              <w:keepLines/>
            </w:pPr>
            <w:r>
              <w:rPr>
                <w:sz w:val="14"/>
              </w:rPr>
              <w:t>1,355</w:t>
            </w:r>
          </w:p>
        </w:tc>
        <w:tc>
          <w:tcPr>
            <w:tcW w:type="dxa" w:w="1054"/>
          </w:tcPr>
          <w:p>
            <w:pPr>
              <w:keepNext/>
              <w:keepLines/>
            </w:pPr>
            <w:r>
              <w:rPr>
                <w:sz w:val="14"/>
              </w:rPr>
              <w:t>1,412</w:t>
            </w:r>
          </w:p>
        </w:tc>
      </w:tr>
      <w:tr>
        <w:trPr>
          <w:cantSplit/>
        </w:trPr>
        <w:tc>
          <w:tcPr>
            <w:tcW w:type="dxa" w:w="1054"/>
          </w:tcPr>
          <w:p>
            <w:pPr>
              <w:keepNext/>
              <w:keepLines/>
            </w:pPr>
            <w:r>
              <w:rPr>
                <w:sz w:val="14"/>
              </w:rPr>
              <w:t>Cash</w:t>
            </w:r>
          </w:p>
        </w:tc>
        <w:tc>
          <w:tcPr>
            <w:tcW w:type="dxa" w:w="1054"/>
          </w:tcPr>
          <w:p>
            <w:pPr>
              <w:keepNext/>
              <w:keepLines/>
            </w:pPr>
            <w:r>
              <w:rPr>
                <w:sz w:val="14"/>
              </w:rPr>
              <w:t>−98.0</w:t>
            </w:r>
          </w:p>
        </w:tc>
        <w:tc>
          <w:tcPr>
            <w:tcW w:type="dxa" w:w="1054"/>
          </w:tcPr>
          <w:p>
            <w:pPr>
              <w:keepNext/>
              <w:keepLines/>
            </w:pPr>
            <w:r>
              <w:rPr>
                <w:sz w:val="14"/>
              </w:rPr>
              <w:t>−69.9</w:t>
            </w:r>
          </w:p>
        </w:tc>
        <w:tc>
          <w:tcPr>
            <w:tcW w:type="dxa" w:w="1054"/>
          </w:tcPr>
          <w:p>
            <w:pPr>
              <w:keepNext/>
              <w:keepLines/>
            </w:pPr>
            <w:r>
              <w:rPr>
                <w:sz w:val="14"/>
              </w:rPr>
              <w:t>−12.4</w:t>
            </w:r>
          </w:p>
        </w:tc>
        <w:tc>
          <w:tcPr>
            <w:tcW w:type="dxa" w:w="1054"/>
          </w:tcPr>
          <w:p>
            <w:pPr>
              <w:keepNext/>
              <w:keepLines/>
            </w:pPr>
            <w:r>
              <w:rPr>
                <w:sz w:val="14"/>
              </w:rPr>
              <w:t>55.3</w:t>
            </w:r>
          </w:p>
        </w:tc>
        <w:tc>
          <w:tcPr>
            <w:tcW w:type="dxa" w:w="1054"/>
          </w:tcPr>
          <w:p>
            <w:pPr>
              <w:keepNext/>
              <w:keepLines/>
            </w:pPr>
            <w:r>
              <w:rPr>
                <w:sz w:val="14"/>
              </w:rPr>
              <w:t>132</w:t>
            </w:r>
          </w:p>
        </w:tc>
        <w:tc>
          <w:tcPr>
            <w:tcW w:type="dxa" w:w="1054"/>
          </w:tcPr>
          <w:p>
            <w:pPr>
              <w:keepNext/>
              <w:keepLines/>
            </w:pPr>
            <w:r>
              <w:rPr>
                <w:sz w:val="14"/>
              </w:rPr>
              <w:t>219</w:t>
            </w:r>
          </w:p>
        </w:tc>
        <w:tc>
          <w:tcPr>
            <w:tcW w:type="dxa" w:w="1054"/>
          </w:tcPr>
          <w:p>
            <w:pPr>
              <w:keepNext/>
              <w:keepLines/>
            </w:pPr>
            <w:r>
              <w:rPr>
                <w:sz w:val="14"/>
              </w:rPr>
              <w:t>313</w:t>
            </w:r>
          </w:p>
        </w:tc>
        <w:tc>
          <w:tcPr>
            <w:tcW w:type="dxa" w:w="1054"/>
          </w:tcPr>
          <w:p>
            <w:pPr>
              <w:keepNext/>
              <w:keepLines/>
            </w:pPr>
            <w:r>
              <w:rPr>
                <w:sz w:val="14"/>
              </w:rPr>
              <w:t>410</w:t>
            </w:r>
          </w:p>
        </w:tc>
        <w:tc>
          <w:tcPr>
            <w:tcW w:type="dxa" w:w="1054"/>
          </w:tcPr>
          <w:p>
            <w:pPr>
              <w:keepNext/>
              <w:keepLines/>
            </w:pPr>
            <w:r>
              <w:rPr>
                <w:sz w:val="14"/>
              </w:rPr>
              <w:t>494</w:t>
            </w:r>
          </w:p>
        </w:tc>
      </w:tr>
      <w:tr>
        <w:trPr>
          <w:cantSplit/>
        </w:trPr>
        <w:tc>
          <w:tcPr>
            <w:tcW w:type="dxa" w:w="1054"/>
          </w:tcPr>
          <w:p>
            <w:r>
              <w:rPr>
                <w:sz w:val="14"/>
              </w:rPr>
              <w:t>Intrinsic Value per Share (US$)</w:t>
            </w:r>
          </w:p>
        </w:tc>
        <w:tc>
          <w:tcPr>
            <w:tcW w:type="dxa" w:w="1054"/>
          </w:tcPr>
          <w:p>
            <w:r>
              <w:rPr>
                <w:sz w:val="14"/>
              </w:rPr>
              <w:t>32.87</w:t>
            </w:r>
          </w:p>
        </w:tc>
        <w:tc>
          <w:tcPr>
            <w:tcW w:type="dxa" w:w="1054"/>
          </w:tcPr>
          <w:p>
            <w:r>
              <w:rPr>
                <w:sz w:val="14"/>
              </w:rPr>
              <w:t>35.39</w:t>
            </w:r>
          </w:p>
        </w:tc>
        <w:tc>
          <w:tcPr>
            <w:tcW w:type="dxa" w:w="1054"/>
          </w:tcPr>
          <w:p>
            <w:r>
              <w:rPr>
                <w:sz w:val="14"/>
              </w:rPr>
              <w:t>37.20</w:t>
            </w:r>
          </w:p>
        </w:tc>
        <w:tc>
          <w:tcPr>
            <w:tcW w:type="dxa" w:w="1054"/>
          </w:tcPr>
          <w:p>
            <w:r>
              <w:rPr>
                <w:sz w:val="14"/>
              </w:rPr>
              <w:t>38.87</w:t>
            </w:r>
          </w:p>
        </w:tc>
        <w:tc>
          <w:tcPr>
            <w:tcW w:type="dxa" w:w="1054"/>
          </w:tcPr>
          <w:p>
            <w:r>
              <w:rPr>
                <w:sz w:val="14"/>
              </w:rPr>
              <w:t>40.40</w:t>
            </w:r>
          </w:p>
        </w:tc>
        <w:tc>
          <w:tcPr>
            <w:tcW w:type="dxa" w:w="1054"/>
          </w:tcPr>
          <w:p>
            <w:r>
              <w:rPr>
                <w:sz w:val="14"/>
              </w:rPr>
              <w:t>41.80</w:t>
            </w:r>
          </w:p>
        </w:tc>
        <w:tc>
          <w:tcPr>
            <w:tcW w:type="dxa" w:w="1054"/>
          </w:tcPr>
          <w:p>
            <w:r>
              <w:rPr>
                <w:sz w:val="14"/>
              </w:rPr>
              <w:t>43.09</w:t>
            </w:r>
          </w:p>
        </w:tc>
        <w:tc>
          <w:tcPr>
            <w:tcW w:type="dxa" w:w="1054"/>
          </w:tcPr>
          <w:p>
            <w:r>
              <w:rPr>
                <w:sz w:val="14"/>
              </w:rPr>
              <w:t>44.41</w:t>
            </w:r>
          </w:p>
        </w:tc>
        <w:tc>
          <w:tcPr>
            <w:tcW w:type="dxa" w:w="1054"/>
          </w:tcPr>
          <w:p>
            <w:r>
              <w:rPr>
                <w:sz w:val="14"/>
              </w:rPr>
              <w:t>46.30</w:t>
            </w:r>
          </w:p>
        </w:tc>
      </w:tr>
    </w:tbl>
    <w:p/>
    <w:p>
      <w:pPr>
        <w:keepNext/>
        <w:keepLines/>
      </w:pPr>
      <w:r>
        <w:rPr>
          <w:i/>
        </w:rPr>
        <w:t>Source: C30, C58. The bear's SBC falls slightly after FY2031E because 5% of its FY2040E EBITDA ($7.2M) is below $8.0M.</w:t>
      </w:r>
    </w:p>
    <w:p>
      <w:pPr>
        <w:keepNext/>
        <w:keepLines/>
      </w:pPr>
      <w:r>
        <w:rPr>
          <w:b/>
        </w:rPr>
        <w:t>Figure 11 – Sensitivity of value per share (US$), one input at a time</w:t>
      </w:r>
    </w:p>
    <w:tbl>
      <w:tblPr>
        <w:tblStyle w:val="TableGrid"/>
        <w:tblW w:type="auto" w:w="0"/>
        <w:tblLook w:firstColumn="1" w:firstRow="1" w:lastColumn="0" w:lastRow="0" w:noHBand="0" w:noVBand="1" w:val="04A0"/>
      </w:tblPr>
      <w:tblGrid>
        <w:gridCol w:w="2635"/>
        <w:gridCol w:w="2635"/>
        <w:gridCol w:w="2635"/>
        <w:gridCol w:w="2635"/>
      </w:tblGrid>
      <w:tr>
        <w:trPr>
          <w:cantSplit/>
          <w:tblHeader/>
        </w:trPr>
        <w:tc>
          <w:tcPr>
            <w:tcW w:type="dxa" w:w="2635"/>
          </w:tcPr>
          <w:p>
            <w:pPr>
              <w:keepNext/>
              <w:keepLines/>
            </w:pPr>
            <w:r>
              <w:rPr>
                <w:b/>
                <w:sz w:val="16"/>
              </w:rPr>
              <w:t>Change (Finagle rerun)</w:t>
            </w:r>
          </w:p>
        </w:tc>
        <w:tc>
          <w:tcPr>
            <w:tcW w:type="dxa" w:w="2635"/>
          </w:tcPr>
          <w:p>
            <w:pPr>
              <w:keepNext/>
              <w:keepLines/>
            </w:pPr>
            <w:r>
              <w:rPr>
                <w:b/>
                <w:sz w:val="16"/>
              </w:rPr>
              <w:t>Bear</w:t>
            </w:r>
          </w:p>
        </w:tc>
        <w:tc>
          <w:tcPr>
            <w:tcW w:type="dxa" w:w="2635"/>
          </w:tcPr>
          <w:p>
            <w:pPr>
              <w:keepNext/>
              <w:keepLines/>
            </w:pPr>
            <w:r>
              <w:rPr>
                <w:b/>
                <w:sz w:val="16"/>
              </w:rPr>
              <w:t>Base</w:t>
            </w:r>
          </w:p>
        </w:tc>
        <w:tc>
          <w:tcPr>
            <w:tcW w:type="dxa" w:w="2635"/>
          </w:tcPr>
          <w:p>
            <w:pPr>
              <w:keepNext/>
              <w:keepLines/>
            </w:pPr>
            <w:r>
              <w:rPr>
                <w:b/>
                <w:sz w:val="16"/>
              </w:rPr>
              <w:t>Bull</w:t>
            </w:r>
          </w:p>
        </w:tc>
      </w:tr>
      <w:tr>
        <w:trPr>
          <w:cantSplit/>
        </w:trPr>
        <w:tc>
          <w:tcPr>
            <w:tcW w:type="dxa" w:w="2635"/>
          </w:tcPr>
          <w:p>
            <w:pPr>
              <w:keepNext/>
              <w:keepLines/>
            </w:pPr>
            <w:r>
              <w:rPr>
                <w:sz w:val="16"/>
              </w:rPr>
              <w:t>As modelled</w:t>
            </w:r>
          </w:p>
        </w:tc>
        <w:tc>
          <w:tcPr>
            <w:tcW w:type="dxa" w:w="2635"/>
          </w:tcPr>
          <w:p>
            <w:pPr>
              <w:keepNext/>
              <w:keepLines/>
            </w:pPr>
            <w:r>
              <w:rPr>
                <w:sz w:val="16"/>
              </w:rPr>
              <w:t>14.56</w:t>
            </w:r>
          </w:p>
        </w:tc>
        <w:tc>
          <w:tcPr>
            <w:tcW w:type="dxa" w:w="2635"/>
          </w:tcPr>
          <w:p>
            <w:pPr>
              <w:keepNext/>
              <w:keepLines/>
            </w:pPr>
            <w:r>
              <w:rPr>
                <w:sz w:val="16"/>
              </w:rPr>
              <w:t>65.20</w:t>
            </w:r>
          </w:p>
        </w:tc>
        <w:tc>
          <w:tcPr>
            <w:tcW w:type="dxa" w:w="2635"/>
          </w:tcPr>
          <w:p>
            <w:pPr>
              <w:keepNext/>
              <w:keepLines/>
            </w:pPr>
            <w:r>
              <w:rPr>
                <w:sz w:val="16"/>
              </w:rPr>
              <w:t>88.36</w:t>
            </w:r>
          </w:p>
        </w:tc>
      </w:tr>
      <w:tr>
        <w:trPr>
          <w:cantSplit/>
        </w:trPr>
        <w:tc>
          <w:tcPr>
            <w:tcW w:type="dxa" w:w="2635"/>
          </w:tcPr>
          <w:p>
            <w:pPr>
              <w:keepNext/>
              <w:keepLines/>
            </w:pPr>
            <w:r>
              <w:rPr>
                <w:sz w:val="16"/>
              </w:rPr>
              <w:t>Cost of equity −1 pt (9.45%)</w:t>
            </w:r>
          </w:p>
        </w:tc>
        <w:tc>
          <w:tcPr>
            <w:tcW w:type="dxa" w:w="2635"/>
          </w:tcPr>
          <w:p>
            <w:pPr>
              <w:keepNext/>
              <w:keepLines/>
            </w:pPr>
            <w:r>
              <w:rPr>
                <w:sz w:val="16"/>
              </w:rPr>
              <w:t>19.30</w:t>
            </w:r>
          </w:p>
        </w:tc>
        <w:tc>
          <w:tcPr>
            <w:tcW w:type="dxa" w:w="2635"/>
          </w:tcPr>
          <w:p>
            <w:pPr>
              <w:keepNext/>
              <w:keepLines/>
            </w:pPr>
            <w:r>
              <w:rPr>
                <w:sz w:val="16"/>
              </w:rPr>
              <w:t>81.76</w:t>
            </w:r>
          </w:p>
        </w:tc>
        <w:tc>
          <w:tcPr>
            <w:tcW w:type="dxa" w:w="2635"/>
          </w:tcPr>
          <w:p>
            <w:pPr>
              <w:keepNext/>
              <w:keepLines/>
            </w:pPr>
            <w:r>
              <w:rPr>
                <w:sz w:val="16"/>
              </w:rPr>
              <w:t>110.60</w:t>
            </w:r>
          </w:p>
        </w:tc>
      </w:tr>
      <w:tr>
        <w:trPr>
          <w:cantSplit/>
        </w:trPr>
        <w:tc>
          <w:tcPr>
            <w:tcW w:type="dxa" w:w="2635"/>
          </w:tcPr>
          <w:p>
            <w:pPr>
              <w:keepNext/>
              <w:keepLines/>
            </w:pPr>
            <w:r>
              <w:rPr>
                <w:sz w:val="16"/>
              </w:rPr>
              <w:t>Cost of equity +1 pt (11.45%)</w:t>
            </w:r>
          </w:p>
        </w:tc>
        <w:tc>
          <w:tcPr>
            <w:tcW w:type="dxa" w:w="2635"/>
          </w:tcPr>
          <w:p>
            <w:pPr>
              <w:keepNext/>
              <w:keepLines/>
            </w:pPr>
            <w:r>
              <w:rPr>
                <w:sz w:val="16"/>
              </w:rPr>
              <w:t>11.35</w:t>
            </w:r>
          </w:p>
        </w:tc>
        <w:tc>
          <w:tcPr>
            <w:tcW w:type="dxa" w:w="2635"/>
          </w:tcPr>
          <w:p>
            <w:pPr>
              <w:keepNext/>
              <w:keepLines/>
            </w:pPr>
            <w:r>
              <w:rPr>
                <w:sz w:val="16"/>
              </w:rPr>
              <w:t>53.78</w:t>
            </w:r>
          </w:p>
        </w:tc>
        <w:tc>
          <w:tcPr>
            <w:tcW w:type="dxa" w:w="2635"/>
          </w:tcPr>
          <w:p>
            <w:pPr>
              <w:keepNext/>
              <w:keepLines/>
            </w:pPr>
            <w:r>
              <w:rPr>
                <w:sz w:val="16"/>
              </w:rPr>
              <w:t>73.01</w:t>
            </w:r>
          </w:p>
        </w:tc>
      </w:tr>
      <w:tr>
        <w:trPr>
          <w:cantSplit/>
        </w:trPr>
        <w:tc>
          <w:tcPr>
            <w:tcW w:type="dxa" w:w="2635"/>
          </w:tcPr>
          <w:p>
            <w:pPr>
              <w:keepNext/>
              <w:keepLines/>
            </w:pPr>
            <w:r>
              <w:rPr>
                <w:sz w:val="16"/>
              </w:rPr>
              <w:t>Incremental margin (mc) −10 pts</w:t>
            </w:r>
          </w:p>
        </w:tc>
        <w:tc>
          <w:tcPr>
            <w:tcW w:type="dxa" w:w="2635"/>
          </w:tcPr>
          <w:p>
            <w:pPr>
              <w:keepNext/>
              <w:keepLines/>
            </w:pPr>
            <w:r>
              <w:rPr>
                <w:sz w:val="16"/>
              </w:rPr>
              <w:t>13.43</w:t>
            </w:r>
          </w:p>
        </w:tc>
        <w:tc>
          <w:tcPr>
            <w:tcW w:type="dxa" w:w="2635"/>
          </w:tcPr>
          <w:p>
            <w:pPr>
              <w:keepNext/>
              <w:keepLines/>
            </w:pPr>
            <w:r>
              <w:rPr>
                <w:sz w:val="16"/>
              </w:rPr>
              <w:t>58.12</w:t>
            </w:r>
          </w:p>
        </w:tc>
        <w:tc>
          <w:tcPr>
            <w:tcW w:type="dxa" w:w="2635"/>
          </w:tcPr>
          <w:p>
            <w:pPr>
              <w:keepNext/>
              <w:keepLines/>
            </w:pPr>
            <w:r>
              <w:rPr>
                <w:sz w:val="16"/>
              </w:rPr>
              <w:t>79.70</w:t>
            </w:r>
          </w:p>
        </w:tc>
      </w:tr>
      <w:tr>
        <w:trPr>
          <w:cantSplit/>
        </w:trPr>
        <w:tc>
          <w:tcPr>
            <w:tcW w:type="dxa" w:w="2635"/>
          </w:tcPr>
          <w:p>
            <w:pPr>
              <w:keepNext/>
              <w:keepLines/>
            </w:pPr>
            <w:r>
              <w:rPr>
                <w:sz w:val="16"/>
              </w:rPr>
              <w:t>Incremental margin (mc) +10 pts</w:t>
            </w:r>
          </w:p>
        </w:tc>
        <w:tc>
          <w:tcPr>
            <w:tcW w:type="dxa" w:w="2635"/>
          </w:tcPr>
          <w:p>
            <w:pPr>
              <w:keepNext/>
              <w:keepLines/>
            </w:pPr>
            <w:r>
              <w:rPr>
                <w:sz w:val="16"/>
              </w:rPr>
              <w:t>17.75</w:t>
            </w:r>
          </w:p>
        </w:tc>
        <w:tc>
          <w:tcPr>
            <w:tcW w:type="dxa" w:w="2635"/>
          </w:tcPr>
          <w:p>
            <w:pPr>
              <w:keepNext/>
              <w:keepLines/>
            </w:pPr>
            <w:r>
              <w:rPr>
                <w:sz w:val="16"/>
              </w:rPr>
              <w:t>72.29</w:t>
            </w:r>
          </w:p>
        </w:tc>
        <w:tc>
          <w:tcPr>
            <w:tcW w:type="dxa" w:w="2635"/>
          </w:tcPr>
          <w:p>
            <w:pPr>
              <w:keepNext/>
              <w:keepLines/>
            </w:pPr>
            <w:r>
              <w:rPr>
                <w:sz w:val="16"/>
              </w:rPr>
              <w:t>97.01</w:t>
            </w:r>
          </w:p>
        </w:tc>
      </w:tr>
      <w:tr>
        <w:trPr>
          <w:cantSplit/>
        </w:trPr>
        <w:tc>
          <w:tcPr>
            <w:tcW w:type="dxa" w:w="2635"/>
          </w:tcPr>
          <w:p>
            <w:pPr>
              <w:keepNext/>
              <w:keepLines/>
            </w:pPr>
            <w:r>
              <w:rPr>
                <w:sz w:val="16"/>
              </w:rPr>
              <w:t>gsnext −5 pts (10%)</w:t>
            </w:r>
          </w:p>
        </w:tc>
        <w:tc>
          <w:tcPr>
            <w:tcW w:type="dxa" w:w="2635"/>
          </w:tcPr>
          <w:p>
            <w:pPr>
              <w:keepNext/>
              <w:keepLines/>
            </w:pPr>
            <w:r>
              <w:rPr>
                <w:sz w:val="16"/>
              </w:rPr>
              <w:t>11.76</w:t>
            </w:r>
          </w:p>
        </w:tc>
        <w:tc>
          <w:tcPr>
            <w:tcW w:type="dxa" w:w="2635"/>
          </w:tcPr>
          <w:p>
            <w:pPr>
              <w:keepNext/>
              <w:keepLines/>
            </w:pPr>
            <w:r>
              <w:rPr>
                <w:sz w:val="16"/>
              </w:rPr>
              <w:t>52.95</w:t>
            </w:r>
          </w:p>
        </w:tc>
        <w:tc>
          <w:tcPr>
            <w:tcW w:type="dxa" w:w="2635"/>
          </w:tcPr>
          <w:p>
            <w:pPr>
              <w:keepNext/>
              <w:keepLines/>
            </w:pPr>
            <w:r>
              <w:rPr>
                <w:sz w:val="16"/>
              </w:rPr>
              <w:t>71.81</w:t>
            </w:r>
          </w:p>
        </w:tc>
      </w:tr>
      <w:tr>
        <w:trPr>
          <w:cantSplit/>
        </w:trPr>
        <w:tc>
          <w:tcPr>
            <w:tcW w:type="dxa" w:w="2635"/>
          </w:tcPr>
          <w:p>
            <w:pPr>
              <w:keepNext/>
              <w:keepLines/>
            </w:pPr>
            <w:r>
              <w:rPr>
                <w:sz w:val="16"/>
              </w:rPr>
              <w:t>gsnext +5 pts (20%)</w:t>
            </w:r>
          </w:p>
        </w:tc>
        <w:tc>
          <w:tcPr>
            <w:tcW w:type="dxa" w:w="2635"/>
          </w:tcPr>
          <w:p>
            <w:pPr>
              <w:keepNext/>
              <w:keepLines/>
            </w:pPr>
            <w:r>
              <w:rPr>
                <w:sz w:val="16"/>
              </w:rPr>
              <w:t>20.39</w:t>
            </w:r>
          </w:p>
        </w:tc>
        <w:tc>
          <w:tcPr>
            <w:tcW w:type="dxa" w:w="2635"/>
          </w:tcPr>
          <w:p>
            <w:pPr>
              <w:keepNext/>
              <w:keepLines/>
            </w:pPr>
            <w:r>
              <w:rPr>
                <w:sz w:val="16"/>
              </w:rPr>
              <w:t>79.86</w:t>
            </w:r>
          </w:p>
        </w:tc>
        <w:tc>
          <w:tcPr>
            <w:tcW w:type="dxa" w:w="2635"/>
          </w:tcPr>
          <w:p>
            <w:pPr>
              <w:keepNext/>
              <w:keepLines/>
            </w:pPr>
            <w:r>
              <w:rPr>
                <w:sz w:val="16"/>
              </w:rPr>
              <w:t>108.16</w:t>
            </w:r>
          </w:p>
        </w:tc>
      </w:tr>
      <w:tr>
        <w:trPr>
          <w:cantSplit/>
        </w:trPr>
        <w:tc>
          <w:tcPr>
            <w:tcW w:type="dxa" w:w="2635"/>
          </w:tcPr>
          <w:p>
            <w:pPr>
              <w:keepNext/>
              <w:keepLines/>
            </w:pPr>
            <w:r>
              <w:rPr>
                <w:sz w:val="16"/>
              </w:rPr>
              <w:t>roict 20%</w:t>
            </w:r>
          </w:p>
        </w:tc>
        <w:tc>
          <w:tcPr>
            <w:tcW w:type="dxa" w:w="2635"/>
          </w:tcPr>
          <w:p>
            <w:pPr>
              <w:keepNext/>
              <w:keepLines/>
            </w:pPr>
            <w:r>
              <w:rPr>
                <w:sz w:val="16"/>
              </w:rPr>
              <w:t>13.44</w:t>
            </w:r>
          </w:p>
        </w:tc>
        <w:tc>
          <w:tcPr>
            <w:tcW w:type="dxa" w:w="2635"/>
          </w:tcPr>
          <w:p>
            <w:pPr>
              <w:keepNext/>
              <w:keepLines/>
            </w:pPr>
            <w:r>
              <w:rPr>
                <w:sz w:val="16"/>
              </w:rPr>
              <w:t>61.37</w:t>
            </w:r>
          </w:p>
        </w:tc>
        <w:tc>
          <w:tcPr>
            <w:tcW w:type="dxa" w:w="2635"/>
          </w:tcPr>
          <w:p>
            <w:pPr>
              <w:keepNext/>
              <w:keepLines/>
            </w:pPr>
            <w:r>
              <w:rPr>
                <w:sz w:val="16"/>
              </w:rPr>
              <w:t>83.19</w:t>
            </w:r>
          </w:p>
        </w:tc>
      </w:tr>
      <w:tr>
        <w:trPr>
          <w:cantSplit/>
        </w:trPr>
        <w:tc>
          <w:tcPr>
            <w:tcW w:type="dxa" w:w="2635"/>
          </w:tcPr>
          <w:p>
            <w:r>
              <w:rPr>
                <w:sz w:val="16"/>
              </w:rPr>
              <w:t>roict 30%</w:t>
            </w:r>
          </w:p>
        </w:tc>
        <w:tc>
          <w:tcPr>
            <w:tcW w:type="dxa" w:w="2635"/>
          </w:tcPr>
          <w:p>
            <w:r>
              <w:rPr>
                <w:sz w:val="16"/>
              </w:rPr>
              <w:t>15.30</w:t>
            </w:r>
          </w:p>
        </w:tc>
        <w:tc>
          <w:tcPr>
            <w:tcW w:type="dxa" w:w="2635"/>
          </w:tcPr>
          <w:p>
            <w:r>
              <w:rPr>
                <w:sz w:val="16"/>
              </w:rPr>
              <w:t>67.75</w:t>
            </w:r>
          </w:p>
        </w:tc>
        <w:tc>
          <w:tcPr>
            <w:tcW w:type="dxa" w:w="2635"/>
          </w:tcPr>
          <w:p>
            <w:r>
              <w:rPr>
                <w:sz w:val="16"/>
              </w:rPr>
              <w:t>91.80</w:t>
            </w:r>
          </w:p>
        </w:tc>
      </w:tr>
    </w:tbl>
    <w:p/>
    <w:p>
      <w:pPr>
        <w:keepNext/>
        <w:keepLines/>
      </w:pPr>
      <w:r>
        <w:rPr>
          <w:i/>
        </w:rPr>
        <w:t>Source: C61. Terminal growth unchanged in every run.</w:t>
      </w:r>
    </w:p>
    <w:p>
      <w:pPr>
        <w:keepNext/>
        <w:keepLines/>
      </w:pPr>
      <w:r>
        <w:rPr>
          <w:b/>
        </w:rPr>
        <w:t>Figure 12 – Scenarios vs. price</w:t>
      </w:r>
    </w:p>
    <w:tbl>
      <w:tblPr>
        <w:tblStyle w:val="TableGrid"/>
        <w:tblW w:type="auto" w:w="0"/>
        <w:tblLook w:firstColumn="1" w:firstRow="1" w:lastColumn="0" w:lastRow="0" w:noHBand="0" w:noVBand="1" w:val="04A0"/>
      </w:tblPr>
      <w:tblGrid>
        <w:gridCol w:w="2635"/>
        <w:gridCol w:w="2635"/>
        <w:gridCol w:w="2635"/>
        <w:gridCol w:w="2635"/>
      </w:tblGrid>
      <w:tr>
        <w:trPr>
          <w:cantSplit/>
          <w:tblHeader/>
        </w:trPr>
        <w:tc>
          <w:tcPr>
            <w:tcW w:type="dxa" w:w="2635"/>
          </w:tcPr>
          <w:p>
            <w:pPr>
              <w:keepNext/>
              <w:keepLines/>
            </w:pPr>
          </w:p>
        </w:tc>
        <w:tc>
          <w:tcPr>
            <w:tcW w:type="dxa" w:w="2635"/>
          </w:tcPr>
          <w:p>
            <w:pPr>
              <w:keepNext/>
              <w:keepLines/>
            </w:pPr>
            <w:r>
              <w:rPr>
                <w:b/>
                <w:sz w:val="16"/>
              </w:rPr>
              <w:t>Bear</w:t>
            </w:r>
          </w:p>
        </w:tc>
        <w:tc>
          <w:tcPr>
            <w:tcW w:type="dxa" w:w="2635"/>
          </w:tcPr>
          <w:p>
            <w:pPr>
              <w:keepNext/>
              <w:keepLines/>
            </w:pPr>
            <w:r>
              <w:rPr>
                <w:b/>
                <w:sz w:val="16"/>
              </w:rPr>
              <w:t>Base</w:t>
            </w:r>
          </w:p>
        </w:tc>
        <w:tc>
          <w:tcPr>
            <w:tcW w:type="dxa" w:w="2635"/>
          </w:tcPr>
          <w:p>
            <w:pPr>
              <w:keepNext/>
              <w:keepLines/>
            </w:pPr>
            <w:r>
              <w:rPr>
                <w:b/>
                <w:sz w:val="16"/>
              </w:rPr>
              <w:t>Bull</w:t>
            </w:r>
          </w:p>
        </w:tc>
      </w:tr>
      <w:tr>
        <w:trPr>
          <w:cantSplit/>
        </w:trPr>
        <w:tc>
          <w:tcPr>
            <w:tcW w:type="dxa" w:w="2635"/>
          </w:tcPr>
          <w:p>
            <w:pPr>
              <w:keepNext/>
              <w:keepLines/>
            </w:pPr>
            <w:r>
              <w:rPr>
                <w:sz w:val="16"/>
              </w:rPr>
              <w:t>Value per share, Finagle (US$)</w:t>
            </w:r>
          </w:p>
        </w:tc>
        <w:tc>
          <w:tcPr>
            <w:tcW w:type="dxa" w:w="2635"/>
          </w:tcPr>
          <w:p>
            <w:pPr>
              <w:keepNext/>
              <w:keepLines/>
            </w:pPr>
            <w:r>
              <w:rPr>
                <w:sz w:val="16"/>
              </w:rPr>
              <w:t>14.56</w:t>
            </w:r>
          </w:p>
        </w:tc>
        <w:tc>
          <w:tcPr>
            <w:tcW w:type="dxa" w:w="2635"/>
          </w:tcPr>
          <w:p>
            <w:pPr>
              <w:keepNext/>
              <w:keepLines/>
            </w:pPr>
            <w:r>
              <w:rPr>
                <w:sz w:val="16"/>
              </w:rPr>
              <w:t>65.20</w:t>
            </w:r>
          </w:p>
        </w:tc>
        <w:tc>
          <w:tcPr>
            <w:tcW w:type="dxa" w:w="2635"/>
          </w:tcPr>
          <w:p>
            <w:pPr>
              <w:keepNext/>
              <w:keepLines/>
            </w:pPr>
            <w:r>
              <w:rPr>
                <w:sz w:val="16"/>
              </w:rPr>
              <w:t>88.36</w:t>
            </w:r>
          </w:p>
        </w:tc>
      </w:tr>
      <w:tr>
        <w:trPr>
          <w:cantSplit/>
        </w:trPr>
        <w:tc>
          <w:tcPr>
            <w:tcW w:type="dxa" w:w="2635"/>
          </w:tcPr>
          <w:p>
            <w:pPr>
              <w:keepNext/>
              <w:keepLines/>
            </w:pPr>
            <w:r>
              <w:rPr>
                <w:sz w:val="16"/>
              </w:rPr>
              <w:t>After ×0.90 dilution estimate (US$)</w:t>
            </w:r>
          </w:p>
        </w:tc>
        <w:tc>
          <w:tcPr>
            <w:tcW w:type="dxa" w:w="2635"/>
          </w:tcPr>
          <w:p>
            <w:pPr>
              <w:keepNext/>
              <w:keepLines/>
            </w:pPr>
            <w:r>
              <w:rPr>
                <w:sz w:val="16"/>
              </w:rPr>
              <w:t>13.10</w:t>
            </w:r>
          </w:p>
        </w:tc>
        <w:tc>
          <w:tcPr>
            <w:tcW w:type="dxa" w:w="2635"/>
          </w:tcPr>
          <w:p>
            <w:pPr>
              <w:keepNext/>
              <w:keepLines/>
            </w:pPr>
            <w:r>
              <w:rPr>
                <w:sz w:val="16"/>
              </w:rPr>
              <w:t>58.68</w:t>
            </w:r>
          </w:p>
        </w:tc>
        <w:tc>
          <w:tcPr>
            <w:tcW w:type="dxa" w:w="2635"/>
          </w:tcPr>
          <w:p>
            <w:pPr>
              <w:keepNext/>
              <w:keepLines/>
            </w:pPr>
            <w:r>
              <w:rPr>
                <w:sz w:val="16"/>
              </w:rPr>
              <w:t>79.52</w:t>
            </w:r>
          </w:p>
        </w:tc>
      </w:tr>
      <w:tr>
        <w:trPr>
          <w:cantSplit/>
        </w:trPr>
        <w:tc>
          <w:tcPr>
            <w:tcW w:type="dxa" w:w="2635"/>
          </w:tcPr>
          <w:p>
            <w:pPr>
              <w:keepNext/>
              <w:keepLines/>
            </w:pPr>
            <w:r>
              <w:rPr>
                <w:sz w:val="16"/>
              </w:rPr>
              <w:t>Equity value / enterprise value (US$M)</w:t>
            </w:r>
          </w:p>
        </w:tc>
        <w:tc>
          <w:tcPr>
            <w:tcW w:type="dxa" w:w="2635"/>
          </w:tcPr>
          <w:p>
            <w:pPr>
              <w:keepNext/>
              <w:keepLines/>
            </w:pPr>
            <w:r>
              <w:rPr>
                <w:sz w:val="16"/>
              </w:rPr>
              <w:t>398.1 / 447.2</w:t>
            </w:r>
          </w:p>
        </w:tc>
        <w:tc>
          <w:tcPr>
            <w:tcW w:type="dxa" w:w="2635"/>
          </w:tcPr>
          <w:p>
            <w:pPr>
              <w:keepNext/>
              <w:keepLines/>
            </w:pPr>
            <w:r>
              <w:rPr>
                <w:sz w:val="16"/>
              </w:rPr>
              <w:t>1,942.9 / 1,992.0</w:t>
            </w:r>
          </w:p>
        </w:tc>
        <w:tc>
          <w:tcPr>
            <w:tcW w:type="dxa" w:w="2635"/>
          </w:tcPr>
          <w:p>
            <w:pPr>
              <w:keepNext/>
              <w:keepLines/>
            </w:pPr>
            <w:r>
              <w:rPr>
                <w:sz w:val="16"/>
              </w:rPr>
              <w:t>2,649.2 / 2,698.3</w:t>
            </w:r>
          </w:p>
        </w:tc>
      </w:tr>
      <w:tr>
        <w:trPr>
          <w:cantSplit/>
        </w:trPr>
        <w:tc>
          <w:tcPr>
            <w:tcW w:type="dxa" w:w="2635"/>
          </w:tcPr>
          <w:p>
            <w:pPr>
              <w:keepNext/>
              <w:keepLines/>
            </w:pPr>
            <w:r>
              <w:rPr>
                <w:sz w:val="16"/>
              </w:rPr>
              <w:t>Price, Oct 23, 2026 (US$)</w:t>
            </w:r>
          </w:p>
        </w:tc>
        <w:tc>
          <w:tcPr>
            <w:tcW w:type="dxa" w:w="2635"/>
          </w:tcPr>
          <w:p>
            <w:pPr>
              <w:keepNext/>
              <w:keepLines/>
            </w:pPr>
            <w:r>
              <w:rPr>
                <w:sz w:val="16"/>
              </w:rPr>
              <w:t>9.25</w:t>
            </w:r>
          </w:p>
        </w:tc>
        <w:tc>
          <w:tcPr>
            <w:tcW w:type="dxa" w:w="2635"/>
          </w:tcPr>
          <w:p>
            <w:pPr>
              <w:keepNext/>
              <w:keepLines/>
            </w:pPr>
            <w:r>
              <w:rPr>
                <w:sz w:val="16"/>
              </w:rPr>
              <w:t>9.25</w:t>
            </w:r>
          </w:p>
        </w:tc>
        <w:tc>
          <w:tcPr>
            <w:tcW w:type="dxa" w:w="2635"/>
          </w:tcPr>
          <w:p>
            <w:pPr>
              <w:keepNext/>
              <w:keepLines/>
            </w:pPr>
            <w:r>
              <w:rPr>
                <w:sz w:val="16"/>
              </w:rPr>
              <w:t>9.25</w:t>
            </w:r>
          </w:p>
        </w:tc>
      </w:tr>
      <w:tr>
        <w:trPr>
          <w:cantSplit/>
        </w:trPr>
        <w:tc>
          <w:tcPr>
            <w:tcW w:type="dxa" w:w="2635"/>
          </w:tcPr>
          <w:p>
            <w:pPr>
              <w:keepNext/>
              <w:keepLines/>
            </w:pPr>
            <w:r>
              <w:rPr>
                <w:sz w:val="16"/>
              </w:rPr>
              <w:t>Finagle value vs. price</w:t>
            </w:r>
          </w:p>
        </w:tc>
        <w:tc>
          <w:tcPr>
            <w:tcW w:type="dxa" w:w="2635"/>
          </w:tcPr>
          <w:p>
            <w:pPr>
              <w:keepNext/>
              <w:keepLines/>
            </w:pPr>
            <w:r>
              <w:rPr>
                <w:sz w:val="16"/>
              </w:rPr>
              <w:t>+57.4%</w:t>
            </w:r>
          </w:p>
        </w:tc>
        <w:tc>
          <w:tcPr>
            <w:tcW w:type="dxa" w:w="2635"/>
          </w:tcPr>
          <w:p>
            <w:pPr>
              <w:keepNext/>
              <w:keepLines/>
            </w:pPr>
            <w:r>
              <w:rPr>
                <w:sz w:val="16"/>
              </w:rPr>
              <w:t>+604.9%</w:t>
            </w:r>
          </w:p>
        </w:tc>
        <w:tc>
          <w:tcPr>
            <w:tcW w:type="dxa" w:w="2635"/>
          </w:tcPr>
          <w:p>
            <w:pPr>
              <w:keepNext/>
              <w:keepLines/>
            </w:pPr>
            <w:r>
              <w:rPr>
                <w:sz w:val="16"/>
              </w:rPr>
              <w:t>+855.2%</w:t>
            </w:r>
          </w:p>
        </w:tc>
      </w:tr>
      <w:tr>
        <w:trPr>
          <w:cantSplit/>
        </w:trPr>
        <w:tc>
          <w:tcPr>
            <w:tcW w:type="dxa" w:w="2635"/>
          </w:tcPr>
          <w:p>
            <w:r>
              <w:rPr>
                <w:sz w:val="16"/>
              </w:rPr>
              <w:t>Dilution-adjusted vs. price</w:t>
            </w:r>
          </w:p>
        </w:tc>
        <w:tc>
          <w:tcPr>
            <w:tcW w:type="dxa" w:w="2635"/>
          </w:tcPr>
          <w:p>
            <w:r>
              <w:rPr>
                <w:sz w:val="16"/>
              </w:rPr>
              <w:t>+41.6%</w:t>
            </w:r>
          </w:p>
        </w:tc>
        <w:tc>
          <w:tcPr>
            <w:tcW w:type="dxa" w:w="2635"/>
          </w:tcPr>
          <w:p>
            <w:r>
              <w:rPr>
                <w:sz w:val="16"/>
              </w:rPr>
              <w:t>+534.4%</w:t>
            </w:r>
          </w:p>
        </w:tc>
        <w:tc>
          <w:tcPr>
            <w:tcW w:type="dxa" w:w="2635"/>
          </w:tcPr>
          <w:p>
            <w:r>
              <w:rPr>
                <w:sz w:val="16"/>
              </w:rPr>
              <w:t>+759.7%</w:t>
            </w:r>
          </w:p>
        </w:tc>
      </w:tr>
    </w:tbl>
    <w:p/>
    <w:p>
      <w:r>
        <w:rPr>
          <w:i/>
        </w:rPr>
        <w:t>Source: C56–C59, C62. Analysts' average target is $23.50 (2 analysts) [E2], shown for context only.</w:t>
      </w:r>
    </w:p>
    <w:p>
      <w:pPr>
        <w:keepNext/>
        <w:keepLines/>
      </w:pPr>
      <w:r>
        <w:t>The spread mainly reflects core growth, CAL utilisation, approval timing and Parkinson's volume. On these inputs the $9.25 price is below the bear value, but every case assumes both approvals [P1].</w:t>
      </w:r>
    </w:p>
    <w:p>
      <w:r>
        <w:rPr>
          <w:b/>
        </w:rPr>
        <w:t>Reader notes.</w:t>
      </w:r>
    </w:p>
    <w:p>
      <w:pPr>
        <w:pStyle w:val="ListBullet"/>
      </w:pPr>
      <w:r>
        <w:rPr>
          <w:b/>
        </w:rPr>
        <w:t>Terminal and fade weight.</w:t>
      </w:r>
      <w:r>
        <w:t xml:space="preserve"> About 86% of base value (85% bull) comes from cash flows after FY2031E, and about 54% from beyond FY2040E (Figure 8) [C60]. The six explicit years contribute $7.74 of the $65.20 base value.</w:t>
      </w:r>
    </w:p>
    <w:p>
      <w:pPr>
        <w:pStyle w:val="ListBullet"/>
      </w:pPr>
      <w:r>
        <w:rPr>
          <w:b/>
        </w:rPr>
        <w:t>Borrowing in FCFE.</w:t>
      </w:r>
      <w:r>
        <w:t xml:space="preserve"> FCFE counts borrowing proceeds, and "none" distributions treat all FCFE as paid out. At 2× EBITDA, base debt rises to $939.0M by FY2040E ($1,253.9M bull, $287.6M bear), and new borrowing is part of each year's FCFE (base FY2040E: $57.7M of $262M) [C56]–[C58]. This is the standard FCFE calculation, not an error; the value depends on lenders funding 2× EBITDA throughout. David notes Medtronic runs at about 2× [P3].</w:t>
      </w:r>
    </w:p>
    <w:p>
      <w:pPr>
        <w:pStyle w:val="ListBullet"/>
      </w:pPr>
      <w:r>
        <w:rPr>
          <w:b/>
        </w:rPr>
        <w:t>Dilution.</w:t>
      </w:r>
      <w:r>
        <w:t xml:space="preserve"> The ×0.90 is a flat haircut outside Finagle. The borrowing that an equity raise might replace stays in the model [C62].</w:t>
      </w:r>
    </w:p>
    <w:p>
      <w:pPr>
        <w:pStyle w:val="ListBullet"/>
      </w:pPr>
      <w:r>
        <w:rPr>
          <w:b/>
        </w:rPr>
        <w:t>Bear funding.</w:t>
      </w:r>
      <w:r>
        <w:t xml:space="preserve"> The bear's cash reaches −$98.0M in FY2030E–FY2032E with no funding modelled; Finagle treats the shortfall as negative dividends [C58].</w:t>
      </w:r>
    </w:p>
    <w:p>
      <w:pPr>
        <w:pStyle w:val="ListBullet"/>
      </w:pPr>
      <w:r>
        <w:rPr>
          <w:b/>
        </w:rPr>
        <w:t>Oberland terms.</w:t>
      </w:r>
      <w:r>
        <w:t xml:space="preserve"> The revenue participation and the prepayment premiums (117.5%–125% early, then a 9.5%–10.5% IRR) are approximated through the 9.2% rate, not modelled separately [C63][D2].</w:t>
      </w:r>
    </w:p>
    <w:p>
      <w:pPr>
        <w:pStyle w:val="ListBullet"/>
      </w:pPr>
      <w:r>
        <w:rPr>
          <w:b/>
        </w:rPr>
        <w:t>Opening debt.</w:t>
      </w:r>
      <w:r>
        <w:t xml:space="preserve"> Finagle starts from FY2025A debt of $49.077M (10-K); carrying value at June 30, 2026 was $50.2M [D1][D2].</w:t>
      </w:r>
    </w:p>
    <w:p>
      <w:pPr>
        <w:pStyle w:val="ListBullet"/>
      </w:pPr>
      <w:r>
        <w:rPr>
          <w:b/>
        </w:rPr>
        <w:t>Parkinson's pool.</w:t>
      </w:r>
      <w:r>
        <w:t xml:space="preserve"> Value rests on the PD class assumptions: 100% platform share, 50% motor complications and 90% fitness [S63][S44]–[S47] ★.</w:t>
      </w:r>
    </w:p>
    <w:p>
      <w:pPr>
        <w:pStyle w:val="ListBullet"/>
      </w:pPr>
      <w:r>
        <w:rPr>
          <w:b/>
        </w:rPr>
        <w:t>Model warnings.</w:t>
      </w:r>
      <w:r>
        <w:t xml:space="preserve"> Finagle's validation warnings and flags are listed verbatim in Appendix E.</w:t>
      </w:r>
    </w:p>
    <w:p>
      <w:r>
        <w:t>---</w:t>
      </w:r>
    </w:p>
    <w:p>
      <w:pPr>
        <w:pStyle w:val="Heading3"/>
        <w:keepNext/>
        <w:keepLines/>
      </w:pPr>
      <w:r>
        <w:t>Appendix A – Bull and Bear Cases</w:t>
      </w:r>
    </w:p>
    <w:p>
      <w:pPr>
        <w:keepNext/>
        <w:keepLines/>
      </w:pPr>
      <w:r>
        <w:t>Figure 6 shows the three cases. Price is fixed at $20k throughout [P2]. The cases vary approval timing, ramp speed, utilisation, core growth and costs.</w:t>
      </w:r>
    </w:p>
    <w:p>
      <w:pPr>
        <w:keepNext/>
        <w:keepLines/>
      </w:pPr>
      <w:r>
        <w:rPr>
          <w:b/>
        </w:rPr>
        <w:t>Figure 6 – Scenarios</w:t>
      </w:r>
    </w:p>
    <w:tbl>
      <w:tblPr>
        <w:tblStyle w:val="TableGrid"/>
        <w:tblW w:type="auto" w:w="0"/>
        <w:tblLook w:firstColumn="1" w:firstRow="1" w:lastColumn="0" w:lastRow="0" w:noHBand="0" w:noVBand="1" w:val="04A0"/>
      </w:tblPr>
      <w:tblGrid>
        <w:gridCol w:w="2635"/>
        <w:gridCol w:w="2635"/>
        <w:gridCol w:w="2635"/>
        <w:gridCol w:w="2635"/>
      </w:tblGrid>
      <w:tr>
        <w:trPr>
          <w:cantSplit/>
          <w:tblHeader/>
        </w:trPr>
        <w:tc>
          <w:tcPr>
            <w:tcW w:type="dxa" w:w="2635"/>
          </w:tcPr>
          <w:p>
            <w:pPr>
              <w:keepNext/>
              <w:keepLines/>
            </w:pPr>
          </w:p>
        </w:tc>
        <w:tc>
          <w:tcPr>
            <w:tcW w:type="dxa" w:w="2635"/>
          </w:tcPr>
          <w:p>
            <w:pPr>
              <w:keepNext/>
              <w:keepLines/>
            </w:pPr>
            <w:r>
              <w:rPr>
                <w:b/>
                <w:sz w:val="16"/>
              </w:rPr>
              <w:t>Bear</w:t>
            </w:r>
          </w:p>
        </w:tc>
        <w:tc>
          <w:tcPr>
            <w:tcW w:type="dxa" w:w="2635"/>
          </w:tcPr>
          <w:p>
            <w:pPr>
              <w:keepNext/>
              <w:keepLines/>
            </w:pPr>
            <w:r>
              <w:rPr>
                <w:b/>
                <w:sz w:val="16"/>
              </w:rPr>
              <w:t>Base</w:t>
            </w:r>
          </w:p>
        </w:tc>
        <w:tc>
          <w:tcPr>
            <w:tcW w:type="dxa" w:w="2635"/>
          </w:tcPr>
          <w:p>
            <w:pPr>
              <w:keepNext/>
              <w:keepLines/>
            </w:pPr>
            <w:r>
              <w:rPr>
                <w:b/>
                <w:sz w:val="16"/>
              </w:rPr>
              <w:t>Bull</w:t>
            </w:r>
          </w:p>
        </w:tc>
      </w:tr>
      <w:tr>
        <w:trPr>
          <w:cantSplit/>
        </w:trPr>
        <w:tc>
          <w:tcPr>
            <w:tcW w:type="dxa" w:w="2635"/>
          </w:tcPr>
          <w:p>
            <w:pPr>
              <w:keepNext/>
              <w:keepLines/>
            </w:pPr>
            <w:r>
              <w:rPr>
                <w:sz w:val="16"/>
              </w:rPr>
              <w:t>AMT-130 FY2027E–31E</w:t>
            </w:r>
          </w:p>
        </w:tc>
        <w:tc>
          <w:tcPr>
            <w:tcW w:type="dxa" w:w="2635"/>
          </w:tcPr>
          <w:p>
            <w:pPr>
              <w:keepNext/>
              <w:keepLines/>
            </w:pPr>
            <w:r>
              <w:rPr>
                <w:sz w:val="16"/>
              </w:rPr>
              <w:t>0 / 270 / 1,000 / 1,800 / 2,300</w:t>
            </w:r>
          </w:p>
        </w:tc>
        <w:tc>
          <w:tcPr>
            <w:tcW w:type="dxa" w:w="2635"/>
          </w:tcPr>
          <w:p>
            <w:pPr>
              <w:keepNext/>
              <w:keepLines/>
            </w:pPr>
            <w:r>
              <w:rPr>
                <w:sz w:val="16"/>
              </w:rPr>
              <w:t>330 / 2,500 / 3,170 / 3,000 / 3,000</w:t>
            </w:r>
          </w:p>
        </w:tc>
        <w:tc>
          <w:tcPr>
            <w:tcW w:type="dxa" w:w="2635"/>
          </w:tcPr>
          <w:p>
            <w:pPr>
              <w:keepNext/>
              <w:keepLines/>
            </w:pPr>
            <w:r>
              <w:rPr>
                <w:sz w:val="16"/>
              </w:rPr>
              <w:t>880 / 4,500 / 4,120 / 3,500 / 3,500</w:t>
            </w:r>
          </w:p>
        </w:tc>
      </w:tr>
      <w:tr>
        <w:trPr>
          <w:cantSplit/>
        </w:trPr>
        <w:tc>
          <w:tcPr>
            <w:tcW w:type="dxa" w:w="2635"/>
          </w:tcPr>
          <w:p>
            <w:pPr>
              <w:keepNext/>
              <w:keepLines/>
            </w:pPr>
            <w:r>
              <w:rPr>
                <w:sz w:val="16"/>
              </w:rPr>
              <w:t>One-time PD therapies (class) FY2027E–31E</w:t>
            </w:r>
          </w:p>
        </w:tc>
        <w:tc>
          <w:tcPr>
            <w:tcW w:type="dxa" w:w="2635"/>
          </w:tcPr>
          <w:p>
            <w:pPr>
              <w:keepNext/>
              <w:keepLines/>
            </w:pPr>
            <w:r>
              <w:rPr>
                <w:sz w:val="16"/>
              </w:rPr>
              <w:t>0 / 0 / 0 / 330 / 2,500</w:t>
            </w:r>
          </w:p>
        </w:tc>
        <w:tc>
          <w:tcPr>
            <w:tcW w:type="dxa" w:w="2635"/>
          </w:tcPr>
          <w:p>
            <w:pPr>
              <w:keepNext/>
              <w:keepLines/>
            </w:pPr>
            <w:r>
              <w:rPr>
                <w:sz w:val="16"/>
              </w:rPr>
              <w:t>0 / 0 / 3,919 / 7,594 / 11,126</w:t>
            </w:r>
          </w:p>
        </w:tc>
        <w:tc>
          <w:tcPr>
            <w:tcW w:type="dxa" w:w="2635"/>
          </w:tcPr>
          <w:p>
            <w:pPr>
              <w:keepNext/>
              <w:keepLines/>
            </w:pPr>
            <w:r>
              <w:rPr>
                <w:sz w:val="16"/>
              </w:rPr>
              <w:t>0 / 0 / 5,225 / 9,917 / 14,272</w:t>
            </w:r>
          </w:p>
        </w:tc>
      </w:tr>
      <w:tr>
        <w:trPr>
          <w:cantSplit/>
        </w:trPr>
        <w:tc>
          <w:tcPr>
            <w:tcW w:type="dxa" w:w="2635"/>
          </w:tcPr>
          <w:p>
            <w:pPr>
              <w:keepNext/>
              <w:keepLines/>
            </w:pPr>
            <w:r>
              <w:rPr>
                <w:sz w:val="16"/>
              </w:rPr>
              <w:t>One-time PD class demand FY2031E</w:t>
            </w:r>
          </w:p>
        </w:tc>
        <w:tc>
          <w:tcPr>
            <w:tcW w:type="dxa" w:w="2635"/>
          </w:tcPr>
          <w:p>
            <w:pPr>
              <w:keepNext/>
              <w:keepLines/>
            </w:pPr>
            <w:r>
              <w:rPr>
                <w:sz w:val="16"/>
              </w:rPr>
              <w:t>8,527</w:t>
            </w:r>
          </w:p>
        </w:tc>
        <w:tc>
          <w:tcPr>
            <w:tcW w:type="dxa" w:w="2635"/>
          </w:tcPr>
          <w:p>
            <w:pPr>
              <w:keepNext/>
              <w:keepLines/>
            </w:pPr>
            <w:r>
              <w:rPr>
                <w:sz w:val="16"/>
              </w:rPr>
              <w:t>11,126</w:t>
            </w:r>
          </w:p>
        </w:tc>
        <w:tc>
          <w:tcPr>
            <w:tcW w:type="dxa" w:w="2635"/>
          </w:tcPr>
          <w:p>
            <w:pPr>
              <w:keepNext/>
              <w:keepLines/>
            </w:pPr>
            <w:r>
              <w:rPr>
                <w:sz w:val="16"/>
              </w:rPr>
              <w:t>14,272</w:t>
            </w:r>
          </w:p>
        </w:tc>
      </w:tr>
      <w:tr>
        <w:trPr>
          <w:cantSplit/>
        </w:trPr>
        <w:tc>
          <w:tcPr>
            <w:tcW w:type="dxa" w:w="2635"/>
          </w:tcPr>
          <w:p>
            <w:pPr>
              <w:keepNext/>
              <w:keepLines/>
            </w:pPr>
            <w:r>
              <w:rPr>
                <w:sz w:val="16"/>
              </w:rPr>
              <w:t>One-time PD class demand FY2032E / FY2033E (demand context)</w:t>
            </w:r>
          </w:p>
        </w:tc>
        <w:tc>
          <w:tcPr>
            <w:tcW w:type="dxa" w:w="2635"/>
          </w:tcPr>
          <w:p>
            <w:pPr>
              <w:keepNext/>
              <w:keepLines/>
            </w:pPr>
            <w:r>
              <w:rPr>
                <w:sz w:val="16"/>
              </w:rPr>
              <w:t>8,389 / 8,306</w:t>
            </w:r>
          </w:p>
        </w:tc>
        <w:tc>
          <w:tcPr>
            <w:tcW w:type="dxa" w:w="2635"/>
          </w:tcPr>
          <w:p>
            <w:pPr>
              <w:keepNext/>
              <w:keepLines/>
            </w:pPr>
            <w:r>
              <w:rPr>
                <w:sz w:val="16"/>
              </w:rPr>
              <w:t>10,945 / 10,837</w:t>
            </w:r>
          </w:p>
        </w:tc>
        <w:tc>
          <w:tcPr>
            <w:tcW w:type="dxa" w:w="2635"/>
          </w:tcPr>
          <w:p>
            <w:pPr>
              <w:keepNext/>
              <w:keepLines/>
            </w:pPr>
            <w:r>
              <w:rPr>
                <w:sz w:val="16"/>
              </w:rPr>
              <w:t>13,833 / 13,530</w:t>
            </w:r>
          </w:p>
        </w:tc>
      </w:tr>
      <w:tr>
        <w:trPr>
          <w:cantSplit/>
        </w:trPr>
        <w:tc>
          <w:tcPr>
            <w:tcW w:type="dxa" w:w="2635"/>
          </w:tcPr>
          <w:p>
            <w:pPr>
              <w:keepNext/>
              <w:keepLines/>
            </w:pPr>
            <w:r>
              <w:rPr>
                <w:sz w:val="16"/>
              </w:rPr>
              <w:t>Eligible pool FY2026E / patients who have had DBS</w:t>
            </w:r>
          </w:p>
        </w:tc>
        <w:tc>
          <w:tcPr>
            <w:tcW w:type="dxa" w:w="2635"/>
          </w:tcPr>
          <w:p>
            <w:pPr>
              <w:keepNext/>
              <w:keepLines/>
            </w:pPr>
            <w:r>
              <w:rPr>
                <w:sz w:val="16"/>
              </w:rPr>
              <w:t>137,813 / excluded</w:t>
            </w:r>
          </w:p>
        </w:tc>
        <w:tc>
          <w:tcPr>
            <w:tcW w:type="dxa" w:w="2635"/>
          </w:tcPr>
          <w:p>
            <w:pPr>
              <w:keepNext/>
              <w:keepLines/>
            </w:pPr>
            <w:r>
              <w:rPr>
                <w:sz w:val="16"/>
              </w:rPr>
              <w:t>179,813 / included</w:t>
            </w:r>
          </w:p>
        </w:tc>
        <w:tc>
          <w:tcPr>
            <w:tcW w:type="dxa" w:w="2635"/>
          </w:tcPr>
          <w:p>
            <w:pPr>
              <w:keepNext/>
              <w:keepLines/>
            </w:pPr>
            <w:r>
              <w:rPr>
                <w:sz w:val="16"/>
              </w:rPr>
              <w:t>179,813 / included</w:t>
            </w:r>
          </w:p>
        </w:tc>
      </w:tr>
      <w:tr>
        <w:trPr>
          <w:cantSplit/>
        </w:trPr>
        <w:tc>
          <w:tcPr>
            <w:tcW w:type="dxa" w:w="2635"/>
          </w:tcPr>
          <w:p>
            <w:pPr>
              <w:keepNext/>
              <w:keepLines/>
            </w:pPr>
            <w:r>
              <w:rPr>
                <w:sz w:val="16"/>
              </w:rPr>
              <w:t>PD treated share of pool (DBS not deducted)</w:t>
            </w:r>
          </w:p>
        </w:tc>
        <w:tc>
          <w:tcPr>
            <w:tcW w:type="dxa" w:w="2635"/>
          </w:tcPr>
          <w:p>
            <w:pPr>
              <w:keepNext/>
              <w:keepLines/>
            </w:pPr>
            <w:r>
              <w:rPr>
                <w:sz w:val="16"/>
              </w:rPr>
              <w:t>6%</w:t>
            </w:r>
          </w:p>
        </w:tc>
        <w:tc>
          <w:tcPr>
            <w:tcW w:type="dxa" w:w="2635"/>
          </w:tcPr>
          <w:p>
            <w:pPr>
              <w:keepNext/>
              <w:keepLines/>
            </w:pPr>
            <w:r>
              <w:rPr>
                <w:sz w:val="16"/>
              </w:rPr>
              <w:t>6%</w:t>
            </w:r>
          </w:p>
        </w:tc>
        <w:tc>
          <w:tcPr>
            <w:tcW w:type="dxa" w:w="2635"/>
          </w:tcPr>
          <w:p>
            <w:pPr>
              <w:keepNext/>
              <w:keepLines/>
            </w:pPr>
            <w:r>
              <w:rPr>
                <w:sz w:val="16"/>
              </w:rPr>
              <w:t>8%</w:t>
            </w:r>
          </w:p>
        </w:tc>
      </w:tr>
      <w:tr>
        <w:trPr>
          <w:cantSplit/>
        </w:trPr>
        <w:tc>
          <w:tcPr>
            <w:tcW w:type="dxa" w:w="2635"/>
          </w:tcPr>
          <w:p>
            <w:pPr>
              <w:keepNext/>
              <w:keepLines/>
            </w:pPr>
            <w:r>
              <w:rPr>
                <w:sz w:val="16"/>
              </w:rPr>
              <w:t>PD volume rule</w:t>
            </w:r>
          </w:p>
        </w:tc>
        <w:tc>
          <w:tcPr>
            <w:tcW w:type="dxa" w:w="2635"/>
          </w:tcPr>
          <w:p>
            <w:pPr>
              <w:keepNext/>
              <w:keepLines/>
            </w:pPr>
            <w:r>
              <w:rPr>
                <w:sz w:val="16"/>
              </w:rPr>
              <w:t>Capacity ramp (330 / 2,500 FY2030E–31E) toward 4,500; capacity binds</w:t>
            </w:r>
          </w:p>
        </w:tc>
        <w:tc>
          <w:tcPr>
            <w:tcW w:type="dxa" w:w="2635"/>
          </w:tcPr>
          <w:p>
            <w:pPr>
              <w:keepNext/>
              <w:keepLines/>
            </w:pPr>
            <w:r>
              <w:rPr>
                <w:sz w:val="16"/>
              </w:rPr>
              <w:t>Three-year ramp to class demand</w:t>
            </w:r>
          </w:p>
        </w:tc>
        <w:tc>
          <w:tcPr>
            <w:tcW w:type="dxa" w:w="2635"/>
          </w:tcPr>
          <w:p>
            <w:pPr>
              <w:keepNext/>
              <w:keepLines/>
            </w:pPr>
            <w:r>
              <w:rPr>
                <w:sz w:val="16"/>
              </w:rPr>
              <w:t>Three-year ramp to class demand</w:t>
            </w:r>
          </w:p>
        </w:tc>
      </w:tr>
      <w:tr>
        <w:trPr>
          <w:cantSplit/>
        </w:trPr>
        <w:tc>
          <w:tcPr>
            <w:tcW w:type="dxa" w:w="2635"/>
          </w:tcPr>
          <w:p>
            <w:pPr>
              <w:keepNext/>
              <w:keepLines/>
            </w:pPr>
            <w:r>
              <w:rPr>
                <w:sz w:val="16"/>
              </w:rPr>
              <w:t>ClearPoint share of one-time PD procedures</w:t>
            </w:r>
          </w:p>
        </w:tc>
        <w:tc>
          <w:tcPr>
            <w:tcW w:type="dxa" w:w="2635"/>
          </w:tcPr>
          <w:p>
            <w:pPr>
              <w:keepNext/>
              <w:keepLines/>
            </w:pPr>
            <w:r>
              <w:rPr>
                <w:sz w:val="16"/>
              </w:rPr>
              <w:t>100%</w:t>
            </w:r>
          </w:p>
        </w:tc>
        <w:tc>
          <w:tcPr>
            <w:tcW w:type="dxa" w:w="2635"/>
          </w:tcPr>
          <w:p>
            <w:pPr>
              <w:keepNext/>
              <w:keepLines/>
            </w:pPr>
            <w:r>
              <w:rPr>
                <w:sz w:val="16"/>
              </w:rPr>
              <w:t>100%</w:t>
            </w:r>
          </w:p>
        </w:tc>
        <w:tc>
          <w:tcPr>
            <w:tcW w:type="dxa" w:w="2635"/>
          </w:tcPr>
          <w:p>
            <w:pPr>
              <w:keepNext/>
              <w:keepLines/>
            </w:pPr>
            <w:r>
              <w:rPr>
                <w:sz w:val="16"/>
              </w:rPr>
              <w:t>100%</w:t>
            </w:r>
          </w:p>
        </w:tc>
      </w:tr>
      <w:tr>
        <w:trPr>
          <w:cantSplit/>
        </w:trPr>
        <w:tc>
          <w:tcPr>
            <w:tcW w:type="dxa" w:w="2635"/>
          </w:tcPr>
          <w:p>
            <w:pPr>
              <w:keepNext/>
              <w:keepLines/>
            </w:pPr>
            <w:r>
              <w:rPr>
                <w:sz w:val="16"/>
              </w:rPr>
              <w:t>First PD class approval (bemdaneprocel)</w:t>
            </w:r>
          </w:p>
        </w:tc>
        <w:tc>
          <w:tcPr>
            <w:tcW w:type="dxa" w:w="2635"/>
          </w:tcPr>
          <w:p>
            <w:pPr>
              <w:keepNext/>
              <w:keepLines/>
            </w:pPr>
            <w:r>
              <w:rPr>
                <w:sz w:val="16"/>
              </w:rPr>
              <w:t>2030</w:t>
            </w:r>
          </w:p>
        </w:tc>
        <w:tc>
          <w:tcPr>
            <w:tcW w:type="dxa" w:w="2635"/>
          </w:tcPr>
          <w:p>
            <w:pPr>
              <w:keepNext/>
              <w:keepLines/>
            </w:pPr>
            <w:r>
              <w:rPr>
                <w:sz w:val="16"/>
              </w:rPr>
              <w:t>H2 2029</w:t>
            </w:r>
          </w:p>
        </w:tc>
        <w:tc>
          <w:tcPr>
            <w:tcW w:type="dxa" w:w="2635"/>
          </w:tcPr>
          <w:p>
            <w:pPr>
              <w:keepNext/>
              <w:keepLines/>
            </w:pPr>
            <w:r>
              <w:rPr>
                <w:sz w:val="16"/>
              </w:rPr>
              <w:t>H2 2029</w:t>
            </w:r>
          </w:p>
        </w:tc>
      </w:tr>
      <w:tr>
        <w:trPr>
          <w:cantSplit/>
        </w:trPr>
        <w:tc>
          <w:tcPr>
            <w:tcW w:type="dxa" w:w="2635"/>
          </w:tcPr>
          <w:p>
            <w:pPr>
              <w:keepNext/>
              <w:keepLines/>
            </w:pPr>
            <w:r>
              <w:rPr>
                <w:sz w:val="16"/>
              </w:rPr>
              <w:t>CAL uplift FY2027E–31E (US$M)</w:t>
            </w:r>
          </w:p>
        </w:tc>
        <w:tc>
          <w:tcPr>
            <w:tcW w:type="dxa" w:w="2635"/>
          </w:tcPr>
          <w:p>
            <w:pPr>
              <w:keepNext/>
              <w:keepLines/>
            </w:pPr>
            <w:r>
              <w:rPr>
                <w:sz w:val="16"/>
              </w:rPr>
              <w:t>0.0 / 2.0 / 4.0 / 6.0 / 8.0</w:t>
            </w:r>
          </w:p>
        </w:tc>
        <w:tc>
          <w:tcPr>
            <w:tcW w:type="dxa" w:w="2635"/>
          </w:tcPr>
          <w:p>
            <w:pPr>
              <w:keepNext/>
              <w:keepLines/>
            </w:pPr>
            <w:r>
              <w:rPr>
                <w:sz w:val="16"/>
              </w:rPr>
              <w:t>0.0 / 7.0 / 14.0 / 22.0 / 29.0</w:t>
            </w:r>
          </w:p>
        </w:tc>
        <w:tc>
          <w:tcPr>
            <w:tcW w:type="dxa" w:w="2635"/>
          </w:tcPr>
          <w:p>
            <w:pPr>
              <w:keepNext/>
              <w:keepLines/>
            </w:pPr>
            <w:r>
              <w:rPr>
                <w:sz w:val="16"/>
              </w:rPr>
              <w:t>3.0 / 10.0 / 18.0 / 27.0 / 36.0</w:t>
            </w:r>
          </w:p>
        </w:tc>
      </w:tr>
      <w:tr>
        <w:trPr>
          <w:cantSplit/>
        </w:trPr>
        <w:tc>
          <w:tcPr>
            <w:tcW w:type="dxa" w:w="2635"/>
          </w:tcPr>
          <w:p>
            <w:pPr>
              <w:keepNext/>
              <w:keepLines/>
            </w:pPr>
            <w:r>
              <w:rPr>
                <w:sz w:val="16"/>
              </w:rPr>
              <w:t>Core FY2026E / FY2027E (consensus)</w:t>
            </w:r>
          </w:p>
        </w:tc>
        <w:tc>
          <w:tcPr>
            <w:tcW w:type="dxa" w:w="2635"/>
          </w:tcPr>
          <w:p>
            <w:pPr>
              <w:keepNext/>
              <w:keepLines/>
            </w:pPr>
            <w:r>
              <w:rPr>
                <w:sz w:val="16"/>
              </w:rPr>
              <w:t>48.0 / 56.0</w:t>
            </w:r>
          </w:p>
        </w:tc>
        <w:tc>
          <w:tcPr>
            <w:tcW w:type="dxa" w:w="2635"/>
          </w:tcPr>
          <w:p>
            <w:pPr>
              <w:keepNext/>
              <w:keepLines/>
            </w:pPr>
            <w:r>
              <w:rPr>
                <w:sz w:val="16"/>
              </w:rPr>
              <w:t>49.0 / 56.6</w:t>
            </w:r>
          </w:p>
        </w:tc>
        <w:tc>
          <w:tcPr>
            <w:tcW w:type="dxa" w:w="2635"/>
          </w:tcPr>
          <w:p>
            <w:pPr>
              <w:keepNext/>
              <w:keepLines/>
            </w:pPr>
            <w:r>
              <w:rPr>
                <w:sz w:val="16"/>
              </w:rPr>
              <w:t>50.0 / 57.1</w:t>
            </w:r>
          </w:p>
        </w:tc>
      </w:tr>
      <w:tr>
        <w:trPr>
          <w:cantSplit/>
        </w:trPr>
        <w:tc>
          <w:tcPr>
            <w:tcW w:type="dxa" w:w="2635"/>
          </w:tcPr>
          <w:p>
            <w:pPr>
              <w:keepNext/>
              <w:keepLines/>
            </w:pPr>
            <w:r>
              <w:rPr>
                <w:sz w:val="16"/>
              </w:rPr>
              <w:t>Core growth FY2028E–31E</w:t>
            </w:r>
          </w:p>
        </w:tc>
        <w:tc>
          <w:tcPr>
            <w:tcW w:type="dxa" w:w="2635"/>
          </w:tcPr>
          <w:p>
            <w:pPr>
              <w:keepNext/>
              <w:keepLines/>
            </w:pPr>
            <w:r>
              <w:rPr>
                <w:sz w:val="16"/>
              </w:rPr>
              <w:t>8%</w:t>
            </w:r>
          </w:p>
        </w:tc>
        <w:tc>
          <w:tcPr>
            <w:tcW w:type="dxa" w:w="2635"/>
          </w:tcPr>
          <w:p>
            <w:pPr>
              <w:keepNext/>
              <w:keepLines/>
            </w:pPr>
            <w:r>
              <w:rPr>
                <w:sz w:val="16"/>
              </w:rPr>
              <w:t>15%</w:t>
            </w:r>
          </w:p>
        </w:tc>
        <w:tc>
          <w:tcPr>
            <w:tcW w:type="dxa" w:w="2635"/>
          </w:tcPr>
          <w:p>
            <w:pPr>
              <w:keepNext/>
              <w:keepLines/>
            </w:pPr>
            <w:r>
              <w:rPr>
                <w:sz w:val="16"/>
              </w:rPr>
              <w:t>18%</w:t>
            </w:r>
          </w:p>
        </w:tc>
      </w:tr>
      <w:tr>
        <w:trPr>
          <w:cantSplit/>
        </w:trPr>
        <w:tc>
          <w:tcPr>
            <w:tcW w:type="dxa" w:w="2635"/>
          </w:tcPr>
          <w:p>
            <w:pPr>
              <w:keepNext/>
              <w:keepLines/>
            </w:pPr>
            <w:r>
              <w:rPr>
                <w:sz w:val="16"/>
              </w:rPr>
              <w:t>Core opex growth FY2027E / after</w:t>
            </w:r>
          </w:p>
        </w:tc>
        <w:tc>
          <w:tcPr>
            <w:tcW w:type="dxa" w:w="2635"/>
          </w:tcPr>
          <w:p>
            <w:pPr>
              <w:keepNext/>
              <w:keepLines/>
            </w:pPr>
            <w:r>
              <w:rPr>
                <w:sz w:val="16"/>
              </w:rPr>
              <w:t>10% / 7%</w:t>
            </w:r>
          </w:p>
        </w:tc>
        <w:tc>
          <w:tcPr>
            <w:tcW w:type="dxa" w:w="2635"/>
          </w:tcPr>
          <w:p>
            <w:pPr>
              <w:keepNext/>
              <w:keepLines/>
            </w:pPr>
            <w:r>
              <w:rPr>
                <w:sz w:val="16"/>
              </w:rPr>
              <w:t>6% / 5%</w:t>
            </w:r>
          </w:p>
        </w:tc>
        <w:tc>
          <w:tcPr>
            <w:tcW w:type="dxa" w:w="2635"/>
          </w:tcPr>
          <w:p>
            <w:pPr>
              <w:keepNext/>
              <w:keepLines/>
            </w:pPr>
            <w:r>
              <w:rPr>
                <w:sz w:val="16"/>
              </w:rPr>
              <w:t>6% / 5%</w:t>
            </w:r>
          </w:p>
        </w:tc>
      </w:tr>
      <w:tr>
        <w:trPr>
          <w:cantSplit/>
        </w:trPr>
        <w:tc>
          <w:tcPr>
            <w:tcW w:type="dxa" w:w="2635"/>
          </w:tcPr>
          <w:p>
            <w:pPr>
              <w:keepNext/>
              <w:keepLines/>
            </w:pPr>
            <w:r>
              <w:rPr>
                <w:sz w:val="16"/>
              </w:rPr>
              <w:t>Revenue FY2026E</w:t>
            </w:r>
          </w:p>
        </w:tc>
        <w:tc>
          <w:tcPr>
            <w:tcW w:type="dxa" w:w="2635"/>
          </w:tcPr>
          <w:p>
            <w:pPr>
              <w:keepNext/>
              <w:keepLines/>
            </w:pPr>
            <w:r>
              <w:rPr>
                <w:sz w:val="16"/>
              </w:rPr>
              <w:t>48.0</w:t>
            </w:r>
          </w:p>
        </w:tc>
        <w:tc>
          <w:tcPr>
            <w:tcW w:type="dxa" w:w="2635"/>
          </w:tcPr>
          <w:p>
            <w:pPr>
              <w:keepNext/>
              <w:keepLines/>
            </w:pPr>
            <w:r>
              <w:rPr>
                <w:sz w:val="16"/>
              </w:rPr>
              <w:t>49.0</w:t>
            </w:r>
          </w:p>
        </w:tc>
        <w:tc>
          <w:tcPr>
            <w:tcW w:type="dxa" w:w="2635"/>
          </w:tcPr>
          <w:p>
            <w:pPr>
              <w:keepNext/>
              <w:keepLines/>
            </w:pPr>
            <w:r>
              <w:rPr>
                <w:sz w:val="16"/>
              </w:rPr>
              <w:t>50.0</w:t>
            </w:r>
          </w:p>
        </w:tc>
      </w:tr>
      <w:tr>
        <w:trPr>
          <w:cantSplit/>
        </w:trPr>
        <w:tc>
          <w:tcPr>
            <w:tcW w:type="dxa" w:w="2635"/>
          </w:tcPr>
          <w:p>
            <w:pPr>
              <w:keepNext/>
              <w:keepLines/>
            </w:pPr>
            <w:r>
              <w:rPr>
                <w:sz w:val="16"/>
              </w:rPr>
              <w:t>Revenue FY2027E</w:t>
            </w:r>
          </w:p>
        </w:tc>
        <w:tc>
          <w:tcPr>
            <w:tcW w:type="dxa" w:w="2635"/>
          </w:tcPr>
          <w:p>
            <w:pPr>
              <w:keepNext/>
              <w:keepLines/>
            </w:pPr>
            <w:r>
              <w:rPr>
                <w:sz w:val="16"/>
              </w:rPr>
              <w:t>56.0</w:t>
            </w:r>
          </w:p>
        </w:tc>
        <w:tc>
          <w:tcPr>
            <w:tcW w:type="dxa" w:w="2635"/>
          </w:tcPr>
          <w:p>
            <w:pPr>
              <w:keepNext/>
              <w:keepLines/>
            </w:pPr>
            <w:r>
              <w:rPr>
                <w:sz w:val="16"/>
              </w:rPr>
              <w:t>63.1</w:t>
            </w:r>
          </w:p>
        </w:tc>
        <w:tc>
          <w:tcPr>
            <w:tcW w:type="dxa" w:w="2635"/>
          </w:tcPr>
          <w:p>
            <w:pPr>
              <w:keepNext/>
              <w:keepLines/>
            </w:pPr>
            <w:r>
              <w:rPr>
                <w:sz w:val="16"/>
              </w:rPr>
              <w:t>77.7</w:t>
            </w:r>
          </w:p>
        </w:tc>
      </w:tr>
      <w:tr>
        <w:trPr>
          <w:cantSplit/>
        </w:trPr>
        <w:tc>
          <w:tcPr>
            <w:tcW w:type="dxa" w:w="2635"/>
          </w:tcPr>
          <w:p>
            <w:pPr>
              <w:keepNext/>
              <w:keepLines/>
            </w:pPr>
            <w:r>
              <w:rPr>
                <w:sz w:val="16"/>
              </w:rPr>
              <w:t>Revenue FY2028E</w:t>
            </w:r>
          </w:p>
        </w:tc>
        <w:tc>
          <w:tcPr>
            <w:tcW w:type="dxa" w:w="2635"/>
          </w:tcPr>
          <w:p>
            <w:pPr>
              <w:keepNext/>
              <w:keepLines/>
            </w:pPr>
            <w:r>
              <w:rPr>
                <w:sz w:val="16"/>
              </w:rPr>
              <w:t>67.9</w:t>
            </w:r>
          </w:p>
        </w:tc>
        <w:tc>
          <w:tcPr>
            <w:tcW w:type="dxa" w:w="2635"/>
          </w:tcPr>
          <w:p>
            <w:pPr>
              <w:keepNext/>
              <w:keepLines/>
            </w:pPr>
            <w:r>
              <w:rPr>
                <w:sz w:val="16"/>
              </w:rPr>
              <w:t>122.0</w:t>
            </w:r>
          </w:p>
        </w:tc>
        <w:tc>
          <w:tcPr>
            <w:tcW w:type="dxa" w:w="2635"/>
          </w:tcPr>
          <w:p>
            <w:pPr>
              <w:keepNext/>
              <w:keepLines/>
            </w:pPr>
            <w:r>
              <w:rPr>
                <w:sz w:val="16"/>
              </w:rPr>
              <w:t>167.4</w:t>
            </w:r>
          </w:p>
        </w:tc>
      </w:tr>
      <w:tr>
        <w:trPr>
          <w:cantSplit/>
        </w:trPr>
        <w:tc>
          <w:tcPr>
            <w:tcW w:type="dxa" w:w="2635"/>
          </w:tcPr>
          <w:p>
            <w:pPr>
              <w:keepNext/>
              <w:keepLines/>
            </w:pPr>
            <w:r>
              <w:rPr>
                <w:sz w:val="16"/>
              </w:rPr>
              <w:t>Revenue FY2029E</w:t>
            </w:r>
          </w:p>
        </w:tc>
        <w:tc>
          <w:tcPr>
            <w:tcW w:type="dxa" w:w="2635"/>
          </w:tcPr>
          <w:p>
            <w:pPr>
              <w:keepNext/>
              <w:keepLines/>
            </w:pPr>
            <w:r>
              <w:rPr>
                <w:sz w:val="16"/>
              </w:rPr>
              <w:t>89.3</w:t>
            </w:r>
          </w:p>
        </w:tc>
        <w:tc>
          <w:tcPr>
            <w:tcW w:type="dxa" w:w="2635"/>
          </w:tcPr>
          <w:p>
            <w:pPr>
              <w:keepNext/>
              <w:keepLines/>
            </w:pPr>
            <w:r>
              <w:rPr>
                <w:sz w:val="16"/>
              </w:rPr>
              <w:t>230.6</w:t>
            </w:r>
          </w:p>
        </w:tc>
        <w:tc>
          <w:tcPr>
            <w:tcW w:type="dxa" w:w="2635"/>
          </w:tcPr>
          <w:p>
            <w:pPr>
              <w:keepNext/>
              <w:keepLines/>
            </w:pPr>
            <w:r>
              <w:rPr>
                <w:sz w:val="16"/>
              </w:rPr>
              <w:t>284.4</w:t>
            </w:r>
          </w:p>
        </w:tc>
      </w:tr>
      <w:tr>
        <w:trPr>
          <w:cantSplit/>
        </w:trPr>
        <w:tc>
          <w:tcPr>
            <w:tcW w:type="dxa" w:w="2635"/>
          </w:tcPr>
          <w:p>
            <w:pPr>
              <w:keepNext/>
              <w:keepLines/>
            </w:pPr>
            <w:r>
              <w:rPr>
                <w:sz w:val="16"/>
              </w:rPr>
              <w:t>Revenue FY2030E</w:t>
            </w:r>
          </w:p>
        </w:tc>
        <w:tc>
          <w:tcPr>
            <w:tcW w:type="dxa" w:w="2635"/>
          </w:tcPr>
          <w:p>
            <w:pPr>
              <w:keepNext/>
              <w:keepLines/>
            </w:pPr>
            <w:r>
              <w:rPr>
                <w:sz w:val="16"/>
              </w:rPr>
              <w:t>119.1</w:t>
            </w:r>
          </w:p>
        </w:tc>
        <w:tc>
          <w:tcPr>
            <w:tcW w:type="dxa" w:w="2635"/>
          </w:tcPr>
          <w:p>
            <w:pPr>
              <w:keepNext/>
              <w:keepLines/>
            </w:pPr>
            <w:r>
              <w:rPr>
                <w:sz w:val="16"/>
              </w:rPr>
              <w:t>319.9</w:t>
            </w:r>
          </w:p>
        </w:tc>
        <w:tc>
          <w:tcPr>
            <w:tcW w:type="dxa" w:w="2635"/>
          </w:tcPr>
          <w:p>
            <w:pPr>
              <w:keepNext/>
              <w:keepLines/>
            </w:pPr>
            <w:r>
              <w:rPr>
                <w:sz w:val="16"/>
              </w:rPr>
              <w:t>389.2</w:t>
            </w:r>
          </w:p>
        </w:tc>
      </w:tr>
      <w:tr>
        <w:trPr>
          <w:cantSplit/>
        </w:trPr>
        <w:tc>
          <w:tcPr>
            <w:tcW w:type="dxa" w:w="2635"/>
          </w:tcPr>
          <w:p>
            <w:pPr>
              <w:keepNext/>
              <w:keepLines/>
            </w:pPr>
            <w:r>
              <w:rPr>
                <w:sz w:val="16"/>
              </w:rPr>
              <w:t>Revenue FY2031E</w:t>
            </w:r>
          </w:p>
        </w:tc>
        <w:tc>
          <w:tcPr>
            <w:tcW w:type="dxa" w:w="2635"/>
          </w:tcPr>
          <w:p>
            <w:pPr>
              <w:keepNext/>
              <w:keepLines/>
            </w:pPr>
            <w:r>
              <w:rPr>
                <w:sz w:val="16"/>
              </w:rPr>
              <w:t>180.2</w:t>
            </w:r>
          </w:p>
        </w:tc>
        <w:tc>
          <w:tcPr>
            <w:tcW w:type="dxa" w:w="2635"/>
          </w:tcPr>
          <w:p>
            <w:pPr>
              <w:keepNext/>
              <w:keepLines/>
            </w:pPr>
            <w:r>
              <w:rPr>
                <w:sz w:val="16"/>
              </w:rPr>
              <w:t>410.4</w:t>
            </w:r>
          </w:p>
        </w:tc>
        <w:tc>
          <w:tcPr>
            <w:tcW w:type="dxa" w:w="2635"/>
          </w:tcPr>
          <w:p>
            <w:pPr>
              <w:keepNext/>
              <w:keepLines/>
            </w:pPr>
            <w:r>
              <w:rPr>
                <w:sz w:val="16"/>
              </w:rPr>
              <w:t>502.1</w:t>
            </w:r>
          </w:p>
        </w:tc>
      </w:tr>
      <w:tr>
        <w:trPr>
          <w:cantSplit/>
        </w:trPr>
        <w:tc>
          <w:tcPr>
            <w:tcW w:type="dxa" w:w="2635"/>
          </w:tcPr>
          <w:p>
            <w:pPr>
              <w:keepNext/>
              <w:keepLines/>
            </w:pPr>
            <w:r>
              <w:rPr>
                <w:sz w:val="16"/>
              </w:rPr>
              <w:t>EBITDA FY2026E</w:t>
            </w:r>
          </w:p>
        </w:tc>
        <w:tc>
          <w:tcPr>
            <w:tcW w:type="dxa" w:w="2635"/>
          </w:tcPr>
          <w:p>
            <w:pPr>
              <w:keepNext/>
              <w:keepLines/>
            </w:pPr>
            <w:r>
              <w:rPr>
                <w:sz w:val="16"/>
              </w:rPr>
              <w:t>−24.7</w:t>
            </w:r>
          </w:p>
        </w:tc>
        <w:tc>
          <w:tcPr>
            <w:tcW w:type="dxa" w:w="2635"/>
          </w:tcPr>
          <w:p>
            <w:pPr>
              <w:keepNext/>
              <w:keepLines/>
            </w:pPr>
            <w:r>
              <w:rPr>
                <w:sz w:val="16"/>
              </w:rPr>
              <w:t>−23.6</w:t>
            </w:r>
          </w:p>
        </w:tc>
        <w:tc>
          <w:tcPr>
            <w:tcW w:type="dxa" w:w="2635"/>
          </w:tcPr>
          <w:p>
            <w:pPr>
              <w:keepNext/>
              <w:keepLines/>
            </w:pPr>
            <w:r>
              <w:rPr>
                <w:sz w:val="16"/>
              </w:rPr>
              <w:t>−22.9</w:t>
            </w:r>
          </w:p>
        </w:tc>
      </w:tr>
      <w:tr>
        <w:trPr>
          <w:cantSplit/>
        </w:trPr>
        <w:tc>
          <w:tcPr>
            <w:tcW w:type="dxa" w:w="2635"/>
          </w:tcPr>
          <w:p>
            <w:pPr>
              <w:keepNext/>
              <w:keepLines/>
            </w:pPr>
            <w:r>
              <w:rPr>
                <w:sz w:val="16"/>
              </w:rPr>
              <w:t>EBITDA FY2027E</w:t>
            </w:r>
          </w:p>
        </w:tc>
        <w:tc>
          <w:tcPr>
            <w:tcW w:type="dxa" w:w="2635"/>
          </w:tcPr>
          <w:p>
            <w:pPr>
              <w:keepNext/>
              <w:keepLines/>
            </w:pPr>
            <w:r>
              <w:rPr>
                <w:sz w:val="16"/>
              </w:rPr>
              <w:t>−25.2</w:t>
            </w:r>
          </w:p>
        </w:tc>
        <w:tc>
          <w:tcPr>
            <w:tcW w:type="dxa" w:w="2635"/>
          </w:tcPr>
          <w:p>
            <w:pPr>
              <w:keepNext/>
              <w:keepLines/>
            </w:pPr>
            <w:r>
              <w:rPr>
                <w:sz w:val="16"/>
              </w:rPr>
              <w:t>−19.5</w:t>
            </w:r>
          </w:p>
        </w:tc>
        <w:tc>
          <w:tcPr>
            <w:tcW w:type="dxa" w:w="2635"/>
          </w:tcPr>
          <w:p>
            <w:pPr>
              <w:keepNext/>
              <w:keepLines/>
            </w:pPr>
            <w:r>
              <w:rPr>
                <w:sz w:val="16"/>
              </w:rPr>
              <w:t>−11.3</w:t>
            </w:r>
          </w:p>
        </w:tc>
      </w:tr>
      <w:tr>
        <w:trPr>
          <w:cantSplit/>
        </w:trPr>
        <w:tc>
          <w:tcPr>
            <w:tcW w:type="dxa" w:w="2635"/>
          </w:tcPr>
          <w:p>
            <w:pPr>
              <w:keepNext/>
              <w:keepLines/>
            </w:pPr>
            <w:r>
              <w:rPr>
                <w:sz w:val="16"/>
              </w:rPr>
              <w:t>EBITDA FY2028E</w:t>
            </w:r>
          </w:p>
        </w:tc>
        <w:tc>
          <w:tcPr>
            <w:tcW w:type="dxa" w:w="2635"/>
          </w:tcPr>
          <w:p>
            <w:pPr>
              <w:keepNext/>
              <w:keepLines/>
            </w:pPr>
            <w:r>
              <w:rPr>
                <w:sz w:val="16"/>
              </w:rPr>
              <w:t>−24.5</w:t>
            </w:r>
          </w:p>
        </w:tc>
        <w:tc>
          <w:tcPr>
            <w:tcW w:type="dxa" w:w="2635"/>
          </w:tcPr>
          <w:p>
            <w:pPr>
              <w:keepNext/>
              <w:keepLines/>
            </w:pPr>
            <w:r>
              <w:rPr>
                <w:sz w:val="16"/>
              </w:rPr>
              <w:t>12.0</w:t>
            </w:r>
          </w:p>
        </w:tc>
        <w:tc>
          <w:tcPr>
            <w:tcW w:type="dxa" w:w="2635"/>
          </w:tcPr>
          <w:p>
            <w:pPr>
              <w:keepNext/>
              <w:keepLines/>
            </w:pPr>
            <w:r>
              <w:rPr>
                <w:sz w:val="16"/>
              </w:rPr>
              <w:t>38.8</w:t>
            </w:r>
          </w:p>
        </w:tc>
      </w:tr>
      <w:tr>
        <w:trPr>
          <w:cantSplit/>
        </w:trPr>
        <w:tc>
          <w:tcPr>
            <w:tcW w:type="dxa" w:w="2635"/>
          </w:tcPr>
          <w:p>
            <w:pPr>
              <w:keepNext/>
              <w:keepLines/>
            </w:pPr>
            <w:r>
              <w:rPr>
                <w:sz w:val="16"/>
              </w:rPr>
              <w:t>EBITDA FY2029E</w:t>
            </w:r>
          </w:p>
        </w:tc>
        <w:tc>
          <w:tcPr>
            <w:tcW w:type="dxa" w:w="2635"/>
          </w:tcPr>
          <w:p>
            <w:pPr>
              <w:keepNext/>
              <w:keepLines/>
            </w:pPr>
            <w:r>
              <w:rPr>
                <w:sz w:val="16"/>
              </w:rPr>
              <w:t>−16.4</w:t>
            </w:r>
          </w:p>
        </w:tc>
        <w:tc>
          <w:tcPr>
            <w:tcW w:type="dxa" w:w="2635"/>
          </w:tcPr>
          <w:p>
            <w:pPr>
              <w:keepNext/>
              <w:keepLines/>
            </w:pPr>
            <w:r>
              <w:rPr>
                <w:sz w:val="16"/>
              </w:rPr>
              <w:t>71.2</w:t>
            </w:r>
          </w:p>
        </w:tc>
        <w:tc>
          <w:tcPr>
            <w:tcW w:type="dxa" w:w="2635"/>
          </w:tcPr>
          <w:p>
            <w:pPr>
              <w:keepNext/>
              <w:keepLines/>
            </w:pPr>
            <w:r>
              <w:rPr>
                <w:sz w:val="16"/>
              </w:rPr>
              <w:t>103.0</w:t>
            </w:r>
          </w:p>
        </w:tc>
      </w:tr>
      <w:tr>
        <w:trPr>
          <w:cantSplit/>
        </w:trPr>
        <w:tc>
          <w:tcPr>
            <w:tcW w:type="dxa" w:w="2635"/>
          </w:tcPr>
          <w:p>
            <w:pPr>
              <w:keepNext/>
              <w:keepLines/>
            </w:pPr>
            <w:r>
              <w:rPr>
                <w:sz w:val="16"/>
              </w:rPr>
              <w:t>EBITDA FY2030E</w:t>
            </w:r>
          </w:p>
        </w:tc>
        <w:tc>
          <w:tcPr>
            <w:tcW w:type="dxa" w:w="2635"/>
          </w:tcPr>
          <w:p>
            <w:pPr>
              <w:keepNext/>
              <w:keepLines/>
            </w:pPr>
            <w:r>
              <w:rPr>
                <w:sz w:val="16"/>
              </w:rPr>
              <w:t>−5.5</w:t>
            </w:r>
          </w:p>
        </w:tc>
        <w:tc>
          <w:tcPr>
            <w:tcW w:type="dxa" w:w="2635"/>
          </w:tcPr>
          <w:p>
            <w:pPr>
              <w:keepNext/>
              <w:keepLines/>
            </w:pPr>
            <w:r>
              <w:rPr>
                <w:sz w:val="16"/>
              </w:rPr>
              <w:t>120.6</w:t>
            </w:r>
          </w:p>
        </w:tc>
        <w:tc>
          <w:tcPr>
            <w:tcW w:type="dxa" w:w="2635"/>
          </w:tcPr>
          <w:p>
            <w:pPr>
              <w:keepNext/>
              <w:keepLines/>
            </w:pPr>
            <w:r>
              <w:rPr>
                <w:sz w:val="16"/>
              </w:rPr>
              <w:t>161.5</w:t>
            </w:r>
          </w:p>
        </w:tc>
      </w:tr>
      <w:tr>
        <w:trPr>
          <w:cantSplit/>
        </w:trPr>
        <w:tc>
          <w:tcPr>
            <w:tcW w:type="dxa" w:w="2635"/>
          </w:tcPr>
          <w:p>
            <w:pPr>
              <w:keepNext/>
              <w:keepLines/>
            </w:pPr>
            <w:r>
              <w:rPr>
                <w:sz w:val="16"/>
              </w:rPr>
              <w:t>EBITDA FY2031E</w:t>
            </w:r>
          </w:p>
        </w:tc>
        <w:tc>
          <w:tcPr>
            <w:tcW w:type="dxa" w:w="2635"/>
          </w:tcPr>
          <w:p>
            <w:pPr>
              <w:keepNext/>
              <w:keepLines/>
            </w:pPr>
            <w:r>
              <w:rPr>
                <w:sz w:val="16"/>
              </w:rPr>
              <w:t>25.8</w:t>
            </w:r>
          </w:p>
        </w:tc>
        <w:tc>
          <w:tcPr>
            <w:tcW w:type="dxa" w:w="2635"/>
          </w:tcPr>
          <w:p>
            <w:pPr>
              <w:keepNext/>
              <w:keepLines/>
            </w:pPr>
            <w:r>
              <w:rPr>
                <w:sz w:val="16"/>
              </w:rPr>
              <w:t>170.8</w:t>
            </w:r>
          </w:p>
        </w:tc>
        <w:tc>
          <w:tcPr>
            <w:tcW w:type="dxa" w:w="2635"/>
          </w:tcPr>
          <w:p>
            <w:pPr>
              <w:keepNext/>
              <w:keepLines/>
            </w:pPr>
            <w:r>
              <w:rPr>
                <w:sz w:val="16"/>
              </w:rPr>
              <w:t>225.0</w:t>
            </w:r>
          </w:p>
        </w:tc>
      </w:tr>
      <w:tr>
        <w:trPr>
          <w:cantSplit/>
        </w:trPr>
        <w:tc>
          <w:tcPr>
            <w:tcW w:type="dxa" w:w="2635"/>
          </w:tcPr>
          <w:p>
            <w:r>
              <w:rPr>
                <w:sz w:val="16"/>
              </w:rPr>
              <w:t>Finagle value per share (US$)</w:t>
            </w:r>
          </w:p>
        </w:tc>
        <w:tc>
          <w:tcPr>
            <w:tcW w:type="dxa" w:w="2635"/>
          </w:tcPr>
          <w:p>
            <w:r>
              <w:rPr>
                <w:sz w:val="16"/>
              </w:rPr>
              <w:t>14.56</w:t>
            </w:r>
          </w:p>
        </w:tc>
        <w:tc>
          <w:tcPr>
            <w:tcW w:type="dxa" w:w="2635"/>
          </w:tcPr>
          <w:p>
            <w:r>
              <w:rPr>
                <w:sz w:val="16"/>
              </w:rPr>
              <w:t>65.20</w:t>
            </w:r>
          </w:p>
        </w:tc>
        <w:tc>
          <w:tcPr>
            <w:tcW w:type="dxa" w:w="2635"/>
          </w:tcPr>
          <w:p>
            <w:r>
              <w:rPr>
                <w:sz w:val="16"/>
              </w:rPr>
              <w:t>88.36</w:t>
            </w:r>
          </w:p>
        </w:tc>
      </w:tr>
    </w:tbl>
    <w:p/>
    <w:p>
      <w:r>
        <w:rPr>
          <w:i/>
        </w:rPr>
        <w:t>Source: E1, P2, S7, S14–S26, S30–S32, S37, S38, S43–S45, S59, S62–S64, C40, C46, C55–C58.</w:t>
      </w:r>
    </w:p>
    <w:p>
      <w:r>
        <w:t xml:space="preserve">In the </w:t>
      </w:r>
      <w:r>
        <w:rPr>
          <w:b/>
        </w:rPr>
        <w:t>bull</w:t>
      </w:r>
      <w:r>
        <w:t xml:space="preserve"> case, AMT-130 hits the capacity cap in FY2028E and clears the pool in FY2029E. It then settles at 3,500 a year (86% of US incidence). The Parkinson's class launches in FY2029E and follows the base's three-year ramp, but 8% of the pool is treated each year, so volume is 5,225 / 9,917 / 14,272 in FY2029E–31E [S21][S59][C46] ★. That needs about 95 centres at 3 cases a week by FY2031E, an aggressive build. Core grows 18% and CAL reaches 75% of capacity. The </w:t>
      </w:r>
      <w:r>
        <w:rPr>
          <w:b/>
        </w:rPr>
        <w:t>bear</w:t>
      </w:r>
      <w:r>
        <w:t xml:space="preserve"> case is a slow launch in line with gene-therapy precedents [D22][D23]: no AMT-130 revenue in FY2027E, then 270, 1,000, 1,800 and 2,300 procedures in FY2028E–31E. The first Parkinson's class approval slips to 2030, a year after the base, and class volume follows a capacity ramp (330 / 2,500 in FY2030E–31E) toward the bear capacity of 4,500 [S22][S43]. The bear also applies the trial-style exclusion of patients who have had DBS, so the pool is about 138,000 and class demand about 8,500 in FY2031E and about 8,300–8,400 a year in FY2032E–33E (demand context); capacity, not demand, binds in every year to FY2031E [C55]. CAL reaches only $10M, and core costs grow faster. Bear EBITDA turns positive in FY2031E [S22][S37].</w:t>
      </w:r>
    </w:p>
    <w:p>
      <w:pPr>
        <w:pStyle w:val="Heading3"/>
        <w:keepNext/>
        <w:keepLines/>
      </w:pPr>
      <w:r>
        <w:t>Appendix B – Numbered sources</w:t>
      </w:r>
    </w:p>
    <w:p>
      <w:r>
        <w:rPr>
          <w:b/>
        </w:rPr>
        <w:t>Documents</w:t>
      </w:r>
    </w:p>
    <w:p>
      <w:pPr>
        <w:pStyle w:val="ListBullet"/>
      </w:pPr>
      <w:r>
        <w:rPr>
          <w:b/>
        </w:rPr>
        <w:t>D1</w:t>
      </w:r>
      <w:r>
        <w:t xml:space="preserve"> ClearPoint Neuro, Form 10-K for FY2025 (revenue by line, concentration, IRRAS, NOL), filed Mar 2026: https://www.sec.gov/Archives/edgar/data/1285550/000119312526111231/clpt-20251231.htm (HTML; no page numbers)</w:t>
      </w:r>
    </w:p>
    <w:p>
      <w:pPr>
        <w:pStyle w:val="ListBullet"/>
      </w:pPr>
      <w:r>
        <w:rPr>
          <w:b/>
        </w:rPr>
        <w:t>D2</w:t>
      </w:r>
      <w:r>
        <w:t xml:space="preserve"> ClearPoint Neuro, Form 10-Q for Q2 2026 (H1 lines, cash, notes, share count), filed Aug 2026: https://www.sec.gov/Archives/edgar/data/1285550/000119312526330842/clpt-20260630.htm (HTML; no page numbers)</w:t>
      </w:r>
    </w:p>
    <w:p>
      <w:pPr>
        <w:pStyle w:val="ListBullet"/>
      </w:pPr>
      <w:r>
        <w:rPr>
          <w:b/>
        </w:rPr>
        <w:t>D3</w:t>
      </w:r>
      <w:r>
        <w:t xml:space="preserve"> ClearPoint Neuro, Q2 2026 results release (Ex. 99.1), Aug 3, 2026: https://www.sec.gov/Archives/edgar/data/1285550/000119312526330541/clpt-ex99_1.htm (HTML)</w:t>
      </w:r>
    </w:p>
    <w:p>
      <w:pPr>
        <w:pStyle w:val="ListBullet"/>
      </w:pPr>
      <w:r>
        <w:rPr>
          <w:b/>
        </w:rPr>
        <w:t>D4</w:t>
      </w:r>
      <w:r>
        <w:t xml:space="preserve"> ClearPoint Neuro, FY2025 results release (Ex. 99.1), Mar 17, 2026: https://www.sec.gov/Archives/edgar/data/1285550/000119312526110780/clpt-ex99_1.htm (HTML)</w:t>
      </w:r>
    </w:p>
    <w:p>
      <w:pPr>
        <w:pStyle w:val="ListBullet"/>
      </w:pPr>
      <w:r>
        <w:rPr>
          <w:b/>
        </w:rPr>
        <w:t>D5</w:t>
      </w:r>
      <w:r>
        <w:t xml:space="preserve"> ClearPoint Neuro, FY2024 results release with 2025 guidance (Ex. 99.1), 2025: https://www.sec.gov/Archives/edgar/data/1285550/000095017025027716/clpt-ex99_1.htm (HTML)</w:t>
      </w:r>
    </w:p>
    <w:p>
      <w:pPr>
        <w:pStyle w:val="ListBullet"/>
      </w:pPr>
      <w:r>
        <w:rPr>
          <w:b/>
        </w:rPr>
        <w:t>D6</w:t>
      </w:r>
      <w:r>
        <w:t xml:space="preserve"> Seeking Alpha, ClearPoint Neuro Q2 2026 earnings call transcript, Aug 2026: https://seekingalpha.com/article/4929731-clearpoint-neuro-inc-clpt-q2-2026-earnings-call-transcript (HTML; paywalled; no page numbers)</w:t>
      </w:r>
    </w:p>
    <w:p>
      <w:pPr>
        <w:pStyle w:val="ListBullet"/>
      </w:pPr>
      <w:r>
        <w:rPr>
          <w:b/>
        </w:rPr>
        <w:t>D7</w:t>
      </w:r>
      <w:r>
        <w:t xml:space="preserve"> Seeking Alpha, ClearPoint Neuro Q4 2025 earnings call transcript, Mar 17, 2026: https://seekingalpha.com/article/4883372-clearpoint-neuro-inc-clpt-q4-2025-earnings-call-transcript (HTML; paywalled; read via a transcript copy)</w:t>
      </w:r>
    </w:p>
    <w:p>
      <w:pPr>
        <w:pStyle w:val="ListBullet"/>
      </w:pPr>
      <w:r>
        <w:rPr>
          <w:b/>
        </w:rPr>
        <w:t>D8</w:t>
      </w:r>
      <w:r>
        <w:t xml:space="preserve"> Equibles, CLPT analyst estimates, captured Sep 30, 2026: https://equibles.com/stocks/clpt/analyst-estimates (HTML)</w:t>
      </w:r>
    </w:p>
    <w:p>
      <w:pPr>
        <w:pStyle w:val="ListBullet"/>
      </w:pPr>
      <w:r>
        <w:rPr>
          <w:b/>
        </w:rPr>
        <w:t>D9</w:t>
      </w:r>
      <w:r>
        <w:t xml:space="preserve"> uniQure, Form 8-K (AMT-130 BLA submission), Sep 2, 2026: https://www.sec.gov/Archives/edgar/data/1590560/000110465926104463/qure-20260902x8k.htm; BioPharma Dive coverage of the action date: https://www.biopharmadive.com/news/uniqure-submit-fda-approval-huntingtons-gene-therapy/829400/ (HTML)</w:t>
      </w:r>
    </w:p>
    <w:p>
      <w:pPr>
        <w:pStyle w:val="ListBullet"/>
      </w:pPr>
      <w:r>
        <w:rPr>
          <w:b/>
        </w:rPr>
        <w:t>D10</w:t>
      </w:r>
      <w:r>
        <w:t xml:space="preserve"> ClinicalTrials.gov, NCT06944522 (exPDite-2): https://clinicaltrials.gov/study/NCT06944522 (HTML)</w:t>
      </w:r>
    </w:p>
    <w:p>
      <w:pPr>
        <w:pStyle w:val="ListBullet"/>
      </w:pPr>
      <w:r>
        <w:rPr>
          <w:b/>
        </w:rPr>
        <w:t>D11</w:t>
      </w:r>
      <w:r>
        <w:t xml:space="preserve"> ClearPoint Neuro, "Congratulates BlueRock Therapeutics on First Patient Dosed with DA01…", Jun 8, 2021: https://ir.clearpointneuro.com/news-events/press-releases/detail/1040/clearpoint-neuro-inc-congratulates-bluerock-therapeutics (HTML)</w:t>
      </w:r>
    </w:p>
    <w:p>
      <w:pPr>
        <w:pStyle w:val="ListBullet"/>
      </w:pPr>
      <w:r>
        <w:rPr>
          <w:b/>
        </w:rPr>
        <w:t>D12</w:t>
      </w:r>
      <w:r>
        <w:t xml:space="preserve"> Tabar et al., Nature, "Phase I trial of hES cell-derived dopaminergic neurons for Parkinson's disease", 2025: https://www.nature.com/articles/s41586-025-08845-y (HTML)</w:t>
      </w:r>
    </w:p>
    <w:p>
      <w:pPr>
        <w:pStyle w:val="ListBullet"/>
      </w:pPr>
      <w:r>
        <w:rPr>
          <w:b/>
        </w:rPr>
        <w:t>D13</w:t>
      </w:r>
      <w:r>
        <w:t xml:space="preserve"> MRI Interventions, Form 8-K (Burnett appointment and biography), Oct 10, 2017: https://www.sec.gov/Archives/edgar/data/1285550/000153442417000429/f17-1202.htm (HTML)</w:t>
      </w:r>
    </w:p>
    <w:p>
      <w:pPr>
        <w:pStyle w:val="ListBullet"/>
      </w:pPr>
      <w:r>
        <w:rPr>
          <w:b/>
        </w:rPr>
        <w:t>D14</w:t>
      </w:r>
      <w:r>
        <w:t xml:space="preserve"> MRI Interventions, Form 10-K for FY2018 (2017 revenue), filed Apr 1, 2019, accession 0001534424-19-000092: https://www.sec.gov/Archives/edgar/data/1285550/000153442419000092/ (filing index; document not opened)</w:t>
      </w:r>
    </w:p>
    <w:p>
      <w:pPr>
        <w:pStyle w:val="ListBullet"/>
      </w:pPr>
      <w:r>
        <w:rPr>
          <w:b/>
        </w:rPr>
        <w:t>D15</w:t>
      </w:r>
      <w:r>
        <w:t xml:space="preserve"> Stockanalysis.com, CLPT analyst ratings, viewed Oct 2026: https://stockanalysis.com/stocks/clpt/forecast/ (HTML)</w:t>
      </w:r>
    </w:p>
    <w:p>
      <w:pPr>
        <w:pStyle w:val="ListBullet"/>
      </w:pPr>
      <w:r>
        <w:rPr>
          <w:b/>
        </w:rPr>
        <w:t>D17</w:t>
      </w:r>
      <w:r>
        <w:t xml:space="preserve"> uniQure, AMT-130 Pivotal Update (commercial slides), Sept 2025: https://cdn.craft.cloud/fe68e1a2-b284-4f69-ba29-921f065edf17/assets/uploads/AMT-130-Pivotal-Sept-2025_final_09.24.25.pdf (PDF, p.25)</w:t>
      </w:r>
    </w:p>
    <w:p>
      <w:pPr>
        <w:pStyle w:val="ListBullet"/>
      </w:pPr>
      <w:r>
        <w:rPr>
          <w:b/>
        </w:rPr>
        <w:t>D18</w:t>
      </w:r>
      <w:r>
        <w:t xml:space="preserve"> Bruzelius et al., "Huntington's Disease in the United States: Variation by demographic and socioeconomic factors", 2019: https://pmc.ncbi.nlm.nih.gov/articles/PMC6579693/ (HTML)</w:t>
      </w:r>
    </w:p>
    <w:p>
      <w:pPr>
        <w:pStyle w:val="ListBullet"/>
      </w:pPr>
      <w:r>
        <w:rPr>
          <w:b/>
        </w:rPr>
        <w:t>D19</w:t>
      </w:r>
      <w:r>
        <w:t xml:space="preserve"> Reuters, "Parkinson's disease at forefront of Bayer bet on cell and gene therapies", Sep 25, 2025: https://www.reuters.com/business/healthcare-pharmaceuticals/parkinsons-disease-forefront-bayer-bet-cell-gene-therapies-2025-09-25/ (paywalled; read via search snippet only)</w:t>
      </w:r>
    </w:p>
    <w:p>
      <w:pPr>
        <w:pStyle w:val="ListBullet"/>
      </w:pPr>
      <w:r>
        <w:rPr>
          <w:b/>
        </w:rPr>
        <w:t>D20</w:t>
      </w:r>
      <w:r>
        <w:t xml:space="preserve"> Parkinson's Foundation, Statistics: https://www.parkinson.org/understanding-parkinsons/statistics (HTML)</w:t>
      </w:r>
    </w:p>
    <w:p>
      <w:pPr>
        <w:pStyle w:val="ListBullet"/>
      </w:pPr>
      <w:r>
        <w:rPr>
          <w:b/>
        </w:rPr>
        <w:t>D21</w:t>
      </w:r>
      <w:r>
        <w:t xml:space="preserve"> Neurology (2021 abstract 4377), "Incidence and Prevalence of Motor Fluctuations and Deep Brain Stimulation in Parkinson's disease": https://www.neurology.org/doi/10.1212/WNL.96.15_supplement.4377 (HTML)</w:t>
      </w:r>
    </w:p>
    <w:p>
      <w:pPr>
        <w:pStyle w:val="ListBullet"/>
      </w:pPr>
      <w:r>
        <w:rPr>
          <w:b/>
        </w:rPr>
        <w:t>D22</w:t>
      </w:r>
      <w:r>
        <w:t xml:space="preserve"> ASGCT 2026 abstract via Larvol, reflections on approved gene therapies: https://delta.larvol.com/Products/?ProductId=d32f5525-efb7-4110-a0a8-4eab2ca91fe6 (secondary source)</w:t>
      </w:r>
    </w:p>
    <w:p>
      <w:pPr>
        <w:pStyle w:val="ListBullet"/>
      </w:pPr>
      <w:r>
        <w:rPr>
          <w:b/>
        </w:rPr>
        <w:t>D23</w:t>
      </w:r>
      <w:r>
        <w:t xml:space="preserve"> BioPharma Dive, "BioMarin preaches patience amid slow sales for hemophilia gene therapy": https://www.biopharmadive.com/news/biomarin-roctavian-sales-hemophilia-gene-therapy/708321/ (HTML)</w:t>
      </w:r>
    </w:p>
    <w:p>
      <w:pPr>
        <w:pStyle w:val="ListBullet"/>
      </w:pPr>
      <w:r>
        <w:rPr>
          <w:b/>
        </w:rPr>
        <w:t>D27</w:t>
      </w:r>
      <w:r>
        <w:t xml:space="preserve"> Clinical survey abstract, "Reasons for underutilisation of Deep Brain Stimulation (DBS) for Parkinson's Disease (PD): a clinical survey", German Society of Neurosurgery 2012 (GMS): https://doi.org/10.3205/12dgnc047 (HTML; abstract only)</w:t>
      </w:r>
    </w:p>
    <w:p>
      <w:pPr>
        <w:pStyle w:val="ListBullet"/>
      </w:pPr>
      <w:r>
        <w:rPr>
          <w:b/>
        </w:rPr>
        <w:t>D29</w:t>
      </w:r>
      <w:r>
        <w:t xml:space="preserve"> "How to improve patient education on deep brain stimulation in Parkinson's disease: the CARE Monitor study", BMC Neurology 2017: https://doi.org/10.1186/s12883-017-0820-7 (HTML)</w:t>
      </w:r>
    </w:p>
    <w:p>
      <w:pPr>
        <w:pStyle w:val="ListBullet"/>
      </w:pPr>
      <w:r>
        <w:rPr>
          <w:b/>
        </w:rPr>
        <w:t>D31</w:t>
      </w:r>
      <w:r>
        <w:t xml:space="preserve"> AskBio, "AskBio's Viralgen to Supply Commercial-Scale Drug Product for REGENERATE-PD…", Apr 20, 2026: https://www.askbio.com/viralgen-to-supply-commercial-scale-drug-product-for-regenerate-pd-investigational-gene-therapy-trial-parkinsons-disease/ (HTML)</w:t>
      </w:r>
    </w:p>
    <w:p>
      <w:pPr>
        <w:pStyle w:val="ListBullet"/>
      </w:pPr>
      <w:r>
        <w:rPr>
          <w:b/>
        </w:rPr>
        <w:t>D32</w:t>
      </w:r>
      <w:r>
        <w:t xml:space="preserve"> ClinicalTrials.gov, NCT06285643 (REGENERATE-PD, AAV2-GDNF): https://clinicaltrials.gov/study/NCT06285643 (HTML)</w:t>
      </w:r>
    </w:p>
    <w:p>
      <w:pPr>
        <w:pStyle w:val="ListBullet"/>
      </w:pPr>
      <w:r>
        <w:rPr>
          <w:b/>
        </w:rPr>
        <w:t>D33</w:t>
      </w:r>
      <w:r>
        <w:t xml:space="preserve"> Marras et al., "Prevalence of Parkinson's disease across North America", npj Parkinson's Disease, 2018: https://doi.org/10.1038/s41531-018-0058-0 (HTML)</w:t>
      </w:r>
    </w:p>
    <w:p>
      <w:pPr>
        <w:pStyle w:val="ListBullet"/>
      </w:pPr>
      <w:r>
        <w:rPr>
          <w:b/>
        </w:rPr>
        <w:t>D34</w:t>
      </w:r>
      <w:r>
        <w:t xml:space="preserve"> Macleod et al., "Mortality in Parkinson's disease: a systematic review and meta-analysis", Movement Disorders, 2014: https://doi.org/10.1002/mds.25898 (HTML; abstract)</w:t>
      </w:r>
    </w:p>
    <w:p>
      <w:pPr>
        <w:pStyle w:val="ListBullet"/>
      </w:pPr>
      <w:r>
        <w:rPr>
          <w:b/>
        </w:rPr>
        <w:t>D35</w:t>
      </w:r>
      <w:r>
        <w:t xml:space="preserve"> Aarsland et al., "A systematic review of prevalence studies of dementia in Parkinson's disease", Movement Disorders, 2005: https://doi.org/10.1002/mds.20527 (HTML; abstract)</w:t>
      </w:r>
    </w:p>
    <w:p>
      <w:pPr>
        <w:pStyle w:val="ListBullet"/>
      </w:pPr>
      <w:r>
        <w:rPr>
          <w:b/>
        </w:rPr>
        <w:t>D36</w:t>
      </w:r>
      <w:r>
        <w:t xml:space="preserve"> "Motor complications in Parkinson's disease: results from 3,343 patients followed for up to 12 years": https://pmc.ncbi.nlm.nih.gov/articles/PMC11145112/ (HTML)</w:t>
      </w:r>
    </w:p>
    <w:p>
      <w:pPr>
        <w:pStyle w:val="ListBullet"/>
      </w:pPr>
      <w:r>
        <w:rPr>
          <w:b/>
        </w:rPr>
        <w:t>D37</w:t>
      </w:r>
      <w:r>
        <w:t xml:space="preserve"> CamPaIGN cohort, motor complications at 13-year follow-up: https://pmc.ncbi.nlm.nih.gov/articles/PMC7063985/ (HTML)</w:t>
      </w:r>
    </w:p>
    <w:p>
      <w:pPr>
        <w:pStyle w:val="ListBullet"/>
      </w:pPr>
      <w:r>
        <w:rPr>
          <w:b/>
        </w:rPr>
        <w:t>D38</w:t>
      </w:r>
      <w:r>
        <w:t xml:space="preserve"> Rizzo et al., "Accuracy of clinical diagnosis of Parkinson disease", Neurology, 2016: https://doi.org/10.1212/WNL.0000000000002350 (HTML; abstract)</w:t>
      </w:r>
    </w:p>
    <w:p>
      <w:pPr>
        <w:pStyle w:val="ListBullet"/>
      </w:pPr>
      <w:r>
        <w:rPr>
          <w:b/>
        </w:rPr>
        <w:t>D39</w:t>
      </w:r>
      <w:r>
        <w:t xml:space="preserve"> Aspen Neuroscience, Form S-1, Oct 2026: https://www.sec.gov/Archives/edgar/data/2124080/000119312526419104/na-20261009.htm (HTML; no page numbers)</w:t>
      </w:r>
    </w:p>
    <w:p>
      <w:pPr>
        <w:pStyle w:val="ListBullet"/>
      </w:pPr>
      <w:r>
        <w:rPr>
          <w:b/>
        </w:rPr>
        <w:t>D51</w:t>
      </w:r>
      <w:r>
        <w:t xml:space="preserve"> Morgante et al., Parkinsonism and Related Disorders, 2007 (eligibility for DBS in movement-disorder clinics): https://pubmed.ncbi.nlm.nih.gov/17347021/ (abstract)</w:t>
      </w:r>
    </w:p>
    <w:p>
      <w:pPr>
        <w:pStyle w:val="ListBullet"/>
      </w:pPr>
      <w:r>
        <w:rPr>
          <w:b/>
        </w:rPr>
        <w:t>D52</w:t>
      </w:r>
      <w:r>
        <w:t xml:space="preserve"> Moes et al. (D-DATS), Parkinsonism and Related Disorders, 2023 (eligibility for device-aided therapies): https://doi.org/10.1016/j.parkreldis.2023.105359 (HTML; abstract)</w:t>
      </w:r>
    </w:p>
    <w:p>
      <w:pPr>
        <w:pStyle w:val="ListBullet"/>
      </w:pPr>
      <w:r>
        <w:rPr>
          <w:b/>
        </w:rPr>
        <w:t>D53</w:t>
      </w:r>
      <w:r>
        <w:t xml:space="preserve"> Gibson et al., "Risk of dementia in Parkinson's disease: a systematic review and meta-analysis", Movement Disorders, 2024: https://doi.org/10.1002/mds.29918 (HTML; abstract)</w:t>
      </w:r>
    </w:p>
    <w:p>
      <w:pPr>
        <w:pStyle w:val="ListBullet"/>
      </w:pPr>
      <w:r>
        <w:rPr>
          <w:b/>
        </w:rPr>
        <w:t>D54</w:t>
      </w:r>
      <w:r>
        <w:t xml:space="preserve"> Multidisciplinary DBS screening, Movement Disorders Clinical Practice, 2018: https://pmc.ncbi.nlm.nih.gov/articles/PMC6183455/ (HTML)</w:t>
      </w:r>
    </w:p>
    <w:p>
      <w:pPr>
        <w:pStyle w:val="ListBullet"/>
      </w:pPr>
      <w:r>
        <w:rPr>
          <w:b/>
        </w:rPr>
        <w:t>D40</w:t>
      </w:r>
      <w:r>
        <w:t xml:space="preserve"> ClearPoint Neuro, Corporate Presentation, 2Q26 earnings call, Aug 3, 2026, slide 23 (partner programs): https://d1io3yog0oux5.cloudfront.net/_e2d8bbba8f3850e103a2f7c8a42a59c6/clearpointneuro/db/77/2924/pdf/ClearPoint+Neuro+Corporate+Presentation+2Q26+Earnings+Call+-+08.03.26.pdf (PDF, slide 23)</w:t>
      </w:r>
    </w:p>
    <w:p>
      <w:pPr>
        <w:pStyle w:val="ListBullet"/>
      </w:pPr>
      <w:r>
        <w:rPr>
          <w:b/>
        </w:rPr>
        <w:t>D41</w:t>
      </w:r>
      <w:r>
        <w:t xml:space="preserve"> BlueRock Therapeutics, Fast Track designation for DA01: https://www.bluerocktx.com/bluerock-therapeutics-receives-fda-fast-track-designation-for-da01-in-the-treatment-of-advanced-parkinsons-disease/ ; RMAT designation for bemdaneprocel: https://www.bluerocktx.com/bluerock-therapeutics-receives-fda-regenerative-medicine-advanced-therapy-designation-for-parkinsons-disease-cell-therapy-candidate-bemdaneprocel/ (HTML)</w:t>
      </w:r>
    </w:p>
    <w:p>
      <w:pPr>
        <w:pStyle w:val="ListBullet"/>
      </w:pPr>
      <w:r>
        <w:rPr>
          <w:b/>
        </w:rPr>
        <w:t>D42</w:t>
      </w:r>
      <w:r>
        <w:t xml:space="preserve"> AskBio, Fast Track for AB-1005, Jul 11, 2024: https://www.askbio.com/askbio-receives-fda-fast-track-and-mhra-innovation-passport-designations-for-ab-1005-investigational-gdnf-gene-therapy-for-parkinsons-disease/ ; RMAT, Feb 19, 2025: https://www.askbio.com/askbio-receives-fda-regenerative-medicine-advanced-therapy-designation-for-parkinsons-disease-investigational-gene-therapy/ (HTML)</w:t>
      </w:r>
    </w:p>
    <w:p>
      <w:pPr>
        <w:pStyle w:val="ListBullet"/>
      </w:pPr>
      <w:r>
        <w:rPr>
          <w:b/>
        </w:rPr>
        <w:t>D43</w:t>
      </w:r>
      <w:r>
        <w:t xml:space="preserve"> Kenai Therapeutics, press release, Jul 7, 2026 (enrolment complete; Fast Track): https://www.kenaitx.com/press-release-7-7-26 (HTML)</w:t>
      </w:r>
    </w:p>
    <w:p>
      <w:pPr>
        <w:pStyle w:val="ListBullet"/>
      </w:pPr>
      <w:r>
        <w:rPr>
          <w:b/>
        </w:rPr>
        <w:t>D44</w:t>
      </w:r>
      <w:r>
        <w:t xml:space="preserve"> Aspen Neuroscience, Fast Track for ANPD001, Oct 19, 2023: https://aspenneuroscience.com/fda-grants-fast-track-designation-to-anpd001-autologous-investigational-cell-therapy-for-the-treatment-of-parkinsons-disease/ ; RMAT, Jul 30, 2026: https://aspenneuroscience.com/aspen-neuroscience-receives-fda-regenerative-medicine-advanced-therapy-rmat-designation-for-sasineprocel-anpd001-to-treat-parkinsons-disease/ (HTML)</w:t>
      </w:r>
    </w:p>
    <w:p>
      <w:pPr>
        <w:pStyle w:val="ListBullet"/>
      </w:pPr>
      <w:r>
        <w:rPr>
          <w:b/>
        </w:rPr>
        <w:t>D45</w:t>
      </w:r>
      <w:r>
        <w:t xml:space="preserve"> Neurona Therapeutics, RMAT, Jun 18, 2024: https://www.neuronatherapeutics.com/news/press-releases/061824/ ; ClinicalTrials.gov NCT05135091 (EPIC Phase 3, primary completion Feb 2029): https://clinicaltrials.gov/study/NCT05135091 (HTML)</w:t>
      </w:r>
    </w:p>
    <w:p>
      <w:pPr>
        <w:pStyle w:val="ListBullet"/>
      </w:pPr>
      <w:r>
        <w:rPr>
          <w:b/>
        </w:rPr>
        <w:t>D46</w:t>
      </w:r>
      <w:r>
        <w:t xml:space="preserve"> AviadoBio, IND clearance and Fast Track for AVB-101, Nov 6, 2023: https://aviadobio.com/aviadobio-announces-fda-ind-clearance-and-fast-track-designation-for-avb-101-for-the-treatment-of-frontotemporal-dementia-with-progranulin-grn-mutations/ ; ClinicalTrials.gov NCT06064890 (ASPIRE-FTD, primary completion Apr 2027): https://clinicaltrials.gov/study/NCT06064890 (HTML)</w:t>
      </w:r>
    </w:p>
    <w:p>
      <w:pPr>
        <w:pStyle w:val="ListBullet"/>
      </w:pPr>
      <w:r>
        <w:rPr>
          <w:b/>
        </w:rPr>
        <w:t>D47</w:t>
      </w:r>
      <w:r>
        <w:t xml:space="preserve"> uniQure, RMAT for AMT-130: https://uniqure.gcs-web.com/news-releases/news-release-details/uniqure-receives-fda-regenerative-medicine-advanced-therapy-rmat ; Breakthrough Therapy: https://uniqure.gcs-web.com/news-releases/news-release-details/uniqure-announces-fda-breakthrough-therapy-designation-granted (HTML)</w:t>
      </w:r>
    </w:p>
    <w:p>
      <w:pPr>
        <w:pStyle w:val="ListBullet"/>
      </w:pPr>
      <w:r>
        <w:rPr>
          <w:b/>
        </w:rPr>
        <w:t>D48</w:t>
      </w:r>
      <w:r>
        <w:t xml:space="preserve"> ClinicalTrials.gov NCT07826949 (SRN-101 before resection in recurrent high-grade glioma; not yet recruiting): https://clinicaltrials.gov/study/NCT07826949 (HTML)</w:t>
      </w:r>
    </w:p>
    <w:p>
      <w:pPr>
        <w:pStyle w:val="ListBullet"/>
      </w:pPr>
      <w:r>
        <w:rPr>
          <w:b/>
        </w:rPr>
        <w:t>D49</w:t>
      </w:r>
      <w:r>
        <w:t xml:space="preserve"> FDA, approval of KEBILIDI for AADC deficiency, Nov 13, 2024: https://www.fda.gov/news-events/press-announcements/fda-approves-first-gene-therapy-treatment-aromatic-l-amino-acid-decarboxylase-deficiency (HTML)</w:t>
      </w:r>
    </w:p>
    <w:p>
      <w:pPr>
        <w:pStyle w:val="ListBullet"/>
      </w:pPr>
      <w:r>
        <w:rPr>
          <w:b/>
        </w:rPr>
        <w:t>D50</w:t>
      </w:r>
      <w:r>
        <w:t xml:space="preserve"> REGENXBIO, Fast Track for RGX-121: https://ir.regenxbio.com/news-releases/news-release-details/regenxbio-receives-fda-fast-track-designation-rgx-121-gene-0/ ; RMAT: https://ir.regenxbio.com/news-releases/news-release-details/regenxbio-receives-fda-regenerative-medicine-advanced-therapy/ ; regulatory update (complete response letter): https://ir.regenxbio.com/news-releases/news-release-details/regenxbio-announces-regulatory-update-rgx-121-bla-mps-ii ; Form 8-K, Aug 24, 2026: https://www.sec.gov/Archives/edgar/data/1590877/000119312526363786/rgnx-20260824.htm (HTML)</w:t>
      </w:r>
    </w:p>
    <w:p>
      <w:pPr>
        <w:pStyle w:val="ListBullet"/>
      </w:pPr>
      <w:r>
        <w:rPr>
          <w:b/>
        </w:rPr>
        <w:t>D55</w:t>
      </w:r>
      <w:r>
        <w:t xml:space="preserve"> Asadi-Pooya et al., World Neurosurgery, 2017 (drug-resistant mesial temporal lobe epilepsy prevalence and incidence): https://doi.org/10.1016/j.wneu.2016.12.074 (abstract)</w:t>
      </w:r>
    </w:p>
    <w:p>
      <w:pPr>
        <w:pStyle w:val="ListBullet"/>
      </w:pPr>
      <w:r>
        <w:rPr>
          <w:b/>
        </w:rPr>
        <w:t>D56</w:t>
      </w:r>
      <w:r>
        <w:t xml:space="preserve"> Knopman and Roberts, 2011 (frontotemporal lobar degeneration incidence and prevalence): https://pmc.ncbi.nlm.nih.gov/articles/PMC3208074/ (HTML)</w:t>
      </w:r>
    </w:p>
    <w:p>
      <w:pPr>
        <w:pStyle w:val="ListBullet"/>
      </w:pPr>
      <w:r>
        <w:rPr>
          <w:b/>
        </w:rPr>
        <w:t>D57</w:t>
      </w:r>
      <w:r>
        <w:t xml:space="preserve"> GeneReviews, GRN frontotemporal dementia: https://www.ncbi.nlm.nih.gov/books/NBK1371/ ; Practical Neurology on ASPIRE-FTD (age 30–75): https://practicalneurology.com/news/fda-fast-track-designation-and-ind-clearance-granted-to-novel-gene-therapy-for-grn-related-frontotemporal-dementia/2470333/ (HTML)</w:t>
      </w:r>
    </w:p>
    <w:p>
      <w:pPr>
        <w:pStyle w:val="ListBullet"/>
      </w:pPr>
      <w:r>
        <w:rPr>
          <w:b/>
        </w:rPr>
        <w:t>D58</w:t>
      </w:r>
      <w:r>
        <w:t xml:space="preserve"> AADC deficiency birth prevalence: https://doi.org/10.1002/cns3.20010 ; screening-based range: https://doi.org/10.1016/j.ymgme.2024.108148 (HTML)</w:t>
      </w:r>
    </w:p>
    <w:p>
      <w:pPr>
        <w:pStyle w:val="ListBullet"/>
      </w:pPr>
      <w:r>
        <w:rPr>
          <w:b/>
        </w:rPr>
        <w:t>D59</w:t>
      </w:r>
      <w:r>
        <w:t xml:space="preserve"> CDC NVSS, US births 2024 (final): https://www.cdc.gov/nchs/nvss/births.htm (HTML)</w:t>
      </w:r>
    </w:p>
    <w:p>
      <w:pPr>
        <w:pStyle w:val="ListBullet"/>
      </w:pPr>
      <w:r>
        <w:rPr>
          <w:b/>
        </w:rPr>
        <w:t>D60</w:t>
      </w:r>
      <w:r>
        <w:t xml:space="preserve"> HRSA, MPS II evidence review, Mar 28, 2022: https://www.hrsa.gov/sites/default/files/hrsa/advisory-committees/heritable-disorders/meetings/mps-ii-final-report-3-28-2022.pdf (PDF)</w:t>
      </w:r>
    </w:p>
    <w:p>
      <w:pPr>
        <w:pStyle w:val="ListBullet"/>
      </w:pPr>
      <w:r>
        <w:rPr>
          <w:b/>
        </w:rPr>
        <w:t>D61</w:t>
      </w:r>
      <w:r>
        <w:t xml:space="preserve"> CBTRUS Statistical Report, Neuro-Oncology, 2025: https://academic.oup.com/neuro-oncology/article/27/Supplement_4/iv1/8285946 (HTML)</w:t>
      </w:r>
    </w:p>
    <w:p>
      <w:pPr>
        <w:pStyle w:val="ListBullet"/>
      </w:pPr>
      <w:r>
        <w:rPr>
          <w:b/>
        </w:rPr>
        <w:t>D62</w:t>
      </w:r>
      <w:r>
        <w:t xml:space="preserve"> NORD, Friedreich's ataxia: https://rarediseases.org/rare-diseases/friedreichs-ataxia/ (HTML)</w:t>
      </w:r>
    </w:p>
    <w:p>
      <w:pPr>
        <w:pStyle w:val="ListBullet"/>
      </w:pPr>
      <w:r>
        <w:rPr>
          <w:b/>
        </w:rPr>
        <w:t>D63</w:t>
      </w:r>
      <w:r>
        <w:t xml:space="preserve"> Brainlab, iPlan Flow 510(k) K053164 ("a dedicated tool for planning trajectories of intra-cranial catheters"): https://www.accessdata.fda.gov/cdrh_docs/pdf5/K053164.pdf ; Cranial Navigation K223288: https://www.accessdata.fda.gov/cdrh_docs/pdf22/K223288.pdf (PDF)</w:t>
      </w:r>
    </w:p>
    <w:p>
      <w:pPr>
        <w:pStyle w:val="ListBullet"/>
      </w:pPr>
      <w:r>
        <w:rPr>
          <w:b/>
        </w:rPr>
        <w:t>D64</w:t>
      </w:r>
      <w:r>
        <w:t xml:space="preserve"> FDA GUDID, Brainlab Flexible Catheter 19772 (MR Safe; in commercial distribution; premarket submission K123605, MRI Interventions, SmartFlow catheter): https://fda.report/GUDID/04056481006426 ; K123605: https://www.accessdata.fda.gov/cdrh_docs/pdf12/K123605.pdf (HTML/PDF)</w:t>
      </w:r>
    </w:p>
    <w:p>
      <w:pPr>
        <w:pStyle w:val="ListBullet"/>
      </w:pPr>
      <w:r>
        <w:rPr>
          <w:b/>
        </w:rPr>
        <w:t>D65</w:t>
      </w:r>
      <w:r>
        <w:t xml:space="preserve"> CED in diffuse intrinsic pontine glioma, J Neurosurg Pediatr, 2021: https://thejns.org/pediatrics/view/journals/j-neurosurg-pediatr/28/1/article-p34.xml (HTML)</w:t>
      </w:r>
    </w:p>
    <w:p>
      <w:pPr>
        <w:pStyle w:val="ListBullet"/>
      </w:pPr>
      <w:r>
        <w:rPr>
          <w:b/>
        </w:rPr>
        <w:t>D66</w:t>
      </w:r>
      <w:r>
        <w:t xml:space="preserve"> Renishaw, neuroinfuse flyer: https://www.renishaw.com/resourcecentre/download/flyer-neuroinfuse-intraparenchymal-drug-delivery-system--100797 ; CDNF extension study release: https://www.renishaw.com/en/45590.aspx (HTML)</w:t>
      </w:r>
    </w:p>
    <w:p>
      <w:pPr>
        <w:pStyle w:val="ListBullet"/>
      </w:pPr>
      <w:r>
        <w:rPr>
          <w:b/>
        </w:rPr>
        <w:t>D67</w:t>
      </w:r>
      <w:r>
        <w:t xml:space="preserve"> Whone et al., "Randomized trial of intermittent intraputamenal GDNF in Parkinson's disease", Brain, 2019: https://pmc.ncbi.nlm.nih.gov/articles/PMC6391602/ (HTML)</w:t>
      </w:r>
    </w:p>
    <w:p>
      <w:pPr>
        <w:pStyle w:val="ListBullet"/>
      </w:pPr>
      <w:r>
        <w:rPr>
          <w:b/>
        </w:rPr>
        <w:t>D68</w:t>
      </w:r>
      <w:r>
        <w:t xml:space="preserve"> Aspen Neuroscience, ASPIRO uses ClearPoint Navigation System and SmartFlow Cannula, Jun 20, 2024: https://aspenneuroscience.com/parkinsons-disease-clinical-trial-uses-intraoperative-mri-to-guide-precision-implantation-of-patients-own-autologous-replacement-neurons/ (HTML)</w:t>
      </w:r>
    </w:p>
    <w:p>
      <w:pPr>
        <w:pStyle w:val="ListBullet"/>
      </w:pPr>
      <w:r>
        <w:rPr>
          <w:b/>
        </w:rPr>
        <w:t>D69</w:t>
      </w:r>
      <w:r>
        <w:t xml:space="preserve"> Neurochase, "Neurochase announces acquisition of strategic Renishaw Neuro Solutions' assets" (agreement announced Nov 20, 2025): https://neurochase.com/Blog/neurochase-announces-acquisition-of-strategic-renishaw-neuro-solutions-assets/ (HTML)</w:t>
      </w:r>
    </w:p>
    <w:p>
      <w:pPr>
        <w:pStyle w:val="ListBullet"/>
      </w:pPr>
      <w:r>
        <w:rPr>
          <w:b/>
        </w:rPr>
        <w:t>D71</w:t>
      </w:r>
      <w:r>
        <w:t xml:space="preserve"> ClinicalTrials.gov registry entries, eligibility criteria (API v2, full criteria read Oct 25, 2026): https://clinicaltrials.gov/study/NCT06944522 ; https://clinicaltrials.gov/study/NCT06285643 ; https://clinicaltrials.gov/study/NCT07566429 ; https://clinicaltrials.gov/study/NCT01621581 ; https://clinicaltrials.gov/study/NCT04167540 ; https://clinicaltrials.gov/study/NCT06344026 ; https://clinicaltrials.gov/study/NCT07106021 ; https://clinicaltrials.gov/study/NCT01973543 ; https://clinicaltrials.gov/study/NCT03562494 ; https://clinicaltrials.gov/study/NCT00985517</w:t>
      </w:r>
    </w:p>
    <w:p>
      <w:pPr>
        <w:pStyle w:val="ListBullet"/>
      </w:pPr>
      <w:r>
        <w:rPr>
          <w:b/>
        </w:rPr>
        <w:t>D72</w:t>
      </w:r>
      <w:r>
        <w:t xml:space="preserve"> Herzog et al., Mov Disord 2008, DBS in fetal-graft patients (abstract): https://pubmed.ncbi.nlm.nih.gov/18536037/</w:t>
      </w:r>
    </w:p>
    <w:p>
      <w:pPr>
        <w:pStyle w:val="ListBullet"/>
      </w:pPr>
      <w:r>
        <w:rPr>
          <w:b/>
        </w:rPr>
        <w:t>D73</w:t>
      </w:r>
      <w:r>
        <w:t xml:space="preserve"> Graff-Radford et al., Arch Neurol 2006, GPi DBS for dyskinesia 11 years after a graft (abstract): https://jamanetwork.com/journals/jamaneurology/fullarticle/791926</w:t>
      </w:r>
    </w:p>
    <w:p>
      <w:pPr>
        <w:pStyle w:val="ListBullet"/>
      </w:pPr>
      <w:r>
        <w:rPr>
          <w:b/>
        </w:rPr>
        <w:t>D74</w:t>
      </w:r>
      <w:r>
        <w:t xml:space="preserve"> Freed group, npj Parkinson's Dis 2021, pallidal stimulation in graft recipients (abstract): https://www.nature.com/articles/s41531-021-00183-w</w:t>
      </w:r>
    </w:p>
    <w:p>
      <w:pPr>
        <w:pStyle w:val="ListBullet"/>
      </w:pPr>
      <w:r>
        <w:rPr>
          <w:b/>
        </w:rPr>
        <w:t>D75</w:t>
      </w:r>
      <w:r>
        <w:t xml:space="preserve"> MDS abstract, cell-based therapy in patients with an existing DBS system: https://www.mdsabstracts.org/abstract/unilateral-delivery-of-cell-based-therapy-to-the-putamen-and-substantia-nigra-in-patients-with-parkinsons-disease-who-have-an-existing-dbs-system/</w:t>
      </w:r>
    </w:p>
    <w:p>
      <w:pPr>
        <w:pStyle w:val="ListBullet"/>
      </w:pPr>
      <w:r>
        <w:rPr>
          <w:b/>
        </w:rPr>
        <w:t>D76</w:t>
      </w:r>
      <w:r>
        <w:t xml:space="preserve"> Mov Disord 2015, "Combining cell transplants or gene therapy with DBS" (abstract): https://doi.org/10.1002/mds.26083</w:t>
      </w:r>
    </w:p>
    <w:p>
      <w:pPr>
        <w:pStyle w:val="ListBullet"/>
      </w:pPr>
      <w:r>
        <w:rPr>
          <w:b/>
        </w:rPr>
        <w:t>D70</w:t>
      </w:r>
      <w:r>
        <w:t xml:space="preserve"> Neurochase home page (nFuse: "Currently For investigational use only. Not approved for clinical use in any geography"): https://neurochase.com/ ; ASGCT 2026 poster post ("designed to be compatible with existing neurosurgical robots and frames"): https://www.linkedin.com/posts/fearsomedesign_asgct2026-asgct2026-genetherapy-activity-7460266710869213184-F5YQ (HTML)</w:t>
      </w:r>
    </w:p>
    <w:p>
      <w:pPr>
        <w:pStyle w:val="ListBullet"/>
      </w:pPr>
      <w:r>
        <w:rPr>
          <w:b/>
        </w:rPr>
        <w:t>D16</w:t>
      </w:r>
      <w:r>
        <w:t xml:space="preserve"> Finagle discounted-cash-flow valuation runs of the base, bull and bear cases and of add-on cases, Oct 25, 2026 (model output, not published; superseded; not used)</w:t>
      </w:r>
    </w:p>
    <w:p>
      <w:pPr>
        <w:pStyle w:val="ListBullet"/>
      </w:pPr>
      <w:r>
        <w:rPr>
          <w:b/>
        </w:rPr>
        <w:t>D77</w:t>
      </w:r>
      <w:r>
        <w:t xml:space="preserve"> Finagle discounted-cash-flow valuation runs of the base, bull and bear cases and one-at-a-time sensitivity reruns on P3 inputs, Oct 26, 2026 (model output, not published): run_finagle_v11.py, sensitivity_v11.py</w:t>
      </w:r>
    </w:p>
    <w:p>
      <w:pPr>
        <w:pStyle w:val="ListBullet"/>
      </w:pPr>
      <w:r>
        <w:rPr>
          <w:b/>
        </w:rPr>
        <w:t>D24</w:t>
      </w:r>
      <w:r>
        <w:t xml:space="preserve"> Systematic review and meta-analysis of Huntington's disease incidence (regional rates; UK studies incl. Wexler 2016): https://pmc.ncbi.nlm.nih.gov/articles/PMC10086981/ (HTML)</w:t>
      </w:r>
    </w:p>
    <w:p>
      <w:pPr>
        <w:pStyle w:val="ListBullet"/>
      </w:pPr>
      <w:r>
        <w:rPr>
          <w:b/>
        </w:rPr>
        <w:t>D25</w:t>
      </w:r>
      <w:r>
        <w:t xml:space="preserve"> Parkinson's Foundation, Prevalence &amp; Incidence: https://www.parkinson.org/understanding-parkinsons/statistics/prevalence-incidence (HTML); Willis et al., npj Parkinson's Disease 2022: https://www.nature.com/articles/s41531-022-00410-y (HTML)</w:t>
      </w:r>
    </w:p>
    <w:p>
      <w:pPr>
        <w:pStyle w:val="ListBullet"/>
      </w:pPr>
      <w:r>
        <w:rPr>
          <w:b/>
        </w:rPr>
        <w:t>D26</w:t>
      </w:r>
      <w:r>
        <w:t xml:space="preserve"> Venkatraman et al., J Neurosurg 2024, "Disparities in the treatment of movement disorders using deep brain stimulation" (NIS 2012–19, Table 4): https://pmc.ncbi.nlm.nih.gov/articles/PMC10898494/ (HTML)</w:t>
      </w:r>
    </w:p>
    <w:p>
      <w:r>
        <w:rPr>
          <w:b/>
        </w:rPr>
        <w:t>Actuals</w:t>
      </w:r>
    </w:p>
    <w:p>
      <w:pPr>
        <w:pStyle w:val="ListBullet"/>
      </w:pPr>
      <w:r>
        <w:rPr>
          <w:b/>
        </w:rPr>
        <w:t>A12</w:t>
      </w:r>
      <w:r>
        <w:t xml:space="preserve"> "It is estimated that 10–15% of PD-patients are DBS-candidates". D27.</w:t>
      </w:r>
    </w:p>
    <w:p>
      <w:pPr>
        <w:pStyle w:val="ListBullet"/>
      </w:pPr>
      <w:r>
        <w:rPr>
          <w:b/>
        </w:rPr>
        <w:t>A14</w:t>
      </w:r>
      <w:r>
        <w:t xml:space="preserve"> "114 (43.2%) patients preselected as eligible for DBS … agreed to show up at a specialized DBS center". D29.</w:t>
      </w:r>
    </w:p>
    <w:p>
      <w:pPr>
        <w:pStyle w:val="ListBullet"/>
      </w:pPr>
      <w:r>
        <w:rPr>
          <w:b/>
        </w:rPr>
        <w:t>A15</w:t>
      </w:r>
      <w:r>
        <w:t xml:space="preserve"> "By 2030, an estimated 1.2 million people in the U.S. will be living with Parkinson's." D25.</w:t>
      </w:r>
    </w:p>
    <w:p>
      <w:pPr>
        <w:pStyle w:val="ListBullet"/>
      </w:pPr>
      <w:r>
        <w:rPr>
          <w:b/>
        </w:rPr>
        <w:t>A1</w:t>
      </w:r>
      <w:r>
        <w:t xml:space="preserve"> Total revenue $31.390M (FY2024A) and $36.971M (FY2025A). D1.</w:t>
      </w:r>
    </w:p>
    <w:p>
      <w:pPr>
        <w:pStyle w:val="ListBullet"/>
      </w:pPr>
      <w:r>
        <w:rPr>
          <w:b/>
        </w:rPr>
        <w:t>A2</w:t>
      </w:r>
      <w:r>
        <w:t xml:space="preserve"> FY2024A/FY2025A disaggregated revenue: BDD 17.310/19.040; NNT 10.285/14.831; CES 3.795/3.100. D1, Note 2/MD&amp;A.</w:t>
      </w:r>
    </w:p>
    <w:p>
      <w:pPr>
        <w:pStyle w:val="ListBullet"/>
      </w:pPr>
      <w:r>
        <w:rPr>
          <w:b/>
        </w:rPr>
        <w:t>A3</w:t>
      </w:r>
      <w:r>
        <w:t xml:space="preserve"> FY2025A EBITDA (before SBC) −$15.170M = operating loss −24.164 + D&amp;A 0.814 + SBC 8.180. D1 via Finagle's baseline data.</w:t>
      </w:r>
    </w:p>
    <w:p>
      <w:pPr>
        <w:pStyle w:val="ListBullet"/>
      </w:pPr>
      <w:r>
        <w:rPr>
          <w:b/>
        </w:rPr>
        <w:t>A4</w:t>
      </w:r>
      <w:r>
        <w:t xml:space="preserve"> H1 2026A revenue $23.008M: BDD 8.839, NNT 11.439, CES 2.730. H1 2025A $17.700M. D2.</w:t>
      </w:r>
    </w:p>
    <w:p>
      <w:pPr>
        <w:pStyle w:val="ListBullet"/>
      </w:pPr>
      <w:r>
        <w:rPr>
          <w:b/>
        </w:rPr>
        <w:t>A5</w:t>
      </w:r>
      <w:r>
        <w:t xml:space="preserve"> H1 2026A operating loss −18.722, D&amp;A 0.236, intangible amortization 1.007, SBC 4.489. D3.</w:t>
      </w:r>
    </w:p>
    <w:p>
      <w:pPr>
        <w:pStyle w:val="ListBullet"/>
      </w:pPr>
      <w:r>
        <w:rPr>
          <w:b/>
        </w:rPr>
        <w:t>A6</w:t>
      </w:r>
      <w:r>
        <w:t xml:space="preserve"> 2017 revenue $7,379,525. D14.</w:t>
      </w:r>
    </w:p>
    <w:p>
      <w:pPr>
        <w:pStyle w:val="ListBullet"/>
      </w:pPr>
      <w:r>
        <w:rPr>
          <w:b/>
        </w:rPr>
        <w:t>A7</w:t>
      </w:r>
      <w:r>
        <w:t xml:space="preserve"> "the cumulative incidence was 1.22 per 100,000 person-years" (age-adjusted, US insured cohort 2003–2016). D18.</w:t>
      </w:r>
    </w:p>
    <w:p>
      <w:pPr>
        <w:pStyle w:val="ListBullet"/>
      </w:pPr>
      <w:r>
        <w:rPr>
          <w:b/>
        </w:rPr>
        <w:t>A8</w:t>
      </w:r>
      <w:r>
        <w:t xml:space="preserve"> UK HD incidence 0.67 per 100,000 (Wexler 2016, as compiled in D24); Europe pooled 0.38. D24.</w:t>
      </w:r>
    </w:p>
    <w:p>
      <w:pPr>
        <w:pStyle w:val="ListBullet"/>
      </w:pPr>
      <w:r>
        <w:rPr>
          <w:b/>
        </w:rPr>
        <w:t>A9</w:t>
      </w:r>
      <w:r>
        <w:t xml:space="preserve"> "nearly 90,000 people … diagnosed with Parkinson's disease every year" in the US. D25.</w:t>
      </w:r>
    </w:p>
    <w:p>
      <w:pPr>
        <w:pStyle w:val="ListBullet"/>
      </w:pPr>
      <w:r>
        <w:rPr>
          <w:b/>
        </w:rPr>
        <w:t>A10</w:t>
      </w:r>
      <w:r>
        <w:t xml:space="preserve"> DBS for PD in US inpatient discharges: 3,615–4,025 a year 2016–19; 3,990 (1.10% of PD discharges) in 2019. D26, Table 4.</w:t>
      </w:r>
    </w:p>
    <w:p>
      <w:pPr>
        <w:pStyle w:val="ListBullet"/>
      </w:pPr>
      <w:r>
        <w:rPr>
          <w:b/>
        </w:rPr>
        <w:t>A30</w:t>
      </w:r>
      <w:r>
        <w:t xml:space="preserve"> At least 930,000 Americans aged 45 or over with PD in 2020 and 1,238,000 in 2030; the authors call these minimum estimates. D33.</w:t>
      </w:r>
    </w:p>
    <w:p>
      <w:pPr>
        <w:pStyle w:val="ListBullet"/>
      </w:pPr>
      <w:r>
        <w:rPr>
          <w:b/>
        </w:rPr>
        <w:t>A31</w:t>
      </w:r>
      <w:r>
        <w:t xml:space="preserve"> Survival in PD falls by about 5% for each year of follow-up. D34.</w:t>
      </w:r>
    </w:p>
    <w:p>
      <w:pPr>
        <w:pStyle w:val="ListBullet"/>
      </w:pPr>
      <w:r>
        <w:rPr>
          <w:b/>
        </w:rPr>
        <w:t>A32</w:t>
      </w:r>
      <w:r>
        <w:t xml:space="preserve"> Point prevalence of dementia in PD 24.5% across all studies, 31.1% in the highest-quality studies. D35.</w:t>
      </w:r>
    </w:p>
    <w:p>
      <w:pPr>
        <w:pStyle w:val="ListBullet"/>
      </w:pPr>
      <w:r>
        <w:rPr>
          <w:b/>
        </w:rPr>
        <w:t>A33</w:t>
      </w:r>
      <w:r>
        <w:t xml:space="preserve"> Off periods affected 35% of patients at 4–6 years and 59% at 8–10 years (3,343 UK patients). D36.</w:t>
      </w:r>
    </w:p>
    <w:p>
      <w:pPr>
        <w:pStyle w:val="ListBullet"/>
      </w:pPr>
      <w:r>
        <w:rPr>
          <w:b/>
        </w:rPr>
        <w:t>A34</w:t>
      </w:r>
      <w:r>
        <w:t xml:space="preserve"> Motor fluctuations in 54% of a population-based incident cohort by five years. D37.</w:t>
      </w:r>
    </w:p>
    <w:p>
      <w:pPr>
        <w:pStyle w:val="ListBullet"/>
      </w:pPr>
      <w:r>
        <w:rPr>
          <w:b/>
        </w:rPr>
        <w:t>A35</w:t>
      </w:r>
      <w:r>
        <w:t xml:space="preserve"> Pooled accuracy of clinical PD diagnosis against pathology 80.6%. D38.</w:t>
      </w:r>
    </w:p>
    <w:p>
      <w:pPr>
        <w:pStyle w:val="ListBullet"/>
      </w:pPr>
      <w:r>
        <w:rPr>
          <w:b/>
        </w:rPr>
        <w:t>A36</w:t>
      </w:r>
      <w:r>
        <w:t xml:space="preserve"> Roughly half of about 300,000 drug-refractory US patients may be eligible for cell-replacement surgery (about 15% of PD). D39.</w:t>
      </w:r>
    </w:p>
    <w:p>
      <w:pPr>
        <w:pStyle w:val="ListBullet"/>
      </w:pPr>
      <w:r>
        <w:rPr>
          <w:b/>
        </w:rPr>
        <w:t>A37</w:t>
      </w:r>
      <w:r>
        <w:t xml:space="preserve"> 4.5% of patients eligible for DBS under flexible criteria in Italian movement-disorder clinics. D51.</w:t>
      </w:r>
    </w:p>
    <w:p>
      <w:pPr>
        <w:pStyle w:val="ListBullet"/>
      </w:pPr>
      <w:r>
        <w:rPr>
          <w:b/>
        </w:rPr>
        <w:t>A38</w:t>
      </w:r>
      <w:r>
        <w:t xml:space="preserve"> 6.6% eligible for referral to any device-aided therapy in a Dutch general hospital. D52.</w:t>
      </w:r>
    </w:p>
    <w:p>
      <w:pPr>
        <w:pStyle w:val="ListBullet"/>
      </w:pPr>
      <w:r>
        <w:rPr>
          <w:b/>
        </w:rPr>
        <w:t>A39</w:t>
      </w:r>
      <w:r>
        <w:t xml:space="preserve"> Dementia incidence in PD 4.45 per 100 person-years. D53.</w:t>
      </w:r>
    </w:p>
    <w:p>
      <w:pPr>
        <w:pStyle w:val="ListBullet"/>
      </w:pPr>
      <w:r>
        <w:rPr>
          <w:b/>
        </w:rPr>
        <w:t>A41</w:t>
      </w:r>
      <w:r>
        <w:t xml:space="preserve"> Every PD cell/gene therapy trial checked excludes prior DBS at entry (bemdaneprocel exPDite-2, AB-1005 REGENERATE-PD and Japan, AAV2-GDNF Ph1 and Ph1b, ANPD001 ASPIRO, RNDP-001, VY-AADC01/02, CERE-120); none states a biological or safety reason; RESTORE-1 cites prior surgery that "could complicate the study procedure or negatively impact study evaluations". D71.</w:t>
      </w:r>
    </w:p>
    <w:p>
      <w:pPr>
        <w:pStyle w:val="ListBullet"/>
      </w:pPr>
      <w:r>
        <w:rPr>
          <w:b/>
        </w:rPr>
        <w:t>A42</w:t>
      </w:r>
      <w:r>
        <w:t xml:space="preserve"> DBS has been added after cell grafts in small series: 2 patients (D72), 1 patient 11 years after a graft (D73), 3 of 34 graft recipients (D74). Abstracts.</w:t>
      </w:r>
    </w:p>
    <w:p>
      <w:pPr>
        <w:pStyle w:val="ListBullet"/>
      </w:pPr>
      <w:r>
        <w:rPr>
          <w:b/>
        </w:rPr>
        <w:t>A43</w:t>
      </w:r>
      <w:r>
        <w:t xml:space="preserve"> Grafts were placed in 3 patients with an existing DBS lead, with adverse events "comparable to standard DBS surgery" (D75); combining cell or gene therapy with DBS is proposed in an expert review (D76). Abstracts.</w:t>
      </w:r>
    </w:p>
    <w:p>
      <w:pPr>
        <w:pStyle w:val="ListBullet"/>
      </w:pPr>
      <w:r>
        <w:rPr>
          <w:b/>
        </w:rPr>
        <w:t>A40</w:t>
      </w:r>
      <w:r>
        <w:t xml:space="preserve"> 58.7% of patients evaluated in multidisciplinary DBS screening proceeded to implant. D54. 43.2% of preselected eligible patients agreed to referral to a DBS centre (A14).</w:t>
      </w:r>
    </w:p>
    <w:p>
      <w:pPr>
        <w:pStyle w:val="ListBullet"/>
      </w:pPr>
      <w:r>
        <w:rPr>
          <w:b/>
        </w:rPr>
        <w:t>A21</w:t>
      </w:r>
      <w:r>
        <w:t xml:space="preserve"> Drug-resistant MTLE (hippocampal sclerosis): US prevalence 143,000–191,000; incidence 3.1–3.4 per 100,000 a year (× 324M ≈ 10,000–11,000). D55 (abstract).</w:t>
      </w:r>
    </w:p>
    <w:p>
      <w:pPr>
        <w:pStyle w:val="ListBullet"/>
      </w:pPr>
      <w:r>
        <w:rPr>
          <w:b/>
        </w:rPr>
        <w:t>A22</w:t>
      </w:r>
      <w:r>
        <w:t xml:space="preserve"> FTLD incidence 2.7–4.1 per 100,000 person-years (age 45–64); US prevalence 20,000–30,000. D56.</w:t>
      </w:r>
    </w:p>
    <w:p>
      <w:pPr>
        <w:pStyle w:val="ListBullet"/>
      </w:pPr>
      <w:r>
        <w:rPr>
          <w:b/>
        </w:rPr>
        <w:t>A23</w:t>
      </w:r>
      <w:r>
        <w:t xml:space="preserve"> GRN mutations about 5% of FTD; US GRN-FTD prevalence about 1,000–1,500 (derived from A22 × 5%). D57.</w:t>
      </w:r>
    </w:p>
    <w:p>
      <w:pPr>
        <w:pStyle w:val="ListBullet"/>
      </w:pPr>
      <w:r>
        <w:rPr>
          <w:b/>
        </w:rPr>
        <w:t>A24</w:t>
      </w:r>
      <w:r>
        <w:t xml:space="preserve"> ASPIRE-FTD enrols age 30–75. D57 (Practical Neurology).</w:t>
      </w:r>
    </w:p>
    <w:p>
      <w:pPr>
        <w:pStyle w:val="ListBullet"/>
      </w:pPr>
      <w:r>
        <w:rPr>
          <w:b/>
        </w:rPr>
        <w:t>A25</w:t>
      </w:r>
      <w:r>
        <w:t xml:space="preserve"> AADC deficiency about 1 in 90,000 births (screening-based range 1/64,000–1/766,660). D58.</w:t>
      </w:r>
    </w:p>
    <w:p>
      <w:pPr>
        <w:pStyle w:val="ListBullet"/>
      </w:pPr>
      <w:r>
        <w:rPr>
          <w:b/>
        </w:rPr>
        <w:t>A26</w:t>
      </w:r>
      <w:r>
        <w:t xml:space="preserve"> US births 2024: 3,628,934. D59.</w:t>
      </w:r>
    </w:p>
    <w:p>
      <w:pPr>
        <w:pStyle w:val="ListBullet"/>
      </w:pPr>
      <w:r>
        <w:rPr>
          <w:b/>
        </w:rPr>
        <w:t>A27</w:t>
      </w:r>
      <w:r>
        <w:t xml:space="preserve"> MPS II about 1 in 162,000 male births (range 0.26–1.4 per 100,000 births). D60.</w:t>
      </w:r>
    </w:p>
    <w:p>
      <w:pPr>
        <w:pStyle w:val="ListBullet"/>
      </w:pPr>
      <w:r>
        <w:rPr>
          <w:b/>
        </w:rPr>
        <w:t>A28</w:t>
      </w:r>
      <w:r>
        <w:t xml:space="preserve"> Glioblastoma: 67,250 US cases 2018–2022, about 13,450 a year. D61.</w:t>
      </w:r>
    </w:p>
    <w:p>
      <w:pPr>
        <w:pStyle w:val="ListBullet"/>
      </w:pPr>
      <w:r>
        <w:rPr>
          <w:b/>
        </w:rPr>
        <w:t>A29</w:t>
      </w:r>
      <w:r>
        <w:t xml:space="preserve"> Friedreich's ataxia about 1 in 50,000; about 5,000 US patients. D62.</w:t>
      </w:r>
    </w:p>
    <w:p>
      <w:r>
        <w:rPr>
          <w:b/>
        </w:rPr>
        <w:t>Guidance and management statements</w:t>
      </w:r>
    </w:p>
    <w:p>
      <w:pPr>
        <w:pStyle w:val="ListBullet"/>
      </w:pPr>
      <w:r>
        <w:rPr>
          <w:b/>
        </w:rPr>
        <w:t>G9</w:t>
      </w:r>
      <w:r>
        <w:t xml:space="preserve"> Burnett: prior preclinical capacity "$8 million a year or something like that"; the CAL "could surpass $60 million or so at this facility"; "our revenue miss in the quarter … was largely attributed to a delayed ramp of these preclinical CAL services"; "accelerated adoption of GLP studies at the CAL could go faster than" high-teens 2027 growth; added people are "built into that cost structure". D6.</w:t>
      </w:r>
    </w:p>
    <w:p>
      <w:pPr>
        <w:pStyle w:val="ListBullet"/>
      </w:pPr>
      <w:r>
        <w:rPr>
          <w:b/>
        </w:rPr>
        <w:t>G10</w:t>
      </w:r>
      <w:r>
        <w:t xml:space="preserve"> First GLP statement of work "in the multi-million dollar range", expected to be fully recognised by end of H1 2027; 2026 guidance "does not include the execution of any of these large studies"; larger studies expected to start "in the second half of next year". D6; D3.</w:t>
      </w:r>
    </w:p>
    <w:p>
      <w:pPr>
        <w:pStyle w:val="ListBullet"/>
      </w:pPr>
      <w:r>
        <w:rPr>
          <w:b/>
        </w:rPr>
        <w:t>G11</w:t>
      </w:r>
      <w:r>
        <w:t xml:space="preserve"> "a single study could be in that $15,000,000 to $20,000,000 range" once GLP capability is in place. D7.</w:t>
      </w:r>
    </w:p>
    <w:p>
      <w:pPr>
        <w:pStyle w:val="ListBullet"/>
      </w:pPr>
      <w:r>
        <w:rPr>
          <w:b/>
        </w:rPr>
        <w:t>G12</w:t>
      </w:r>
      <w:r>
        <w:t xml:space="preserve"> Burnett: "if we generally can grow in that 15% to 20%, maybe even north of 20% range for the foreseeable future" (D7); 2027 "high teens, I would say if not 20% growth" with CAL as an accelerator (D6).</w:t>
      </w:r>
    </w:p>
    <w:p>
      <w:pPr>
        <w:pStyle w:val="ListBullet"/>
      </w:pPr>
      <w:r>
        <w:rPr>
          <w:b/>
        </w:rPr>
        <w:t>G1</w:t>
      </w:r>
      <w:r>
        <w:t xml:space="preserve"> FY2025 revenue guidance $36.0–41.0M. D5.</w:t>
      </w:r>
    </w:p>
    <w:p>
      <w:pPr>
        <w:pStyle w:val="ListBullet"/>
      </w:pPr>
      <w:r>
        <w:rPr>
          <w:b/>
        </w:rPr>
        <w:t>G2</w:t>
      </w:r>
      <w:r>
        <w:t xml:space="preserve"> "adjusting our 2026 revenue guidance to between $48.0 - $52.0 million" (original $52.0–56.0M). Also: 10–15 trials enrolling, about 10 readouts in 18 months, CAL, SONOCARE, commercial reorganization. D3.</w:t>
      </w:r>
    </w:p>
    <w:p>
      <w:pPr>
        <w:pStyle w:val="ListBullet"/>
      </w:pPr>
      <w:r>
        <w:rPr>
          <w:b/>
        </w:rPr>
        <w:t>G3</w:t>
      </w:r>
      <w:r>
        <w:t xml:space="preserve"> 2026 guidance "does not include any meaningful expected revenue from commercial drug delivery". D7.</w:t>
      </w:r>
    </w:p>
    <w:p>
      <w:pPr>
        <w:pStyle w:val="ListBullet"/>
      </w:pPr>
      <w:r>
        <w:rPr>
          <w:b/>
        </w:rPr>
        <w:t>G4</w:t>
      </w:r>
      <w:r>
        <w:t xml:space="preserve"> "$15,000 to $25,000 per procedure" for a typical uniQure procedure. D6.</w:t>
      </w:r>
    </w:p>
    <w:p>
      <w:pPr>
        <w:pStyle w:val="ListBullet"/>
      </w:pPr>
      <w:r>
        <w:rPr>
          <w:b/>
        </w:rPr>
        <w:t>G5</w:t>
      </w:r>
      <w:r>
        <w:t xml:space="preserve"> "$12,000 to $15,000 range per patient" across pharma partners. D6.</w:t>
      </w:r>
    </w:p>
    <w:p>
      <w:pPr>
        <w:pStyle w:val="ListBullet"/>
      </w:pPr>
      <w:r>
        <w:rPr>
          <w:b/>
        </w:rPr>
        <w:t>G6</w:t>
      </w:r>
      <w:r>
        <w:t xml:space="preserve"> "operational cash burn to decrease in the second half". D3.</w:t>
      </w:r>
    </w:p>
    <w:p>
      <w:pPr>
        <w:pStyle w:val="ListBullet"/>
      </w:pPr>
      <w:r>
        <w:rPr>
          <w:b/>
        </w:rPr>
        <w:t>G7</w:t>
      </w:r>
      <w:r>
        <w:t xml:space="preserve"> 15 centres "could be ready to do 1, if not 2 of these procedures a week"; 20–30 centres would mean "50 to 100 cases a week". D6.</w:t>
      </w:r>
    </w:p>
    <w:p>
      <w:pPr>
        <w:pStyle w:val="ListBullet"/>
      </w:pPr>
      <w:r>
        <w:rPr>
          <w:b/>
        </w:rPr>
        <w:t>G8</w:t>
      </w:r>
      <w:r>
        <w:t xml:space="preserve"> "~6,000 patients</w:t>
      </w:r>
      <w:r>
        <w:rPr>
          <w:i/>
        </w:rPr>
        <w:t xml:space="preserve"> Initial Treatable Patients at Launch" (</w:t>
      </w:r>
      <w:r>
        <w:t>management estimate); "~20,000 patients Diagnosed HD". D17, p.25.</w:t>
      </w:r>
    </w:p>
    <w:p>
      <w:r>
        <w:rPr>
          <w:b/>
        </w:rPr>
        <w:t>Estimates</w:t>
      </w:r>
    </w:p>
    <w:p>
      <w:pPr>
        <w:pStyle w:val="ListBullet"/>
      </w:pPr>
      <w:r>
        <w:rPr>
          <w:b/>
        </w:rPr>
        <w:t>E1</w:t>
      </w:r>
      <w:r>
        <w:t xml:space="preserve"> Equibles consensus (2 analysts): FY2026E $49.0M (low 48.0, high 50.0); FY2027E $56.55M (low 56.0, high 57.1). D8.</w:t>
      </w:r>
    </w:p>
    <w:p>
      <w:pPr>
        <w:pStyle w:val="ListBullet"/>
      </w:pPr>
      <w:r>
        <w:rPr>
          <w:b/>
        </w:rPr>
        <w:t>E2</w:t>
      </w:r>
      <w:r>
        <w:t xml:space="preserve"> Average price target $23.50, 2 analysts (Lake Street $25, Sep 29, 2026; B. Riley $30, Jun 18, 2026; Stifel Buy). D15.</w:t>
      </w:r>
    </w:p>
    <w:p>
      <w:r>
        <w:rPr>
          <w:b/>
        </w:rPr>
        <w:t>Assumptions</w:t>
      </w:r>
    </w:p>
    <w:p>
      <w:pPr>
        <w:pStyle w:val="ListBullet"/>
      </w:pPr>
      <w:r>
        <w:rPr>
          <w:b/>
        </w:rPr>
        <w:t>P1</w:t>
      </w:r>
      <w:r>
        <w:t xml:space="preserve"> Prompt: AMT-130 and bemdaneprocel approved.</w:t>
      </w:r>
    </w:p>
    <w:p>
      <w:pPr>
        <w:pStyle w:val="ListBullet"/>
      </w:pPr>
      <w:r>
        <w:rPr>
          <w:b/>
        </w:rPr>
        <w:t>P2</w:t>
      </w:r>
      <w:r>
        <w:t xml:space="preserve"> David (2026-10-23): all procedures $20k, both therapies, all cases; volumes = full use of ClearPoint capacity, ramping, from G7.</w:t>
      </w:r>
    </w:p>
    <w:p>
      <w:pPr>
        <w:pStyle w:val="ListBullet"/>
      </w:pPr>
      <w:r>
        <w:rPr>
          <w:b/>
        </w:rPr>
        <w:t>P3</w:t>
      </w:r>
      <w:r>
        <w:t xml:space="preserve"> David (2026-10-26), valuation assumptions: +$50M Oberland draw in 2026 (debt $49.077M → $99.077M); debt 2.0× EBITDA from the first positive-EBITDA year; SBC $8M a year until the first positive-EBITDA year, then linear in dollars to 5% of FY2040E EBITDA; explicit EBITDA growth to FY2031E, gsnext 15% (about half the prior year's sales growth) fading to terminal by FY2040E (year 15); roict 25% (scale lowers capex per dollar of revenue); cost of debt 9.2%; cost of equity = 10-year yield + ERP, no beta (med-tech beta is low); bull treated share 8%; distributions "none", no buybacks; dilution ≈10% for a ~$25M raise, applied as ×0.90.</w:t>
      </w:r>
    </w:p>
    <w:p>
      <w:pPr>
        <w:pStyle w:val="ListBullet"/>
      </w:pPr>
      <w:r>
        <w:rPr>
          <w:b/>
        </w:rPr>
        <w:t>S1–S3</w:t>
      </w:r>
      <w:r>
        <w:t xml:space="preserve"> H2 2026E drivers: BDD = H2 2025A × 1.05; NNT = 2 × Q2 2026A × 1.03; CES = H1 run rate. All scaled to consensus.</w:t>
      </w:r>
    </w:p>
    <w:p>
      <w:pPr>
        <w:pStyle w:val="ListBullet"/>
      </w:pPr>
      <w:r>
        <w:rPr>
          <w:b/>
        </w:rPr>
        <w:t>S4–S6</w:t>
      </w:r>
      <w:r>
        <w:t xml:space="preserve"> FY2027E growth 12% / 12% / 5%, scaled to consensus.</w:t>
      </w:r>
    </w:p>
    <w:p>
      <w:pPr>
        <w:pStyle w:val="ListBullet"/>
      </w:pPr>
      <w:r>
        <w:rPr>
          <w:b/>
        </w:rPr>
        <w:t>S7</w:t>
      </w:r>
      <w:r>
        <w:t xml:space="preserve"> FY2028E core growth 15% (bear 8%, bull 18%): the low end of management's 15–20% (G12) and FY2027E consensus growth (15.4%, E1).</w:t>
      </w:r>
    </w:p>
    <w:p>
      <w:pPr>
        <w:pStyle w:val="ListBullet"/>
      </w:pPr>
      <w:r>
        <w:rPr>
          <w:b/>
        </w:rPr>
        <w:t>S8</w:t>
      </w:r>
      <w:r>
        <w:t xml:space="preserve"> AMT-130 approval at the late Apr/early May 2027 action date (D9); launch Q3 2027.</w:t>
      </w:r>
    </w:p>
    <w:p>
      <w:pPr>
        <w:pStyle w:val="ListBullet"/>
      </w:pPr>
      <w:r>
        <w:rPr>
          <w:b/>
        </w:rPr>
        <w:t>S13</w:t>
      </w:r>
      <w:r>
        <w:t xml:space="preserve"> Core gross margin held at H1 2026A 62.9%.</w:t>
      </w:r>
    </w:p>
    <w:p>
      <w:pPr>
        <w:pStyle w:val="ListBullet"/>
      </w:pPr>
      <w:r>
        <w:rPr>
          <w:b/>
        </w:rPr>
        <w:t>S14</w:t>
      </w:r>
      <w:r>
        <w:t xml:space="preserve"> H2 2026E core cash opex = H1 × 0.98 (bear × 1.00).</w:t>
      </w:r>
    </w:p>
    <w:p>
      <w:pPr>
        <w:pStyle w:val="ListBullet"/>
      </w:pPr>
      <w:r>
        <w:rPr>
          <w:b/>
        </w:rPr>
        <w:t>S15</w:t>
      </w:r>
      <w:r>
        <w:t xml:space="preserve"> FY2027E core cash opex = 2 × H2 × 1.06 (bear 1.10). EBITDA = core gross profit + procedure gross profit − core opex − procedure opex.</w:t>
      </w:r>
    </w:p>
    <w:p>
      <w:pPr>
        <w:pStyle w:val="ListBullet"/>
      </w:pPr>
      <w:r>
        <w:rPr>
          <w:b/>
        </w:rPr>
        <w:t>S16</w:t>
      </w:r>
      <w:r>
        <w:t xml:space="preserve"> Core cash opex +5% a year FY2028E–30E (bear +7%).</w:t>
      </w:r>
    </w:p>
    <w:p>
      <w:pPr>
        <w:pStyle w:val="ListBullet"/>
      </w:pPr>
      <w:r>
        <w:rPr>
          <w:b/>
        </w:rPr>
        <w:t>S17</w:t>
      </w:r>
      <w:r>
        <w:t xml:space="preserve"> Finagle mc 0.50 (bear 0.45, bull 0.55).</w:t>
      </w:r>
    </w:p>
    <w:p>
      <w:pPr>
        <w:pStyle w:val="ListBullet"/>
      </w:pPr>
      <w:r>
        <w:rPr>
          <w:b/>
        </w:rPr>
        <w:t>S19</w:t>
      </w:r>
      <w:r>
        <w:t xml:space="preserve"> Consensus excludes procedure revenue.</w:t>
      </w:r>
    </w:p>
    <w:p>
      <w:pPr>
        <w:pStyle w:val="ListBullet"/>
      </w:pPr>
      <w:r>
        <w:rPr>
          <w:b/>
        </w:rPr>
        <w:t>S20</w:t>
      </w:r>
      <w:r>
        <w:t xml:space="preserve"> Base ramp per therapy: launch half-year 10 centres × 1.5/wk × 22 wks ≈ 330; first full year 20 × 2.5 × 50 ≈ 2,500; second full year 30 × 3 × 50 ≈ 4,500; then hold. AMT-130 capped by the pool (G8, C22). First PD class approval (bemdaneprocel) H2 2029.</w:t>
      </w:r>
    </w:p>
    <w:p>
      <w:pPr>
        <w:pStyle w:val="ListBullet"/>
      </w:pPr>
      <w:r>
        <w:rPr>
          <w:b/>
        </w:rPr>
        <w:t>S21</w:t>
      </w:r>
      <w:r>
        <w:t xml:space="preserve"> Bull: AMT-130 launch half 20 × 2/wk × 22 ≈ 880, then 4,500 cap; PD class: the base three-year ramp to class demand (S64) on bull class demand (C46): 5,225 / 9,917 / 14,272 FY2029E–31E.</w:t>
      </w:r>
    </w:p>
    <w:p>
      <w:pPr>
        <w:pStyle w:val="ListBullet"/>
      </w:pPr>
      <w:r>
        <w:rPr>
          <w:b/>
        </w:rPr>
        <w:t>S22</w:t>
      </w:r>
      <w:r>
        <w:t xml:space="preserve"> Bear: AMT-130 0 / 270 / 1,000 / 1,800 / 2,300 FY2027E–31E; first PD class approval 2030, the S20 capacity ramp one year later: 330 / 2,500 FY2030E–31E toward the 4,500 bear capacity (S43); bear class demand (C55) is above volume in every year. Judgment.</w:t>
      </w:r>
    </w:p>
    <w:p>
      <w:pPr>
        <w:pStyle w:val="ListBullet"/>
      </w:pPr>
      <w:r>
        <w:rPr>
          <w:b/>
        </w:rPr>
        <w:t>S23</w:t>
      </w:r>
      <w:r>
        <w:t xml:space="preserve"> Procedure gross margin 70% (10-K: disposables "high margin", no percentage given).</w:t>
      </w:r>
    </w:p>
    <w:p>
      <w:pPr>
        <w:pStyle w:val="ListBullet"/>
      </w:pPr>
      <w:r>
        <w:rPr>
          <w:b/>
        </w:rPr>
        <w:t>S24</w:t>
      </w:r>
      <w:r>
        <w:t xml:space="preserve"> Clinical specialist cost 10% of procedure revenue.</w:t>
      </w:r>
    </w:p>
    <w:p>
      <w:pPr>
        <w:pStyle w:val="ListBullet"/>
      </w:pPr>
      <w:r>
        <w:rPr>
          <w:b/>
        </w:rPr>
        <w:t>S25</w:t>
      </w:r>
      <w:r>
        <w:t xml:space="preserve"> $2.0M a year of fixed field support per launched therapy.</w:t>
      </w:r>
    </w:p>
    <w:p>
      <w:pPr>
        <w:pStyle w:val="ListBullet"/>
      </w:pPr>
      <w:r>
        <w:rPr>
          <w:b/>
        </w:rPr>
        <w:t>S26</w:t>
      </w:r>
      <w:r>
        <w:t xml:space="preserve"> Core growth FY2029E–31E 15% (bear 8%, bull 18%); see S7.</w:t>
      </w:r>
    </w:p>
    <w:p>
      <w:pPr>
        <w:pStyle w:val="ListBullet"/>
      </w:pPr>
      <w:r>
        <w:rPr>
          <w:b/>
        </w:rPr>
        <w:t>S28</w:t>
      </w:r>
      <w:r>
        <w:t xml:space="preserve"> US population about 335M (approximation, not sourced).</w:t>
      </w:r>
    </w:p>
    <w:p>
      <w:pPr>
        <w:pStyle w:val="ListBullet"/>
      </w:pPr>
      <w:r>
        <w:rPr>
          <w:b/>
        </w:rPr>
        <w:t>S30</w:t>
      </w:r>
      <w:r>
        <w:t xml:space="preserve"> AMT-130 steady state 3,000 a year from FY2030E (David, Oct 23, 2026), as a share of HD incidence (bull 3,500).</w:t>
      </w:r>
    </w:p>
    <w:p>
      <w:pPr>
        <w:pStyle w:val="ListBullet"/>
      </w:pPr>
      <w:r>
        <w:rPr>
          <w:b/>
        </w:rPr>
        <w:t>S31</w:t>
      </w:r>
      <w:r>
        <w:t xml:space="preserve"> PD class volume: base and bull, three-year ramp from the FY2029E launch (S64): 1/3, 2/3, then 100% of class demand (C40, C46), class demand from FY2031E; bear, capacity ramp toward 4,500 (S22, S43).</w:t>
      </w:r>
    </w:p>
    <w:p>
      <w:pPr>
        <w:pStyle w:val="ListBullet"/>
      </w:pPr>
      <w:r>
        <w:rPr>
          <w:b/>
        </w:rPr>
        <w:t>S32</w:t>
      </w:r>
      <w:r>
        <w:t xml:space="preserve"> Explicit window to FY2031E (David, Oct 26, 2026; earlier FY2032E, Oct 23, 2026). Core growth as S26; core opex growth as S16. PD class volume: base and bull see S31 and S64; bear see S22.</w:t>
      </w:r>
    </w:p>
    <w:p>
      <w:pPr>
        <w:pStyle w:val="ListBullet"/>
      </w:pPr>
      <w:r>
        <w:rPr>
          <w:b/>
        </w:rPr>
        <w:t>S37</w:t>
      </w:r>
      <w:r>
        <w:t xml:space="preserve"> CAL uplift above core growth (US$M, FY2027E–31E): base 0 / 7 / 14 / 22 / 29 (toward 60% of capacity); bull 3 / 10 / 18 / 27 / 36; bear 0 / 2 / 4 / 6 / 8 (G9–G11). Judgment.</w:t>
      </w:r>
    </w:p>
    <w:p>
      <w:pPr>
        <w:pStyle w:val="ListBullet"/>
      </w:pPr>
      <w:r>
        <w:rPr>
          <w:b/>
        </w:rPr>
        <w:t>S43</w:t>
      </w:r>
      <w:r>
        <w:t xml:space="preserve"> PD platform capacity: base and bull not capped; volume follows class demand (S64), implying about 74 (base) and 95 (bull) centres at 3 cases/wk × 50 wks for Parkinson's alone by FY2031E, against Burnett's 20–30 centres × 50–100 cases/wk (G7). Bear capacity ramp toward 4,500 (2,500 in FY2031E). AMT-130 per-therapy cap 4,500 (S20). Aggressive judgment.</w:t>
      </w:r>
    </w:p>
    <w:p>
      <w:pPr>
        <w:pStyle w:val="ListBullet"/>
      </w:pPr>
      <w:r>
        <w:rPr>
          <w:b/>
        </w:rPr>
        <w:t>S44</w:t>
      </w:r>
      <w:r>
        <w:t xml:space="preserve"> DBS and one-time therapy are not mutually exclusive: patients who have had DBS stay in the eligible pool, and DBS (3,990 a year, A10) continues alongside and is not deducted from one-time class demand. Trial exclusion of prior DBS is treated as a trial-entry rule (A41–A43). David, Oct 25, 2026: "6% applies to one-time therapy and DBS patients are eligible so I think the pool size should be 180k?" Judgment.</w:t>
      </w:r>
    </w:p>
    <w:p>
      <w:pPr>
        <w:pStyle w:val="ListBullet"/>
      </w:pPr>
      <w:r>
        <w:rPr>
          <w:b/>
        </w:rPr>
        <w:t>S45</w:t>
      </w:r>
      <w:r>
        <w:t xml:space="preserve"> From launch in FY2029E, 6% of the opening eligible pool receives a one-time therapy each year (none before). Judgment anchored on the measured DBS rate: about 2.7 times the 2.2% of the 180,000 pool that receives DBS each year (C49), on the view that many more eligible patients would choose a one-time, potentially disease-modifying therapy than symptomatic DBS hardware surgery. No published willingness study supports the multiple. David, Oct 25, 2026: "So we can make it 6% and underpin it on the basis of that 3% (2.9%) receive DBS and we think many more would favour a gene therapy with a disease modifying effect." The 2.9% is 3,990 measured against a pool with prior-DBS patients excluded (137,813; C49); against the 180,000 pool used here the DBS rate is 2.2%. Lifetime uptake 0.06 / (0.095 + 0.06) = 39%, somewhat above a referral × willingness × coverage funnel of about 30% (A14, A40).</w:t>
      </w:r>
    </w:p>
    <w:p>
      <w:pPr>
        <w:pStyle w:val="ListBullet"/>
      </w:pPr>
      <w:r>
        <w:rPr>
          <w:b/>
        </w:rPr>
        <w:t>S46</w:t>
      </w:r>
      <w:r>
        <w:t xml:space="preserve"> Half of patients with PD for at least four years and no dementia have motor complications. Judgment anchored to A33 and A34.</w:t>
      </w:r>
    </w:p>
    <w:p>
      <w:pPr>
        <w:pStyle w:val="ListBullet"/>
      </w:pPr>
      <w:r>
        <w:rPr>
          <w:b/>
        </w:rPr>
        <w:t>S47</w:t>
      </w:r>
      <w:r>
        <w:t xml:space="preserve"> 90% of otherwise eligible patients are fit for neurosurgery. Judgment; no population figure found.</w:t>
      </w:r>
    </w:p>
    <w:p>
      <w:pPr>
        <w:pStyle w:val="ListBullet"/>
      </w:pPr>
      <w:r>
        <w:rPr>
          <w:b/>
        </w:rPr>
        <w:t>S59</w:t>
      </w:r>
      <w:r>
        <w:t xml:space="preserve"> Bull: 8% of the opening eligible pool treated each year from FY2029E (base 6%, S45), on the base three-year ramp; the smallest round change that keeps bull volume above the base in every year. David, Oct 25, 2026, on an earlier bull: "Bull case should show growing to 10k." This bull exceeds 10,000 from FY2030E, to be confirmed by David. Judgment.</w:t>
      </w:r>
    </w:p>
    <w:p>
      <w:pPr>
        <w:pStyle w:val="ListBullet"/>
      </w:pPr>
      <w:r>
        <w:rPr>
          <w:b/>
        </w:rPr>
        <w:t>S62</w:t>
      </w:r>
      <w:r>
        <w:t xml:space="preserve"> Class lumping: the PD procedure line is all one-time Parkinson's cell/gene therapy procedures (the class), not one product; volume follows class demand (C40, C46) through the three-year ramp (S64). David, Oct 25, 2026: "And class lumping for the valuation too." Judgment.</w:t>
      </w:r>
    </w:p>
    <w:p>
      <w:pPr>
        <w:pStyle w:val="ListBullet"/>
      </w:pPr>
      <w:r>
        <w:rPr>
          <w:b/>
        </w:rPr>
        <w:t>S63</w:t>
      </w:r>
      <w:r>
        <w:t xml:space="preserve"> ClearPoint delivers 100% of one-time Parkinson's cell/gene therapy procedures. David's judgment, Oct 25, 2026: "nobody will risk a multi-billion dollar therapy to save a few thousand on a cannula that wasn't used in the trial". The device used in the pivotal trial becomes part of the approved procedure, so the share stays near 100% for each therapy approved with ClearPoint. Consistent evidence: D12, D68. Devices for other programs not confirmed (D10). Competitor findings: D63–D67, D69, D70. Sizing: about $2.69 a share per 1,000 procedures a year from FY2030E (C43).</w:t>
      </w:r>
    </w:p>
    <w:p>
      <w:pPr>
        <w:pStyle w:val="ListBullet"/>
      </w:pPr>
      <w:r>
        <w:rPr>
          <w:b/>
        </w:rPr>
        <w:t>S64</w:t>
      </w:r>
      <w:r>
        <w:t xml:space="preserve"> Three-year ramp to class demand: one-time PD class volume = 1/3 of class demand in FY2029E, 2/3 in FY2030E and 100% from FY2031E (base and bull). David, Oct 25, 2026: "ramp the patient over 3 years up to the demand" and "since that also gives time for other therapies to get approved." The other quantified PD therapies are expected after FY2031E (2033–34, Appendix D), after the ramp ends, so the rationale is a judgment, not a timeline match. Judgment.</w:t>
      </w:r>
    </w:p>
    <w:p>
      <w:pPr>
        <w:pStyle w:val="ListBullet"/>
      </w:pPr>
      <w:r>
        <w:rPr>
          <w:b/>
        </w:rPr>
        <w:t>S48</w:t>
      </w:r>
      <w:r>
        <w:t xml:space="preserve"> Superseded (value add-on for earlier runs; not used).</w:t>
      </w:r>
    </w:p>
    <w:p>
      <w:pPr>
        <w:pStyle w:val="ListBullet"/>
      </w:pPr>
      <w:r>
        <w:rPr>
          <w:b/>
        </w:rPr>
        <w:t>S52</w:t>
      </w:r>
      <w:r>
        <w:t xml:space="preserve"> Non-BlueRock PD demand split AB-1005 52% / ANPD001 24% / RNDP-001 24% (Appendix D). Judgment.</w:t>
      </w:r>
    </w:p>
    <w:p>
      <w:pPr>
        <w:pStyle w:val="ListBullet"/>
      </w:pPr>
      <w:r>
        <w:rPr>
          <w:b/>
        </w:rPr>
        <w:t>S53–S57</w:t>
      </w:r>
      <w:r>
        <w:t xml:space="preserve"> Funnel rates for NRTX-1001, AVB-101, KEBILIDI, RGX-121 and SRN-101 in Figure D2. Judgment.</w:t>
      </w:r>
    </w:p>
    <w:p>
      <w:pPr>
        <w:pStyle w:val="ListBullet"/>
      </w:pPr>
      <w:r>
        <w:rPr>
          <w:b/>
        </w:rPr>
        <w:t>S58</w:t>
      </w:r>
      <w:r>
        <w:t xml:space="preserve"> Approval years and ramps for partner programs in Figures D1 and D3: large indications ≈300 → ~1,200 → ~2,200 → steady; one-year ramp for ultra-rare. Judgment.</w:t>
      </w:r>
    </w:p>
    <w:p>
      <w:pPr>
        <w:pStyle w:val="ListBullet"/>
      </w:pPr>
      <w:r>
        <w:rPr>
          <w:b/>
        </w:rPr>
        <w:t>S38</w:t>
      </w:r>
      <w:r>
        <w:t xml:space="preserve"> CAL incremental opex 20% of CAL revenue (lease and staff already in core opex, G9); CAL gross margin = core 62.9% (S13). Judgment.</w:t>
      </w:r>
    </w:p>
    <w:p>
      <w:pPr>
        <w:pStyle w:val="ListBullet"/>
      </w:pPr>
      <w:r>
        <w:rPr>
          <w:b/>
        </w:rPr>
        <w:t>S29</w:t>
      </w:r>
      <w:r>
        <w:t xml:space="preserve"> Finagle filled inputs: 15-year horizon (FY2040E; Finagle fades gsnext linearly to its default gt at year 15); cost of debt 9.2% (C63); tax 21%; non-operating assets 0; working-capital change 0; distributions "none" (each year's FCFE treated as paid out), no buybacks; debt in target mode at 2.0× EBITDA after the P3 draw. Terminal growth left at the Finagle default.</w:t>
      </w:r>
    </w:p>
    <w:p>
      <w:r>
        <w:rPr>
          <w:b/>
        </w:rPr>
        <w:t>Calculations</w:t>
      </w:r>
    </w:p>
    <w:p>
      <w:pPr>
        <w:pStyle w:val="ListBullet"/>
      </w:pPr>
      <w:r>
        <w:rPr>
          <w:b/>
        </w:rPr>
        <w:t>C1</w:t>
      </w:r>
      <w:r>
        <w:t xml:space="preserve"> FY2025A / FY2024A − 1 (A1, A2).</w:t>
      </w:r>
    </w:p>
    <w:p>
      <w:pPr>
        <w:pStyle w:val="ListBullet"/>
      </w:pPr>
      <w:r>
        <w:rPr>
          <w:b/>
        </w:rPr>
        <w:t>C2</w:t>
      </w:r>
      <w:r>
        <w:t xml:space="preserve"> H1 2026A EBITDA −12.990 = A5 sum.</w:t>
      </w:r>
    </w:p>
    <w:p>
      <w:pPr>
        <w:pStyle w:val="ListBullet"/>
      </w:pPr>
      <w:r>
        <w:rPr>
          <w:b/>
        </w:rPr>
        <w:t>C3</w:t>
      </w:r>
      <w:r>
        <w:t xml:space="preserve"> H2 2026E = E1 − A4 = 25.992.</w:t>
      </w:r>
    </w:p>
    <w:p>
      <w:pPr>
        <w:pStyle w:val="ListBullet"/>
      </w:pPr>
      <w:r>
        <w:rPr>
          <w:b/>
        </w:rPr>
        <w:t>C4</w:t>
      </w:r>
      <w:r>
        <w:t xml:space="preserve"> Consensus H2 / unscaled H2 build = 25.992 / 24.26 ≈ 1.07.</w:t>
      </w:r>
    </w:p>
    <w:p>
      <w:pPr>
        <w:pStyle w:val="ListBullet"/>
      </w:pPr>
      <w:r>
        <w:rPr>
          <w:b/>
        </w:rPr>
        <w:t>C5</w:t>
      </w:r>
      <w:r>
        <w:t xml:space="preserve"> FY2026E line = A4 + H2E.</w:t>
      </w:r>
    </w:p>
    <w:p>
      <w:pPr>
        <w:pStyle w:val="ListBullet"/>
      </w:pPr>
      <w:r>
        <w:rPr>
          <w:b/>
        </w:rPr>
        <w:t>C6</w:t>
      </w:r>
      <w:r>
        <w:t xml:space="preserve"> FY2027E core consensus / unscaled build = 56.55 / 54.48 ≈ 1.04.</w:t>
      </w:r>
    </w:p>
    <w:p>
      <w:pPr>
        <w:pStyle w:val="ListBullet"/>
      </w:pPr>
      <w:r>
        <w:rPr>
          <w:b/>
        </w:rPr>
        <w:t>C7</w:t>
      </w:r>
      <w:r>
        <w:t xml:space="preserve"> Total = core (E1, S7, S26) + CAL uplift (S37) + procedure line (P2): 63.150 / 122.033 / 230.567 / 319.886 / 410.426 (FY2027E–31E).</w:t>
      </w:r>
    </w:p>
    <w:p>
      <w:pPr>
        <w:pStyle w:val="ListBullet"/>
      </w:pPr>
      <w:r>
        <w:rPr>
          <w:b/>
        </w:rPr>
        <w:t>C8</w:t>
      </w:r>
      <w:r>
        <w:t xml:space="preserve"> Gross margin: 22.692 / 36.971 = 61.4% (FY2025A); H1 2026A 62.9% (D3).</w:t>
      </w:r>
    </w:p>
    <w:p>
      <w:pPr>
        <w:pStyle w:val="ListBullet"/>
      </w:pPr>
      <w:r>
        <w:rPr>
          <w:b/>
        </w:rPr>
        <w:t>C9</w:t>
      </w:r>
      <w:r>
        <w:t xml:space="preserve"> FY2026E EBITDA = H1 + H2 revenue × GM − H2 opex = −23.555.</w:t>
      </w:r>
    </w:p>
    <w:p>
      <w:pPr>
        <w:pStyle w:val="ListBullet"/>
      </w:pPr>
      <w:r>
        <w:rPr>
          <w:b/>
        </w:rPr>
        <w:t>C10</w:t>
      </w:r>
      <w:r>
        <w:t xml:space="preserve"> EBITDA / revenue.</w:t>
      </w:r>
    </w:p>
    <w:p>
      <w:pPr>
        <w:pStyle w:val="ListBullet"/>
      </w:pPr>
      <w:r>
        <w:rPr>
          <w:b/>
        </w:rPr>
        <w:t>C11</w:t>
      </w:r>
      <w:r>
        <w:t xml:space="preserve"> Growth ratios of consecutive EBITDA levels (negative base).</w:t>
      </w:r>
    </w:p>
    <w:p>
      <w:pPr>
        <w:pStyle w:val="ListBullet"/>
      </w:pPr>
      <w:r>
        <w:rPr>
          <w:b/>
        </w:rPr>
        <w:t>C12</w:t>
      </w:r>
      <w:r>
        <w:t xml:space="preserve"> FY2031E EBITDA / revenue = 0.416 (bear 0.143, bull 0.448); see C65.</w:t>
      </w:r>
    </w:p>
    <w:p>
      <w:pPr>
        <w:pStyle w:val="ListBullet"/>
      </w:pPr>
      <w:r>
        <w:rPr>
          <w:b/>
        </w:rPr>
        <w:t>C13</w:t>
      </w:r>
      <w:r>
        <w:t xml:space="preserve"> (36.971 − 36.0) / (41.0 − 36.0) = 0.19 (G1, A1).</w:t>
      </w:r>
    </w:p>
    <w:p>
      <w:pPr>
        <w:pStyle w:val="ListBullet"/>
      </w:pPr>
      <w:r>
        <w:rPr>
          <w:b/>
        </w:rPr>
        <w:t>C14</w:t>
      </w:r>
      <w:r>
        <w:t xml:space="preserve"> Superseded (Oct 25, 2026 run, $54.29 base); see C56.</w:t>
      </w:r>
    </w:p>
    <w:p>
      <w:pPr>
        <w:pStyle w:val="ListBullet"/>
      </w:pPr>
      <w:r>
        <w:rPr>
          <w:b/>
        </w:rPr>
        <w:t>C15</w:t>
      </w:r>
      <w:r>
        <w:t xml:space="preserve"> Superseded (Oct 25, 2026 run, $72.68 bull); see C57.</w:t>
      </w:r>
    </w:p>
    <w:p>
      <w:pPr>
        <w:pStyle w:val="ListBullet"/>
      </w:pPr>
      <w:r>
        <w:rPr>
          <w:b/>
        </w:rPr>
        <w:t>C16</w:t>
      </w:r>
      <w:r>
        <w:t xml:space="preserve"> Superseded (Oct 25, 2026 run, $16.72 bear); see C58.</w:t>
      </w:r>
    </w:p>
    <w:p>
      <w:pPr>
        <w:pStyle w:val="ListBullet"/>
      </w:pPr>
      <w:r>
        <w:rPr>
          <w:b/>
        </w:rPr>
        <w:t>C17</w:t>
      </w:r>
      <w:r>
        <w:t xml:space="preserve"> Superseded; see C59.</w:t>
      </w:r>
    </w:p>
    <w:p>
      <w:pPr>
        <w:pStyle w:val="ListBullet"/>
      </w:pPr>
      <w:r>
        <w:rPr>
          <w:b/>
        </w:rPr>
        <w:t>C18</w:t>
      </w:r>
      <w:r>
        <w:t xml:space="preserve"> Line share = line / A1 total.</w:t>
      </w:r>
    </w:p>
    <w:p>
      <w:pPr>
        <w:pStyle w:val="ListBullet"/>
      </w:pPr>
      <w:r>
        <w:rPr>
          <w:b/>
        </w:rPr>
        <w:t>C21</w:t>
      </w:r>
      <w:r>
        <w:t xml:space="preserve"> Treatable / diagnosed = 6,000 / 20,000 = 30% (G8).</w:t>
      </w:r>
    </w:p>
    <w:p>
      <w:pPr>
        <w:pStyle w:val="ListBullet"/>
      </w:pPr>
      <w:r>
        <w:rPr>
          <w:b/>
        </w:rPr>
        <w:t>C23</w:t>
      </w:r>
      <w:r>
        <w:t xml:space="preserve"> US HD incidence = 335M (S28) × 1.22/100k (A7) = 4,087 a year.</w:t>
      </w:r>
    </w:p>
    <w:p>
      <w:pPr>
        <w:pStyle w:val="ListBullet"/>
      </w:pPr>
      <w:r>
        <w:rPr>
          <w:b/>
        </w:rPr>
        <w:t>C24</w:t>
      </w:r>
      <w:r>
        <w:t xml:space="preserve"> US + UK = 4,087 + 68M (S28) × 0.67/100k (A8) = 4,543.</w:t>
      </w:r>
    </w:p>
    <w:p>
      <w:pPr>
        <w:pStyle w:val="ListBullet"/>
      </w:pPr>
      <w:r>
        <w:rPr>
          <w:b/>
        </w:rPr>
        <w:t>C25</w:t>
      </w:r>
      <w:r>
        <w:t xml:space="preserve"> 3,000 / 4,087 = 73%; 3,000 / 4,543 = 66% (bull 3,500: 86% / 77%).</w:t>
      </w:r>
    </w:p>
    <w:p>
      <w:pPr>
        <w:pStyle w:val="ListBullet"/>
      </w:pPr>
      <w:r>
        <w:rPr>
          <w:b/>
        </w:rPr>
        <w:t>C27</w:t>
      </w:r>
      <w:r>
        <w:t xml:space="preserve"> Superseded; see C60.</w:t>
      </w:r>
    </w:p>
    <w:p>
      <w:pPr>
        <w:pStyle w:val="ListBullet"/>
      </w:pPr>
      <w:r>
        <w:rPr>
          <w:b/>
        </w:rPr>
        <w:t>C28</w:t>
      </w:r>
      <w:r>
        <w:t xml:space="preserve"> Superseded; see C61.</w:t>
      </w:r>
    </w:p>
    <w:p>
      <w:pPr>
        <w:pStyle w:val="ListBullet"/>
      </w:pPr>
      <w:r>
        <w:rPr>
          <w:b/>
        </w:rPr>
        <w:t>C29</w:t>
      </w:r>
      <w:r>
        <w:t xml:space="preserve"> Superseded (earlier gsnext derivation, Oct 25, 2026); the valuation uses 15% from P3.</w:t>
      </w:r>
    </w:p>
    <w:p>
      <w:pPr>
        <w:pStyle w:val="ListBullet"/>
      </w:pPr>
      <w:r>
        <w:rPr>
          <w:b/>
        </w:rPr>
        <w:t>C33</w:t>
      </w:r>
      <w:r>
        <w:t xml:space="preserve"> Steady state / 90,000 (A9): 4,500 = 5.0%; 10,837 = 12.0%; 13,530 = 15.0%.</w:t>
      </w:r>
    </w:p>
    <w:p>
      <w:pPr>
        <w:pStyle w:val="ListBullet"/>
      </w:pPr>
      <w:r>
        <w:rPr>
          <w:b/>
        </w:rPr>
        <w:t>C34</w:t>
      </w:r>
      <w:r>
        <w:t xml:space="preserve"> Superseded; see C65.</w:t>
      </w:r>
    </w:p>
    <w:p>
      <w:pPr>
        <w:pStyle w:val="ListBullet"/>
      </w:pPr>
      <w:r>
        <w:rPr>
          <w:b/>
        </w:rPr>
        <w:t>C35</w:t>
      </w:r>
      <w:r>
        <w:t xml:space="preserve"> CAL FY2031E EBITDA = 29.0 × (62.9% − 20%) = 12.4 (S13, S37, S38).</w:t>
      </w:r>
    </w:p>
    <w:p>
      <w:pPr>
        <w:pStyle w:val="ListBullet"/>
      </w:pPr>
      <w:r>
        <w:rPr>
          <w:b/>
        </w:rPr>
        <w:t>C40</w:t>
      </w:r>
      <w:r>
        <w:t xml:space="preserve"> One-time PD class demand = one-time treated in the eligible-pool model (6% of the opening pool from FY2029E, S45; DBS not deducted, S44): 11,756 / 11,391 / 11,126 / 10,945 (FY2029E–32E); 10,837 (FY2033E); 10,792 (FY2034E); 10,801 (FY2035E); 11,454 (FY2040E); 12,780 (FY2045E). Growth FY2033E–40E 0.8% a year. Appendix C. FY2032E onward is demand context; the valuation does not use it (P3).</w:t>
      </w:r>
    </w:p>
    <w:p>
      <w:pPr>
        <w:pStyle w:val="ListBullet"/>
      </w:pPr>
      <w:r>
        <w:rPr>
          <w:b/>
        </w:rPr>
        <w:t>C46</w:t>
      </w:r>
      <w:r>
        <w:t xml:space="preserve"> Bull class demand = pool model (C45 inputs) re-run with 8% treated from FY2029E (S59): 15,674 / 14,875 / 14,272 / 13,833 (FY2029E–32E); 13,530 (FY2033E); 13,250 (FY2035E); 13,792 (FY2040E). Steady-state treated share of entrants 0.08 / (0.095 + 0.08 + 0.029) = 39%.</w:t>
      </w:r>
    </w:p>
    <w:p>
      <w:pPr>
        <w:pStyle w:val="ListBullet"/>
      </w:pPr>
      <w:r>
        <w:rPr>
          <w:b/>
        </w:rPr>
        <w:t>C48</w:t>
      </w:r>
      <w:r>
        <w:t xml:space="preserve"> Superseded (Oct 25, 2026 value decomposition on earlier inputs; not used).</w:t>
      </w:r>
    </w:p>
    <w:p>
      <w:pPr>
        <w:pStyle w:val="ListBullet"/>
      </w:pPr>
      <w:r>
        <w:rPr>
          <w:b/>
        </w:rPr>
        <w:t>C49</w:t>
      </w:r>
      <w:r>
        <w:t xml:space="preserve"> DBS rate = 3,990 DBS a year (A10) ÷ eligible pool: 179,813 at start FY2026E = 2.2%; 190,401 at start FY2028E = 2.1%. 6% ÷ 2.2% = 2.7. Against a pool excluding prior-DBS patients (137,813) the same 3,990 is 2.9%. Pool model.</w:t>
      </w:r>
    </w:p>
    <w:p>
      <w:pPr>
        <w:pStyle w:val="ListBullet"/>
      </w:pPr>
      <w:r>
        <w:rPr>
          <w:b/>
        </w:rPr>
        <w:t>C41</w:t>
      </w:r>
      <w:r>
        <w:t xml:space="preserve"> FY2026E US PD prevalence = log-linear interpolation of 930,000 (2020) and 1,238,000 (2030) (A30): growth 2.9% a year, 1.104M in FY2026E.</w:t>
      </w:r>
    </w:p>
    <w:p>
      <w:pPr>
        <w:pStyle w:val="ListBullet"/>
      </w:pPr>
      <w:r>
        <w:rPr>
          <w:b/>
        </w:rPr>
        <w:t>C42</w:t>
      </w:r>
      <w:r>
        <w:t xml:space="preserve"> Eligible pool FY2026E = 1.104M (C41) × (0.729 − 0.28) (A31, A32, C44) × 0.50 (S46) × 0.806 (A35) × 0.90 (S47) = 179,813, 16.3% of PD; patients who have had DBS included (S44).</w:t>
      </w:r>
    </w:p>
    <w:p>
      <w:pPr>
        <w:pStyle w:val="ListBullet"/>
      </w:pPr>
      <w:r>
        <w:rPr>
          <w:b/>
        </w:rPr>
        <w:t>C43</w:t>
      </w:r>
      <w:r>
        <w:t xml:space="preserve"> Superseded (Oct 25, 2026 add-on runs on earlier inputs; not used).</w:t>
      </w:r>
    </w:p>
    <w:p>
      <w:pPr>
        <w:pStyle w:val="ListBullet"/>
      </w:pPr>
      <w:r>
        <w:rPr>
          <w:b/>
        </w:rPr>
        <w:t>C44</w:t>
      </w:r>
      <w:r>
        <w:t xml:space="preserve"> Share of prevalent patients diagnosed four or more years = exp(−4 × (0.05 + 0.029)) = 0.73, survival loss 5% a year (A31) weighted for 2.9% prevalence growth (C41); cross-check 1.1M prevalent / 90,000 new a year ≈ 12 years lived with diagnosis (A9). Dementia (0.28, midpoint of A32) is subtracted from this group, not multiplied.</w:t>
      </w:r>
    </w:p>
    <w:p>
      <w:pPr>
        <w:pStyle w:val="ListBullet"/>
      </w:pPr>
      <w:r>
        <w:rPr>
          <w:b/>
        </w:rPr>
        <w:t>C45</w:t>
      </w:r>
      <w:r>
        <w:t xml:space="preserve"> Leave rate m = 5% death (A31) + 4.45% new dementia (A39) = 0.095 a year; entrants FY2026E = (m + g) × pool = 0.124 × 179,813 = 22,300, growing 2.9% a year; no one-time therapy before launch, so the pool grows at g to FY2028E; pool end = start + entrants − leavers − treated.</w:t>
      </w:r>
    </w:p>
    <w:p>
      <w:pPr>
        <w:pStyle w:val="ListBullet"/>
      </w:pPr>
      <w:r>
        <w:rPr>
          <w:b/>
        </w:rPr>
        <w:t>C50</w:t>
      </w:r>
      <w:r>
        <w:t xml:space="preserve"> Partner steady states = Figure D2 funnel results, rounded (PD to 100s; AVB-101 to 5s). </w:t>
      </w:r>
      <w:r>
        <w:rPr>
          <w:b/>
        </w:rPr>
        <w:t>C52</w:t>
      </w:r>
      <w:r>
        <w:t xml:space="preserve"> NRTX-1001 = 10,500 × 0.85 × 0.5 × 0.5 × 0.8 × 0.7 = 1,249 + 167,000 (A21 mid) × 11.9% ÷ 10 = 1,987 → 3,200. </w:t>
      </w:r>
      <w:r>
        <w:rPr>
          <w:b/>
        </w:rPr>
        <w:t>C53</w:t>
      </w:r>
      <w:r>
        <w:t xml:space="preserve"> FTD-GRN incidence = ~83M US aged 45–64 (unsourced) × 3.4/100k ≈ 2,800 × 5% = 140.</w:t>
      </w:r>
    </w:p>
    <w:p>
      <w:pPr>
        <w:pStyle w:val="ListBullet"/>
      </w:pPr>
      <w:r>
        <w:rPr>
          <w:b/>
        </w:rPr>
        <w:t>C54</w:t>
      </w:r>
      <w:r>
        <w:t xml:space="preserve"> Illustrative non-BlueRock PD rows = min(launch ramp, S52 share of class demand C40 less BRT-DA01) each year; all zero to FY2031E because their launches are after FY2031E. Not used in the valuation, which uses the class (S62).</w:t>
      </w:r>
    </w:p>
    <w:p>
      <w:pPr>
        <w:pStyle w:val="ListBullet"/>
      </w:pPr>
      <w:r>
        <w:rPr>
          <w:b/>
        </w:rPr>
        <w:t>C55</w:t>
      </w:r>
      <w:r>
        <w:t xml:space="preserve"> Bear class demand = pool model with patients who have had DBS excluded (3,990 ÷ 0.095 ≈ 42,000; pool 137,813, trial-style, A41), 6% treated: 9,010 / 8,731 / 8,527 / 8,389 (FY2029E–32E); 8,306 (FY2033E). Above bear volume through FY2031E (S43); FY2032E–33E are demand context.</w:t>
      </w:r>
    </w:p>
    <w:p>
      <w:pPr>
        <w:pStyle w:val="ListBullet"/>
      </w:pPr>
      <w:r>
        <w:rPr>
          <w:b/>
        </w:rPr>
        <w:t>C56</w:t>
      </w:r>
      <w:r>
        <w:t xml:space="preserve"> Finagle base (D77): value per share $65.20 (65.2013, FCFE and DDM equal); equity $1,942.9M; enterprise value $1,992.0M; terminal FCFE $260.1M; terminal value (FY2040E) $4,728.3M; re 10.453% = 4.953% (^TNX, Oct 23, 2026) + 5.5%; gt 4.953%; rd 9.2%; roict 25%; debt peak $939.0M (FY2040E); min cash $18.7M; flags "negative FCFE after year 1".</w:t>
      </w:r>
    </w:p>
    <w:p>
      <w:pPr>
        <w:pStyle w:val="ListBullet"/>
      </w:pPr>
      <w:r>
        <w:rPr>
          <w:b/>
        </w:rPr>
        <w:t>C57</w:t>
      </w:r>
      <w:r>
        <w:t xml:space="preserve"> Finagle bull (D77): $88.36 (88.355); equity $2,649.2M; enterprise value $2,698.3M; terminal FCFE $348.9M; debt peak $1,253.9M (FY2040E); flags "negative FCFE after year 1".</w:t>
      </w:r>
    </w:p>
    <w:p>
      <w:pPr>
        <w:pStyle w:val="ListBullet"/>
      </w:pPr>
      <w:r>
        <w:rPr>
          <w:b/>
        </w:rPr>
        <w:t>C58</w:t>
      </w:r>
      <w:r>
        <w:t xml:space="preserve"> Finagle bear (D77): $14.56 (14.5577); equity $398.1M; enterprise value $447.2M; terminal FCFE $77.7M; debt peak $287.6M (FY2040E); min cash −$98.0M (FY2030E–32E); flags "negative cash", "negative FCFE after year 1".</w:t>
      </w:r>
    </w:p>
    <w:p>
      <w:pPr>
        <w:pStyle w:val="ListBullet"/>
      </w:pPr>
      <w:r>
        <w:rPr>
          <w:b/>
        </w:rPr>
        <w:t>C59</w:t>
      </w:r>
      <w:r>
        <w:t xml:space="preserve"> 65.20 / 9.25 − 1 = 604.9%; 88.36 / 9.25 − 1 = 855.2%; 14.56 / 9.25 − 1 = 57.4%. Price from Finagle's baseline data (Yahoo previous close, Oct 23, 2026).</w:t>
      </w:r>
    </w:p>
    <w:p>
      <w:pPr>
        <w:pStyle w:val="ListBullet"/>
      </w:pPr>
      <w:r>
        <w:rPr>
          <w:b/>
        </w:rPr>
        <w:t>C60</w:t>
      </w:r>
      <w:r>
        <w:t xml:space="preserve"> PV split (D77, sensitivity_v11.py): per-share FCFE each year discounted at re to FY2025A; explicit FY2026E–31E = base $7.74 / bull $12.12 / bear −$3.34; fade FY2032E–40E = $21.06 / $27.92 / $5.97; opening cash $45.9M ÷ 30.503M = $1.51; terminal = value − explicit − fade − cash = $34.89 / $46.81 / $10.42 (base check: $4,728.3M ÷ 1.10453^15 ÷ 30.503M ≈ $34.9). Shares: terminal 34.89 / 65.20 = 53.5%, 46.81 / 88.36 = 53.0%, 10.42 / 14.56 = 71.6%; after FY2031E (21.06 + 34.89) / 65.20 = 85.8%, (27.92 + 46.81) / 88.36 = 84.6%, (5.97 + 10.42) / 14.56 = 112.6%.</w:t>
      </w:r>
    </w:p>
    <w:p>
      <w:pPr>
        <w:pStyle w:val="ListBullet"/>
      </w:pPr>
      <w:r>
        <w:rPr>
          <w:b/>
        </w:rPr>
        <w:t>C61</w:t>
      </w:r>
      <w:r>
        <w:t xml:space="preserve"> Sensitivities: Finagle reruns of each case (D77) with re ±1 pt, mc ±0.10, gsnext ±5 pts and roict 20% / 30%, one at a time; SBC path rebuilt from each rerun's EBITDA; terminal growth unchanged.</w:t>
      </w:r>
    </w:p>
    <w:p>
      <w:pPr>
        <w:pStyle w:val="ListBullet"/>
      </w:pPr>
      <w:r>
        <w:rPr>
          <w:b/>
        </w:rPr>
        <w:t>C62</w:t>
      </w:r>
      <w:r>
        <w:t xml:space="preserve"> Dilution estimate (P3): 65.20 × 0.90 = 58.68; 88.36 × 0.90 = 79.52; 14.56 × 0.90 = 13.10; vs. $9.25: +534.4%, +759.7%, +41.6%.</w:t>
      </w:r>
    </w:p>
    <w:p>
      <w:pPr>
        <w:pStyle w:val="ListBullet"/>
      </w:pPr>
      <w:r>
        <w:rPr>
          <w:b/>
        </w:rPr>
        <w:t>C63</w:t>
      </w:r>
      <w:r>
        <w:t xml:space="preserve"> Cost of debt: 8.25% minimum coupon + ≈0.7% (2% issue discount and costs spread over the term) + ≈0.25% (revenue participation 0.375% + 0.15% of net revenue up to $50M from 2027) ≈ 9.2% (D2; P3). Reported effective rate 11.3% at June 30, 2026 (D2) not used, to avoid double counting.</w:t>
      </w:r>
    </w:p>
    <w:p>
      <w:pPr>
        <w:pStyle w:val="ListBullet"/>
      </w:pPr>
      <w:r>
        <w:rPr>
          <w:b/>
        </w:rPr>
        <w:t>C64</w:t>
      </w:r>
      <w:r>
        <w:t xml:space="preserve"> Return evidence (roic_evidence.md): EBITDA negative in every year FY2015A–25A, so historical returns are undefined; capex 0.1%–3% of revenue; revenue added per $ of capex 12.5–34. Forecast capex is about 10% of revenue. David's 25% (P3) is within the 20%–50%+ range this supports on physical capital.</w:t>
      </w:r>
    </w:p>
    <w:p>
      <w:pPr>
        <w:pStyle w:val="ListBullet"/>
      </w:pPr>
      <w:r>
        <w:rPr>
          <w:b/>
        </w:rPr>
        <w:t>C65</w:t>
      </w:r>
      <w:r>
        <w:t xml:space="preserve"> Growth path = consecutive Finagle revenue (D77); me = FY2031E EBITDA ÷ revenue: base 170.8 / 410.4 = 41.6%, bull 44.8%, bear 14.3%.</w:t>
      </w:r>
    </w:p>
    <w:p>
      <w:pPr>
        <w:pStyle w:val="ListBullet"/>
      </w:pPr>
      <w:r>
        <w:rPr>
          <w:b/>
        </w:rPr>
        <w:t>C30</w:t>
      </w:r>
      <w:r>
        <w:t xml:space="preserve"> Finagle template table: Finagle's annual output for each case, laid out row for row as in Finagle's standard company template.</w:t>
      </w:r>
    </w:p>
    <w:p>
      <w:r>
        <w:rPr>
          <w:b/>
        </w:rPr>
        <w:t>Not verified</w:t>
      </w:r>
    </w:p>
    <w:p>
      <w:pPr>
        <w:pStyle w:val="ListBullet"/>
      </w:pPr>
      <w:r>
        <w:t>D7: Q4 2025 call transcript read via a transcript copy; link unverified.</w:t>
      </w:r>
    </w:p>
    <w:p>
      <w:pPr>
        <w:pStyle w:val="ListBullet"/>
      </w:pPr>
      <w:r>
        <w:t>D14: 2017 revenue taken from a secondary extract of the filing; document not opened, page unverified.</w:t>
      </w:r>
    </w:p>
    <w:p>
      <w:pPr>
        <w:pStyle w:val="ListBullet"/>
      </w:pPr>
      <w:r>
        <w:t>Burnett's shareholding: not sourced.</w:t>
      </w:r>
    </w:p>
    <w:p>
      <w:pPr>
        <w:pStyle w:val="ListBullet"/>
      </w:pPr>
      <w:r>
        <w:t>Consensus treatment of approval revenue (S19): unverified.</w:t>
      </w:r>
    </w:p>
    <w:p>
      <w:pPr>
        <w:pStyle w:val="ListBullet"/>
      </w:pPr>
      <w:r>
        <w:t>No BlueRock–ClearPoint or uniQure–ClearPoint commercial supply agreement was found.</w:t>
      </w:r>
    </w:p>
    <w:p>
      <w:pPr>
        <w:pStyle w:val="ListBullet"/>
      </w:pPr>
      <w:r>
        <w:t>D19 (Bayer readout 2028–29): Reuters article paywalled; read via search snippet only.</w:t>
      </w:r>
    </w:p>
    <w:p>
      <w:pPr>
        <w:pStyle w:val="ListBullet"/>
      </w:pPr>
      <w:r>
        <w:t>S23 procedure gross margin: no disposables margin disclosed.</w:t>
      </w:r>
    </w:p>
    <w:p>
      <w:pPr>
        <w:pStyle w:val="ListBullet"/>
      </w:pPr>
      <w:r>
        <w:t>S28 US (335M) and UK (68M) populations: approximations, unsourced.</w:t>
      </w:r>
    </w:p>
    <w:p>
      <w:pPr>
        <w:pStyle w:val="ListBullet"/>
      </w:pPr>
      <w:r>
        <w:t>A8 UK incidence taken from the D24 meta-analysis compilation, primary study not opened.</w:t>
      </w:r>
    </w:p>
    <w:p>
      <w:pPr>
        <w:pStyle w:val="ListBullet"/>
      </w:pPr>
      <w:r>
        <w:t>A10 DBS counts are inpatient (NIS); outpatient DBS is not captured, so the DBS calibration may understate the surgical market.</w:t>
      </w:r>
    </w:p>
    <w:p>
      <w:pPr>
        <w:pStyle w:val="ListBullet"/>
      </w:pPr>
      <w:r>
        <w:t>D27: abstract only; full text not opened. A12's 10–15% is a widely quoted estimate, not a US measurement, and its criteria are not stated (likewise A36).</w:t>
      </w:r>
    </w:p>
    <w:p>
      <w:pPr>
        <w:pStyle w:val="ListBullet"/>
      </w:pPr>
      <w:r>
        <w:t>Zolgensma uptake: not sourced, so not used as an analog.</w:t>
      </w:r>
    </w:p>
    <w:p>
      <w:pPr>
        <w:pStyle w:val="ListBullet"/>
      </w:pPr>
      <w:r>
        <w:t>G9–G11 quotes read from a transcript copy copies of D6/D7 (Seeking Alpha, paywalled).</w:t>
      </w:r>
    </w:p>
    <w:p>
      <w:pPr>
        <w:pStyle w:val="ListBullet"/>
      </w:pPr>
      <w:r>
        <w:t>Parkinson's pool (Appendix C): motor-complication share (S46), fitness (S47), the 6% treatment rate (S45, about 2.7 times the DBS rate; the multiple is unsupported by any published study), keeping patients who have had DBS in the pool (S44; trials exclude them, A41; the combination evidence is small case series read as abstracts, A42, A43), the three-year ramp (S64) and the 100% platform share (S63; partly supported: no Brainlab CED cannula found, but Renishaw has an investigational MRI-compatible CED system, D63–D67) are judgments or approximations. Inputs A30–A40 are carried from the pool model's sources and were not re-opened for this report; several (D34, D35, D38, D51–D53) are cited from abstracts.</w:t>
      </w:r>
    </w:p>
    <w:p>
      <w:pPr>
        <w:pStyle w:val="ListBullet"/>
      </w:pPr>
      <w:r>
        <w:t>C44: the 0.73 share diagnosed four or more years is a model calculation; no source gives it directly.</w:t>
      </w:r>
    </w:p>
    <w:p>
      <w:pPr>
        <w:pStyle w:val="ListBullet"/>
      </w:pPr>
      <w:r>
        <w:t>Partner programs (Appendix D): designations are not printed on slide 23 (D40) and come from partner releases. Siren SRN-101: no FDA designation found. KEBILIDI: RMAT/Fast Track not confirmed (Priority Review, Orphan and rare pediatric disease voucher confirmed). Three undisclosed programs (two PD, one Friedreich's ataxia) are not quantified. US population aged 45–64 (~83M) in C53 is not sourced. A21 and A22 were read from abstracts or search snippets; the ASPIRE-FTD age range is from Practical Neurology, not the registry. KEBILIDI procedure volumes are not disclosed.</w:t>
      </w:r>
    </w:p>
    <w:p>
      <w:pPr>
        <w:pStyle w:val="Heading3"/>
        <w:keepNext/>
        <w:keepLines/>
      </w:pPr>
      <w:r>
        <w:t>Appendix C – Parkinson's eligible-pool model</w:t>
      </w:r>
    </w:p>
    <w:p>
      <w:r>
        <w:t>This appendix sets out the model behind Parkinson's demand in the forecast (Section 5, Figure 4b). It works at the level of the class of one-time cell and gene therapies, not any single product, and it is a single central scenario. Each input is either a published statistic or a labelled judgment.</w:t>
      </w:r>
    </w:p>
    <w:p>
      <w:r>
        <w:rPr>
          <w:b/>
        </w:rPr>
        <w:t>Starting prevalence.</w:t>
      </w:r>
      <w:r>
        <w:t xml:space="preserve"> We start from the Parkinson's Foundation prevalence project, which estimates at least 930,000 Americans aged 45 or over with PD in 2020 and 1,238,000 in 2030 [A30]. Interpolating log-linearly between these points implies growth of 2.9% a year and about 1.10 million patients in FY2026E [C41]. The authors call their figures minimum estimates, because they rely on diagnosed, recorded cases [A30]. The Foundation quotes the same 1.2 million for 2030 [A15].</w:t>
      </w:r>
    </w:p>
    <w:p>
      <w:r>
        <w:rPr>
          <w:b/>
        </w:rPr>
        <w:t>Medical eligibility.</w:t>
      </w:r>
      <w:r>
        <w:t xml:space="preserve"> Eligibility follows the DBS label rather than trial entry criteria: levodopa-responsive PD of at least four years' duration, with motor complications, no dementia and fit for surgery. There is no age cap.</w:t>
      </w:r>
    </w:p>
    <w:p>
      <w:pPr>
        <w:pStyle w:val="ListBullet"/>
      </w:pPr>
      <w:r>
        <w:rPr>
          <w:i/>
        </w:rPr>
        <w:t>Duration.</w:t>
      </w:r>
      <w:r>
        <w:t xml:space="preserve"> Survival in PD falls by about 5% for each year of follow-up [A31]. With prevalence growing 2.9% a year, about 73% of prevalent patients were diagnosed four or more years ago [C44]. As a check, about 90,000 new diagnoses a year [A9] against 1.1 million prevalent cases implies about 12 years lived with the diagnosis on average, which gives a similar share [C44].</w:t>
      </w:r>
    </w:p>
    <w:p>
      <w:pPr>
        <w:pStyle w:val="ListBullet"/>
      </w:pPr>
      <w:r>
        <w:rPr>
          <w:i/>
        </w:rPr>
        <w:t>Dementia.</w:t>
      </w:r>
      <w:r>
        <w:t xml:space="preserve"> A systematic review puts the point prevalence of dementia in PD at 24.5% across all studies and 31.1% in the highest-quality ones [A32]; we use 28%. Dementia is rare in the first years after diagnosis, so we subtract it from the four-year group rather than multiply. That leaves 45% of all patients [C44].</w:t>
      </w:r>
    </w:p>
    <w:p>
      <w:pPr>
        <w:pStyle w:val="ListBullet"/>
      </w:pPr>
      <w:r>
        <w:rPr>
          <w:i/>
        </w:rPr>
        <w:t>Motor complications.</w:t>
      </w:r>
      <w:r>
        <w:t xml:space="preserve"> We assume half of that group have them [S46] ★. In 3,343 UK patients, off periods affected 35% at 4–6 years and 59% at 8–10 years [A33]. A population-based incident cohort found motor fluctuations in 54% by five years [A34].</w:t>
      </w:r>
    </w:p>
    <w:p>
      <w:pPr>
        <w:pStyle w:val="ListBullet"/>
      </w:pPr>
      <w:r>
        <w:rPr>
          <w:i/>
        </w:rPr>
        <w:t>Diagnosis.</w:t>
      </w:r>
      <w:r>
        <w:t xml:space="preserve"> About 81% are taken to have true, levodopa-responsive idiopathic PD, the pooled accuracy of clinical diagnosis against pathology [A35]. It is a proxy, not a measured response rate.</w:t>
      </w:r>
    </w:p>
    <w:p>
      <w:pPr>
        <w:pStyle w:val="ListBullet"/>
      </w:pPr>
      <w:r>
        <w:rPr>
          <w:i/>
        </w:rPr>
        <w:t>Fitness.</w:t>
      </w:r>
      <w:r>
        <w:t xml:space="preserve"> We assume 90% are fit for neurosurgery [S47] ★. We found no population figure.</w:t>
      </w:r>
    </w:p>
    <w:p>
      <w:r>
        <w:rPr>
          <w:b/>
        </w:rPr>
        <w:t>Patients who have had DBS.</w:t>
      </w:r>
      <w:r>
        <w:t xml:space="preserve"> About 3,990 PD patients receive DBS each year [A10]. They stay in the pool. Every one-time-therapy trial we checked excludes prior DBS [A41], but no registry entry gives a biological or safety reason, and DBS has been combined with grafts in both orders in small case series [A42][A43]. We therefore treat the exclusion as a trial-entry rule, not a label rule [S44] ★. The bear applies it: removing the roughly 42,000 living DBS patients (3,990 a year ÷ the 0.095 leave rate) leaves about 138,000 [C55].</w:t>
      </w:r>
    </w:p>
    <w:p>
      <w:pPr>
        <w:keepNext/>
        <w:keepLines/>
      </w:pPr>
      <w:r>
        <w:t>Figure C1 shows the funnel from prevalence to the medically eligible pool.</w:t>
      </w:r>
    </w:p>
    <w:p>
      <w:pPr>
        <w:keepNext/>
        <w:keepLines/>
      </w:pPr>
      <w:r>
        <w:rPr>
          <w:b/>
        </w:rPr>
        <w:t>Figure C1 – Eligible-pool funnel, FY2026E</w:t>
      </w:r>
    </w:p>
    <w:tbl>
      <w:tblPr>
        <w:tblStyle w:val="TableGrid"/>
        <w:tblW w:type="auto" w:w="0"/>
        <w:tblLook w:firstColumn="1" w:firstRow="1" w:lastColumn="0" w:lastRow="0" w:noHBand="0" w:noVBand="1" w:val="04A0"/>
      </w:tblPr>
      <w:tblGrid>
        <w:gridCol w:w="2635"/>
        <w:gridCol w:w="2635"/>
        <w:gridCol w:w="2635"/>
        <w:gridCol w:w="2635"/>
      </w:tblGrid>
      <w:tr>
        <w:trPr>
          <w:cantSplit/>
          <w:tblHeader/>
        </w:trPr>
        <w:tc>
          <w:tcPr>
            <w:tcW w:type="dxa" w:w="2635"/>
          </w:tcPr>
          <w:p>
            <w:pPr>
              <w:keepNext/>
              <w:keepLines/>
            </w:pPr>
            <w:r>
              <w:rPr>
                <w:b/>
                <w:sz w:val="16"/>
              </w:rPr>
              <w:t>Step</w:t>
            </w:r>
          </w:p>
        </w:tc>
        <w:tc>
          <w:tcPr>
            <w:tcW w:type="dxa" w:w="2635"/>
          </w:tcPr>
          <w:p>
            <w:pPr>
              <w:keepNext/>
              <w:keepLines/>
            </w:pPr>
            <w:r>
              <w:rPr>
                <w:b/>
                <w:sz w:val="16"/>
              </w:rPr>
              <w:t>Factor</w:t>
            </w:r>
          </w:p>
        </w:tc>
        <w:tc>
          <w:tcPr>
            <w:tcW w:type="dxa" w:w="2635"/>
          </w:tcPr>
          <w:p>
            <w:pPr>
              <w:keepNext/>
              <w:keepLines/>
            </w:pPr>
            <w:r>
              <w:rPr>
                <w:b/>
                <w:sz w:val="16"/>
              </w:rPr>
              <w:t>Patients</w:t>
            </w:r>
          </w:p>
        </w:tc>
        <w:tc>
          <w:tcPr>
            <w:tcW w:type="dxa" w:w="2635"/>
          </w:tcPr>
          <w:p>
            <w:pPr>
              <w:keepNext/>
              <w:keepLines/>
            </w:pPr>
            <w:r>
              <w:rPr>
                <w:b/>
                <w:sz w:val="16"/>
              </w:rPr>
              <w:t>Basis</w:t>
            </w:r>
          </w:p>
        </w:tc>
      </w:tr>
      <w:tr>
        <w:trPr>
          <w:cantSplit/>
        </w:trPr>
        <w:tc>
          <w:tcPr>
            <w:tcW w:type="dxa" w:w="2635"/>
          </w:tcPr>
          <w:p>
            <w:pPr>
              <w:keepNext/>
              <w:keepLines/>
            </w:pPr>
            <w:r>
              <w:rPr>
                <w:sz w:val="16"/>
              </w:rPr>
              <w:t>US PD prevalence</w:t>
            </w:r>
          </w:p>
        </w:tc>
        <w:tc>
          <w:tcPr>
            <w:tcW w:type="dxa" w:w="2635"/>
          </w:tcPr>
          <w:p>
            <w:pPr>
              <w:keepNext/>
              <w:keepLines/>
            </w:pPr>
            <w:r>
              <w:rPr>
                <w:sz w:val="16"/>
              </w:rPr>
              <w:t>–</w:t>
            </w:r>
          </w:p>
        </w:tc>
        <w:tc>
          <w:tcPr>
            <w:tcW w:type="dxa" w:w="2635"/>
          </w:tcPr>
          <w:p>
            <w:pPr>
              <w:keepNext/>
              <w:keepLines/>
            </w:pPr>
            <w:r>
              <w:rPr>
                <w:sz w:val="16"/>
              </w:rPr>
              <w:t>1,104,000</w:t>
            </w:r>
          </w:p>
        </w:tc>
        <w:tc>
          <w:tcPr>
            <w:tcW w:type="dxa" w:w="2635"/>
          </w:tcPr>
          <w:p>
            <w:pPr>
              <w:keepNext/>
              <w:keepLines/>
            </w:pPr>
            <w:r>
              <w:rPr>
                <w:sz w:val="16"/>
              </w:rPr>
              <w:t>Published, interpolated [A30][C41]</w:t>
            </w:r>
          </w:p>
        </w:tc>
      </w:tr>
      <w:tr>
        <w:trPr>
          <w:cantSplit/>
        </w:trPr>
        <w:tc>
          <w:tcPr>
            <w:tcW w:type="dxa" w:w="2635"/>
          </w:tcPr>
          <w:p>
            <w:pPr>
              <w:keepNext/>
              <w:keepLines/>
            </w:pPr>
            <w:r>
              <w:rPr>
                <w:sz w:val="16"/>
              </w:rPr>
              <w:t>Diagnosed ≥4 years and no dementia</w:t>
            </w:r>
          </w:p>
        </w:tc>
        <w:tc>
          <w:tcPr>
            <w:tcW w:type="dxa" w:w="2635"/>
          </w:tcPr>
          <w:p>
            <w:pPr>
              <w:keepNext/>
              <w:keepLines/>
            </w:pPr>
            <w:r>
              <w:rPr>
                <w:sz w:val="16"/>
              </w:rPr>
              <w:t>0.73 − 0.28</w:t>
            </w:r>
          </w:p>
        </w:tc>
        <w:tc>
          <w:tcPr>
            <w:tcW w:type="dxa" w:w="2635"/>
          </w:tcPr>
          <w:p>
            <w:pPr>
              <w:keepNext/>
              <w:keepLines/>
            </w:pPr>
            <w:r>
              <w:rPr>
                <w:sz w:val="16"/>
              </w:rPr>
              <w:t>496,000</w:t>
            </w:r>
          </w:p>
        </w:tc>
        <w:tc>
          <w:tcPr>
            <w:tcW w:type="dxa" w:w="2635"/>
          </w:tcPr>
          <w:p>
            <w:pPr>
              <w:keepNext/>
              <w:keepLines/>
            </w:pPr>
            <w:r>
              <w:rPr>
                <w:sz w:val="16"/>
              </w:rPr>
              <w:t>Published, calculated [A31][A32][C44]</w:t>
            </w:r>
          </w:p>
        </w:tc>
      </w:tr>
      <w:tr>
        <w:trPr>
          <w:cantSplit/>
        </w:trPr>
        <w:tc>
          <w:tcPr>
            <w:tcW w:type="dxa" w:w="2635"/>
          </w:tcPr>
          <w:p>
            <w:pPr>
              <w:keepNext/>
              <w:keepLines/>
            </w:pPr>
            <w:r>
              <w:rPr>
                <w:sz w:val="16"/>
              </w:rPr>
              <w:t>Motor complications ★</w:t>
            </w:r>
          </w:p>
        </w:tc>
        <w:tc>
          <w:tcPr>
            <w:tcW w:type="dxa" w:w="2635"/>
          </w:tcPr>
          <w:p>
            <w:pPr>
              <w:keepNext/>
              <w:keepLines/>
            </w:pPr>
            <w:r>
              <w:rPr>
                <w:sz w:val="16"/>
              </w:rPr>
              <w:t>× 0.50</w:t>
            </w:r>
          </w:p>
        </w:tc>
        <w:tc>
          <w:tcPr>
            <w:tcW w:type="dxa" w:w="2635"/>
          </w:tcPr>
          <w:p>
            <w:pPr>
              <w:keepNext/>
              <w:keepLines/>
            </w:pPr>
            <w:r>
              <w:rPr>
                <w:sz w:val="16"/>
              </w:rPr>
              <w:t>248,000</w:t>
            </w:r>
          </w:p>
        </w:tc>
        <w:tc>
          <w:tcPr>
            <w:tcW w:type="dxa" w:w="2635"/>
          </w:tcPr>
          <w:p>
            <w:pPr>
              <w:keepNext/>
              <w:keepLines/>
            </w:pPr>
            <w:r>
              <w:rPr>
                <w:sz w:val="16"/>
              </w:rPr>
              <w:t>Judgment anchored to [A33][A34] [S46]</w:t>
            </w:r>
          </w:p>
        </w:tc>
      </w:tr>
      <w:tr>
        <w:trPr>
          <w:cantSplit/>
        </w:trPr>
        <w:tc>
          <w:tcPr>
            <w:tcW w:type="dxa" w:w="2635"/>
          </w:tcPr>
          <w:p>
            <w:pPr>
              <w:keepNext/>
              <w:keepLines/>
            </w:pPr>
            <w:r>
              <w:rPr>
                <w:sz w:val="16"/>
              </w:rPr>
              <w:t>Levodopa-responsive idiopathic PD</w:t>
            </w:r>
          </w:p>
        </w:tc>
        <w:tc>
          <w:tcPr>
            <w:tcW w:type="dxa" w:w="2635"/>
          </w:tcPr>
          <w:p>
            <w:pPr>
              <w:keepNext/>
              <w:keepLines/>
            </w:pPr>
            <w:r>
              <w:rPr>
                <w:sz w:val="16"/>
              </w:rPr>
              <w:t>× 0.81</w:t>
            </w:r>
          </w:p>
        </w:tc>
        <w:tc>
          <w:tcPr>
            <w:tcW w:type="dxa" w:w="2635"/>
          </w:tcPr>
          <w:p>
            <w:pPr>
              <w:keepNext/>
              <w:keepLines/>
            </w:pPr>
            <w:r>
              <w:rPr>
                <w:sz w:val="16"/>
              </w:rPr>
              <w:t>200,000</w:t>
            </w:r>
          </w:p>
        </w:tc>
        <w:tc>
          <w:tcPr>
            <w:tcW w:type="dxa" w:w="2635"/>
          </w:tcPr>
          <w:p>
            <w:pPr>
              <w:keepNext/>
              <w:keepLines/>
            </w:pPr>
            <w:r>
              <w:rPr>
                <w:sz w:val="16"/>
              </w:rPr>
              <w:t>Published proxy [A35]</w:t>
            </w:r>
          </w:p>
        </w:tc>
      </w:tr>
      <w:tr>
        <w:trPr>
          <w:cantSplit/>
        </w:trPr>
        <w:tc>
          <w:tcPr>
            <w:tcW w:type="dxa" w:w="2635"/>
          </w:tcPr>
          <w:p>
            <w:pPr>
              <w:keepNext/>
              <w:keepLines/>
            </w:pPr>
            <w:r>
              <w:rPr>
                <w:sz w:val="16"/>
              </w:rPr>
              <w:t>Fit for surgery ★ = medically eligible</w:t>
            </w:r>
          </w:p>
        </w:tc>
        <w:tc>
          <w:tcPr>
            <w:tcW w:type="dxa" w:w="2635"/>
          </w:tcPr>
          <w:p>
            <w:pPr>
              <w:keepNext/>
              <w:keepLines/>
            </w:pPr>
            <w:r>
              <w:rPr>
                <w:sz w:val="16"/>
              </w:rPr>
              <w:t>× 0.90</w:t>
            </w:r>
          </w:p>
        </w:tc>
        <w:tc>
          <w:tcPr>
            <w:tcW w:type="dxa" w:w="2635"/>
          </w:tcPr>
          <w:p>
            <w:pPr>
              <w:keepNext/>
              <w:keepLines/>
            </w:pPr>
            <w:r>
              <w:rPr>
                <w:sz w:val="16"/>
              </w:rPr>
              <w:t>180,000</w:t>
            </w:r>
          </w:p>
        </w:tc>
        <w:tc>
          <w:tcPr>
            <w:tcW w:type="dxa" w:w="2635"/>
          </w:tcPr>
          <w:p>
            <w:pPr>
              <w:keepNext/>
              <w:keepLines/>
            </w:pPr>
            <w:r>
              <w:rPr>
                <w:sz w:val="16"/>
              </w:rPr>
              <w:t>Judgment [S47]</w:t>
            </w:r>
          </w:p>
        </w:tc>
      </w:tr>
      <w:tr>
        <w:trPr>
          <w:cantSplit/>
        </w:trPr>
        <w:tc>
          <w:tcPr>
            <w:tcW w:type="dxa" w:w="2635"/>
          </w:tcPr>
          <w:p>
            <w:r>
              <w:rPr>
                <w:b/>
                <w:sz w:val="16"/>
              </w:rPr>
              <w:t>Eligible pool (DBS patients included)</w:t>
            </w:r>
          </w:p>
        </w:tc>
        <w:tc>
          <w:tcPr>
            <w:tcW w:type="dxa" w:w="2635"/>
          </w:tcPr>
          <w:p/>
        </w:tc>
        <w:tc>
          <w:tcPr>
            <w:tcW w:type="dxa" w:w="2635"/>
          </w:tcPr>
          <w:p>
            <w:r>
              <w:rPr>
                <w:b/>
                <w:sz w:val="16"/>
              </w:rPr>
              <w:t>180,000</w:t>
            </w:r>
          </w:p>
        </w:tc>
        <w:tc>
          <w:tcPr>
            <w:tcW w:type="dxa" w:w="2635"/>
          </w:tcPr>
          <w:p>
            <w:r>
              <w:rPr>
                <w:sz w:val="16"/>
              </w:rPr>
              <w:t>[C42][S44]</w:t>
            </w:r>
          </w:p>
        </w:tc>
      </w:tr>
    </w:tbl>
    <w:p/>
    <w:p>
      <w:r>
        <w:rPr>
          <w:i/>
        </w:rPr>
        <w:t>Source: tags as shown. ★ = judgment call. May not sum due to rounding.</w:t>
      </w:r>
    </w:p>
    <w:p>
      <w:r>
        <w:rPr>
          <w:b/>
        </w:rPr>
        <w:t>Checks on the eligible share.</w:t>
      </w:r>
      <w:r>
        <w:t xml:space="preserve"> Medically eligible patients make up 16% of PD (derived) [C42], which agrees with two published figures near 15%. Aspen Neuroscience's filing says roughly half of about 300,000 drug-refractory US patients may be eligible for cell-replacement surgery, about 15% of PD [A36]. A German conference abstract cites 10–15% [A12]. Neither states its criteria, so both confirm a share, not a level. Clinic studies give a lower bound: 4.5% under flexible criteria in Italian movement-disorder clinics [A37] and 6.6% eligible for referral to any device-aided therapy in a Dutch general hospital [A38]. Those studies use stricter clinical criteria, including age and severity, so a label-based pool should sit above them.</w:t>
      </w:r>
    </w:p>
    <w:p>
      <w:r>
        <w:rPr>
          <w:b/>
        </w:rPr>
        <w:t>Flows.</w:t>
      </w:r>
      <w:r>
        <w:t xml:space="preserve"> Each year, the closing pool equals the opening pool plus entrants, less leavers and patients treated [C45].</w:t>
      </w:r>
    </w:p>
    <w:p>
      <w:pPr>
        <w:pStyle w:val="ListBullet"/>
      </w:pPr>
      <w:r>
        <w:rPr>
          <w:i/>
        </w:rPr>
        <w:t>Leavers.</w:t>
      </w:r>
      <w:r>
        <w:t xml:space="preserve"> A share of the pool leaves each year through death (5% a year) [A31] or new dementia (4.45 per 100 person-years) [A39], 9.5% in total, so patients stay eligible for about ten years on average [C45].</w:t>
      </w:r>
    </w:p>
    <w:p>
      <w:pPr>
        <w:pStyle w:val="ListBullet"/>
      </w:pPr>
      <w:r>
        <w:rPr>
          <w:i/>
        </w:rPr>
        <w:t>Entrants.</w:t>
      </w:r>
      <w:r>
        <w:t xml:space="preserve"> First-year entrants are (m + g) × the starting pool, about 22,300 in FY2026E, so that with no one-time therapy the pool grows at the same 2.9% as prevalence to FY2028E; entrants then grow 2.9% a year [C45].</w:t>
      </w:r>
    </w:p>
    <w:p>
      <w:pPr>
        <w:pStyle w:val="ListBullet"/>
      </w:pPr>
      <w:r>
        <w:rPr>
          <w:i/>
        </w:rPr>
        <w:t>Pool growth.</w:t>
      </w:r>
      <w:r>
        <w:t xml:space="preserve"> Entrants exceed leavers, so the pool grows unless treatment absorbs the gap.</w:t>
      </w:r>
    </w:p>
    <w:p>
      <w:pPr>
        <w:pStyle w:val="ListBullet"/>
      </w:pPr>
      <w:r>
        <w:rPr>
          <w:i/>
        </w:rPr>
        <w:t>Treated.</w:t>
      </w:r>
      <w:r>
        <w:t xml:space="preserve"> No one receives a one-time therapy before launch in FY2029E. From launch, 6% of the opening pool is treated each year [S45] ★, about 2.7 times the 2.2% of the pool that receives DBS each year [C49]. We judge that many more eligible patients would choose a one-time, potentially disease-modifying therapy than symptomatic hardware surgery; no published willingness study measures this. DBS continues alongside at 3,990 a year and is shown for context only: it is not deducted from one-time demand, and patients who have had DBS remain eligible [S44].</w:t>
      </w:r>
    </w:p>
    <w:p>
      <w:pPr>
        <w:keepNext/>
        <w:keepLines/>
      </w:pPr>
      <w:r>
        <w:t>Figure C2 shows that one-time treatment jumps at launch as the pre-launch backlog is drawn down, then eases and grows with entrants.</w:t>
      </w:r>
    </w:p>
    <w:p>
      <w:pPr>
        <w:keepNext/>
        <w:keepLines/>
      </w:pPr>
      <w:r>
        <w:rPr>
          <w:b/>
        </w:rPr>
        <w:t>Figure C2 – Pool model results</w:t>
      </w:r>
    </w:p>
    <w:tbl>
      <w:tblPr>
        <w:tblStyle w:val="TableGrid"/>
        <w:tblW w:type="auto" w:w="0"/>
        <w:tblLook w:firstColumn="1" w:firstRow="1" w:lastColumn="0" w:lastRow="0" w:noHBand="0" w:noVBand="1" w:val="04A0"/>
      </w:tblPr>
      <w:tblGrid>
        <w:gridCol w:w="1317"/>
        <w:gridCol w:w="1317"/>
        <w:gridCol w:w="1317"/>
        <w:gridCol w:w="1317"/>
        <w:gridCol w:w="1317"/>
        <w:gridCol w:w="1317"/>
        <w:gridCol w:w="1317"/>
        <w:gridCol w:w="1317"/>
      </w:tblGrid>
      <w:tr>
        <w:trPr>
          <w:cantSplit/>
          <w:tblHeader/>
        </w:trPr>
        <w:tc>
          <w:tcPr>
            <w:tcW w:type="dxa" w:w="1317"/>
          </w:tcPr>
          <w:p>
            <w:pPr>
              <w:keepNext/>
              <w:keepLines/>
            </w:pPr>
            <w:r>
              <w:rPr>
                <w:b/>
                <w:sz w:val="16"/>
              </w:rPr>
              <w:t>FY</w:t>
            </w:r>
          </w:p>
        </w:tc>
        <w:tc>
          <w:tcPr>
            <w:tcW w:type="dxa" w:w="1317"/>
          </w:tcPr>
          <w:p>
            <w:pPr>
              <w:keepNext/>
              <w:keepLines/>
            </w:pPr>
            <w:r>
              <w:rPr>
                <w:b/>
                <w:sz w:val="16"/>
              </w:rPr>
              <w:t>2026E</w:t>
            </w:r>
          </w:p>
        </w:tc>
        <w:tc>
          <w:tcPr>
            <w:tcW w:type="dxa" w:w="1317"/>
          </w:tcPr>
          <w:p>
            <w:pPr>
              <w:keepNext/>
              <w:keepLines/>
            </w:pPr>
            <w:r>
              <w:rPr>
                <w:b/>
                <w:sz w:val="16"/>
              </w:rPr>
              <w:t>2029E</w:t>
            </w:r>
          </w:p>
        </w:tc>
        <w:tc>
          <w:tcPr>
            <w:tcW w:type="dxa" w:w="1317"/>
          </w:tcPr>
          <w:p>
            <w:pPr>
              <w:keepNext/>
              <w:keepLines/>
            </w:pPr>
            <w:r>
              <w:rPr>
                <w:b/>
                <w:sz w:val="16"/>
              </w:rPr>
              <w:t>2030E</w:t>
            </w:r>
          </w:p>
        </w:tc>
        <w:tc>
          <w:tcPr>
            <w:tcW w:type="dxa" w:w="1317"/>
          </w:tcPr>
          <w:p>
            <w:pPr>
              <w:keepNext/>
              <w:keepLines/>
            </w:pPr>
            <w:r>
              <w:rPr>
                <w:b/>
                <w:sz w:val="16"/>
              </w:rPr>
              <w:t>2031E</w:t>
            </w:r>
          </w:p>
        </w:tc>
        <w:tc>
          <w:tcPr>
            <w:tcW w:type="dxa" w:w="1317"/>
          </w:tcPr>
          <w:p>
            <w:pPr>
              <w:keepNext/>
              <w:keepLines/>
            </w:pPr>
            <w:r>
              <w:rPr>
                <w:b/>
                <w:sz w:val="16"/>
              </w:rPr>
              <w:t>2032E</w:t>
            </w:r>
          </w:p>
        </w:tc>
        <w:tc>
          <w:tcPr>
            <w:tcW w:type="dxa" w:w="1317"/>
          </w:tcPr>
          <w:p>
            <w:pPr>
              <w:keepNext/>
              <w:keepLines/>
            </w:pPr>
            <w:r>
              <w:rPr>
                <w:b/>
                <w:sz w:val="16"/>
              </w:rPr>
              <w:t>2035E</w:t>
            </w:r>
          </w:p>
        </w:tc>
        <w:tc>
          <w:tcPr>
            <w:tcW w:type="dxa" w:w="1317"/>
          </w:tcPr>
          <w:p>
            <w:pPr>
              <w:keepNext/>
              <w:keepLines/>
            </w:pPr>
            <w:r>
              <w:rPr>
                <w:b/>
                <w:sz w:val="16"/>
              </w:rPr>
              <w:t>2040E</w:t>
            </w:r>
          </w:p>
        </w:tc>
      </w:tr>
      <w:tr>
        <w:trPr>
          <w:cantSplit/>
        </w:trPr>
        <w:tc>
          <w:tcPr>
            <w:tcW w:type="dxa" w:w="1317"/>
          </w:tcPr>
          <w:p>
            <w:pPr>
              <w:keepNext/>
              <w:keepLines/>
            </w:pPr>
            <w:r>
              <w:rPr>
                <w:sz w:val="16"/>
              </w:rPr>
              <w:t>Eligible pool, start of year (000s)</w:t>
            </w:r>
          </w:p>
        </w:tc>
        <w:tc>
          <w:tcPr>
            <w:tcW w:type="dxa" w:w="1317"/>
          </w:tcPr>
          <w:p>
            <w:pPr>
              <w:keepNext/>
              <w:keepLines/>
            </w:pPr>
            <w:r>
              <w:rPr>
                <w:sz w:val="16"/>
              </w:rPr>
              <w:t>180</w:t>
            </w:r>
          </w:p>
        </w:tc>
        <w:tc>
          <w:tcPr>
            <w:tcW w:type="dxa" w:w="1317"/>
          </w:tcPr>
          <w:p>
            <w:pPr>
              <w:keepNext/>
              <w:keepLines/>
            </w:pPr>
            <w:r>
              <w:rPr>
                <w:sz w:val="16"/>
              </w:rPr>
              <w:t>196</w:t>
            </w:r>
          </w:p>
        </w:tc>
        <w:tc>
          <w:tcPr>
            <w:tcW w:type="dxa" w:w="1317"/>
          </w:tcPr>
          <w:p>
            <w:pPr>
              <w:keepNext/>
              <w:keepLines/>
            </w:pPr>
            <w:r>
              <w:rPr>
                <w:sz w:val="16"/>
              </w:rPr>
              <w:t>190</w:t>
            </w:r>
          </w:p>
        </w:tc>
        <w:tc>
          <w:tcPr>
            <w:tcW w:type="dxa" w:w="1317"/>
          </w:tcPr>
          <w:p>
            <w:pPr>
              <w:keepNext/>
              <w:keepLines/>
            </w:pPr>
            <w:r>
              <w:rPr>
                <w:sz w:val="16"/>
              </w:rPr>
              <w:t>185</w:t>
            </w:r>
          </w:p>
        </w:tc>
        <w:tc>
          <w:tcPr>
            <w:tcW w:type="dxa" w:w="1317"/>
          </w:tcPr>
          <w:p>
            <w:pPr>
              <w:keepNext/>
              <w:keepLines/>
            </w:pPr>
            <w:r>
              <w:rPr>
                <w:sz w:val="16"/>
              </w:rPr>
              <w:t>182</w:t>
            </w:r>
          </w:p>
        </w:tc>
        <w:tc>
          <w:tcPr>
            <w:tcW w:type="dxa" w:w="1317"/>
          </w:tcPr>
          <w:p>
            <w:pPr>
              <w:keepNext/>
              <w:keepLines/>
            </w:pPr>
            <w:r>
              <w:rPr>
                <w:sz w:val="16"/>
              </w:rPr>
              <w:t>180</w:t>
            </w:r>
          </w:p>
        </w:tc>
        <w:tc>
          <w:tcPr>
            <w:tcW w:type="dxa" w:w="1317"/>
          </w:tcPr>
          <w:p>
            <w:pPr>
              <w:keepNext/>
              <w:keepLines/>
            </w:pPr>
            <w:r>
              <w:rPr>
                <w:sz w:val="16"/>
              </w:rPr>
              <w:t>191</w:t>
            </w:r>
          </w:p>
        </w:tc>
      </w:tr>
      <w:tr>
        <w:trPr>
          <w:cantSplit/>
        </w:trPr>
        <w:tc>
          <w:tcPr>
            <w:tcW w:type="dxa" w:w="1317"/>
          </w:tcPr>
          <w:p>
            <w:pPr>
              <w:keepNext/>
              <w:keepLines/>
            </w:pPr>
            <w:r>
              <w:rPr>
                <w:sz w:val="16"/>
              </w:rPr>
              <w:t>Entrants (000s)</w:t>
            </w:r>
          </w:p>
        </w:tc>
        <w:tc>
          <w:tcPr>
            <w:tcW w:type="dxa" w:w="1317"/>
          </w:tcPr>
          <w:p>
            <w:pPr>
              <w:keepNext/>
              <w:keepLines/>
            </w:pPr>
            <w:r>
              <w:rPr>
                <w:sz w:val="16"/>
              </w:rPr>
              <w:t>22</w:t>
            </w:r>
          </w:p>
        </w:tc>
        <w:tc>
          <w:tcPr>
            <w:tcW w:type="dxa" w:w="1317"/>
          </w:tcPr>
          <w:p>
            <w:pPr>
              <w:keepNext/>
              <w:keepLines/>
            </w:pPr>
            <w:r>
              <w:rPr>
                <w:sz w:val="16"/>
              </w:rPr>
              <w:t>24</w:t>
            </w:r>
          </w:p>
        </w:tc>
        <w:tc>
          <w:tcPr>
            <w:tcW w:type="dxa" w:w="1317"/>
          </w:tcPr>
          <w:p>
            <w:pPr>
              <w:keepNext/>
              <w:keepLines/>
            </w:pPr>
            <w:r>
              <w:rPr>
                <w:sz w:val="16"/>
              </w:rPr>
              <w:t>25</w:t>
            </w:r>
          </w:p>
        </w:tc>
        <w:tc>
          <w:tcPr>
            <w:tcW w:type="dxa" w:w="1317"/>
          </w:tcPr>
          <w:p>
            <w:pPr>
              <w:keepNext/>
              <w:keepLines/>
            </w:pPr>
            <w:r>
              <w:rPr>
                <w:sz w:val="16"/>
              </w:rPr>
              <w:t>26</w:t>
            </w:r>
          </w:p>
        </w:tc>
        <w:tc>
          <w:tcPr>
            <w:tcW w:type="dxa" w:w="1317"/>
          </w:tcPr>
          <w:p>
            <w:pPr>
              <w:keepNext/>
              <w:keepLines/>
            </w:pPr>
            <w:r>
              <w:rPr>
                <w:sz w:val="16"/>
              </w:rPr>
              <w:t>26</w:t>
            </w:r>
          </w:p>
        </w:tc>
        <w:tc>
          <w:tcPr>
            <w:tcW w:type="dxa" w:w="1317"/>
          </w:tcPr>
          <w:p>
            <w:pPr>
              <w:keepNext/>
              <w:keepLines/>
            </w:pPr>
            <w:r>
              <w:rPr>
                <w:sz w:val="16"/>
              </w:rPr>
              <w:t>29</w:t>
            </w:r>
          </w:p>
        </w:tc>
        <w:tc>
          <w:tcPr>
            <w:tcW w:type="dxa" w:w="1317"/>
          </w:tcPr>
          <w:p>
            <w:pPr>
              <w:keepNext/>
              <w:keepLines/>
            </w:pPr>
            <w:r>
              <w:rPr>
                <w:sz w:val="16"/>
              </w:rPr>
              <w:t>33</w:t>
            </w:r>
          </w:p>
        </w:tc>
      </w:tr>
      <w:tr>
        <w:trPr>
          <w:cantSplit/>
        </w:trPr>
        <w:tc>
          <w:tcPr>
            <w:tcW w:type="dxa" w:w="1317"/>
          </w:tcPr>
          <w:p>
            <w:pPr>
              <w:keepNext/>
              <w:keepLines/>
            </w:pPr>
            <w:r>
              <w:rPr>
                <w:sz w:val="16"/>
              </w:rPr>
              <w:t>One-time therapy class demand (6% of pool, 000s)</w:t>
            </w:r>
          </w:p>
        </w:tc>
        <w:tc>
          <w:tcPr>
            <w:tcW w:type="dxa" w:w="1317"/>
          </w:tcPr>
          <w:p>
            <w:pPr>
              <w:keepNext/>
              <w:keepLines/>
            </w:pPr>
            <w:r>
              <w:rPr>
                <w:sz w:val="16"/>
              </w:rPr>
              <w:t>–</w:t>
            </w:r>
          </w:p>
        </w:tc>
        <w:tc>
          <w:tcPr>
            <w:tcW w:type="dxa" w:w="1317"/>
          </w:tcPr>
          <w:p>
            <w:pPr>
              <w:keepNext/>
              <w:keepLines/>
            </w:pPr>
            <w:r>
              <w:rPr>
                <w:sz w:val="16"/>
              </w:rPr>
              <w:t>11.8</w:t>
            </w:r>
          </w:p>
        </w:tc>
        <w:tc>
          <w:tcPr>
            <w:tcW w:type="dxa" w:w="1317"/>
          </w:tcPr>
          <w:p>
            <w:pPr>
              <w:keepNext/>
              <w:keepLines/>
            </w:pPr>
            <w:r>
              <w:rPr>
                <w:sz w:val="16"/>
              </w:rPr>
              <w:t>11.4</w:t>
            </w:r>
          </w:p>
        </w:tc>
        <w:tc>
          <w:tcPr>
            <w:tcW w:type="dxa" w:w="1317"/>
          </w:tcPr>
          <w:p>
            <w:pPr>
              <w:keepNext/>
              <w:keepLines/>
            </w:pPr>
            <w:r>
              <w:rPr>
                <w:sz w:val="16"/>
              </w:rPr>
              <w:t>11.1</w:t>
            </w:r>
          </w:p>
        </w:tc>
        <w:tc>
          <w:tcPr>
            <w:tcW w:type="dxa" w:w="1317"/>
          </w:tcPr>
          <w:p>
            <w:pPr>
              <w:keepNext/>
              <w:keepLines/>
            </w:pPr>
            <w:r>
              <w:rPr>
                <w:sz w:val="16"/>
              </w:rPr>
              <w:t>10.9</w:t>
            </w:r>
          </w:p>
        </w:tc>
        <w:tc>
          <w:tcPr>
            <w:tcW w:type="dxa" w:w="1317"/>
          </w:tcPr>
          <w:p>
            <w:pPr>
              <w:keepNext/>
              <w:keepLines/>
            </w:pPr>
            <w:r>
              <w:rPr>
                <w:sz w:val="16"/>
              </w:rPr>
              <w:t>10.8</w:t>
            </w:r>
          </w:p>
        </w:tc>
        <w:tc>
          <w:tcPr>
            <w:tcW w:type="dxa" w:w="1317"/>
          </w:tcPr>
          <w:p>
            <w:pPr>
              <w:keepNext/>
              <w:keepLines/>
            </w:pPr>
            <w:r>
              <w:rPr>
                <w:sz w:val="16"/>
              </w:rPr>
              <w:t>11.5</w:t>
            </w:r>
          </w:p>
        </w:tc>
      </w:tr>
      <w:tr>
        <w:trPr>
          <w:cantSplit/>
        </w:trPr>
        <w:tc>
          <w:tcPr>
            <w:tcW w:type="dxa" w:w="1317"/>
          </w:tcPr>
          <w:p>
            <w:pPr>
              <w:keepNext/>
              <w:keepLines/>
            </w:pPr>
            <w:r>
              <w:rPr>
                <w:sz w:val="16"/>
              </w:rPr>
              <w:t>Class demand ÷ entrants</w:t>
            </w:r>
          </w:p>
        </w:tc>
        <w:tc>
          <w:tcPr>
            <w:tcW w:type="dxa" w:w="1317"/>
          </w:tcPr>
          <w:p>
            <w:pPr>
              <w:keepNext/>
              <w:keepLines/>
            </w:pPr>
            <w:r>
              <w:rPr>
                <w:sz w:val="16"/>
              </w:rPr>
              <w:t>–</w:t>
            </w:r>
          </w:p>
        </w:tc>
        <w:tc>
          <w:tcPr>
            <w:tcW w:type="dxa" w:w="1317"/>
          </w:tcPr>
          <w:p>
            <w:pPr>
              <w:keepNext/>
              <w:keepLines/>
            </w:pPr>
            <w:r>
              <w:rPr>
                <w:sz w:val="16"/>
              </w:rPr>
              <w:t>0.48</w:t>
            </w:r>
          </w:p>
        </w:tc>
        <w:tc>
          <w:tcPr>
            <w:tcW w:type="dxa" w:w="1317"/>
          </w:tcPr>
          <w:p>
            <w:pPr>
              <w:keepNext/>
              <w:keepLines/>
            </w:pPr>
            <w:r>
              <w:rPr>
                <w:sz w:val="16"/>
              </w:rPr>
              <w:t>0.46</w:t>
            </w:r>
          </w:p>
        </w:tc>
        <w:tc>
          <w:tcPr>
            <w:tcW w:type="dxa" w:w="1317"/>
          </w:tcPr>
          <w:p>
            <w:pPr>
              <w:keepNext/>
              <w:keepLines/>
            </w:pPr>
            <w:r>
              <w:rPr>
                <w:sz w:val="16"/>
              </w:rPr>
              <w:t>0.43</w:t>
            </w:r>
          </w:p>
        </w:tc>
        <w:tc>
          <w:tcPr>
            <w:tcW w:type="dxa" w:w="1317"/>
          </w:tcPr>
          <w:p>
            <w:pPr>
              <w:keepNext/>
              <w:keepLines/>
            </w:pPr>
            <w:r>
              <w:rPr>
                <w:sz w:val="16"/>
              </w:rPr>
              <w:t>0.41</w:t>
            </w:r>
          </w:p>
        </w:tc>
        <w:tc>
          <w:tcPr>
            <w:tcW w:type="dxa" w:w="1317"/>
          </w:tcPr>
          <w:p>
            <w:pPr>
              <w:keepNext/>
              <w:keepLines/>
            </w:pPr>
            <w:r>
              <w:rPr>
                <w:sz w:val="16"/>
              </w:rPr>
              <w:t>0.37</w:t>
            </w:r>
          </w:p>
        </w:tc>
        <w:tc>
          <w:tcPr>
            <w:tcW w:type="dxa" w:w="1317"/>
          </w:tcPr>
          <w:p>
            <w:pPr>
              <w:keepNext/>
              <w:keepLines/>
            </w:pPr>
            <w:r>
              <w:rPr>
                <w:sz w:val="16"/>
              </w:rPr>
              <w:t>0.34</w:t>
            </w:r>
          </w:p>
        </w:tc>
      </w:tr>
      <w:tr>
        <w:trPr>
          <w:cantSplit/>
        </w:trPr>
        <w:tc>
          <w:tcPr>
            <w:tcW w:type="dxa" w:w="1317"/>
          </w:tcPr>
          <w:p>
            <w:r>
              <w:rPr>
                <w:sz w:val="16"/>
              </w:rPr>
              <w:t>Memo: DBS (000s; not deducted)</w:t>
            </w:r>
          </w:p>
        </w:tc>
        <w:tc>
          <w:tcPr>
            <w:tcW w:type="dxa" w:w="1317"/>
          </w:tcPr>
          <w:p>
            <w:r>
              <w:rPr>
                <w:sz w:val="16"/>
              </w:rPr>
              <w:t>4.0</w:t>
            </w:r>
          </w:p>
        </w:tc>
        <w:tc>
          <w:tcPr>
            <w:tcW w:type="dxa" w:w="1317"/>
          </w:tcPr>
          <w:p>
            <w:r>
              <w:rPr>
                <w:sz w:val="16"/>
              </w:rPr>
              <w:t>4.0</w:t>
            </w:r>
          </w:p>
        </w:tc>
        <w:tc>
          <w:tcPr>
            <w:tcW w:type="dxa" w:w="1317"/>
          </w:tcPr>
          <w:p>
            <w:r>
              <w:rPr>
                <w:sz w:val="16"/>
              </w:rPr>
              <w:t>4.0</w:t>
            </w:r>
          </w:p>
        </w:tc>
        <w:tc>
          <w:tcPr>
            <w:tcW w:type="dxa" w:w="1317"/>
          </w:tcPr>
          <w:p>
            <w:r>
              <w:rPr>
                <w:sz w:val="16"/>
              </w:rPr>
              <w:t>4.0</w:t>
            </w:r>
          </w:p>
        </w:tc>
        <w:tc>
          <w:tcPr>
            <w:tcW w:type="dxa" w:w="1317"/>
          </w:tcPr>
          <w:p>
            <w:r>
              <w:rPr>
                <w:sz w:val="16"/>
              </w:rPr>
              <w:t>4.0</w:t>
            </w:r>
          </w:p>
        </w:tc>
        <w:tc>
          <w:tcPr>
            <w:tcW w:type="dxa" w:w="1317"/>
          </w:tcPr>
          <w:p>
            <w:r>
              <w:rPr>
                <w:sz w:val="16"/>
              </w:rPr>
              <w:t>4.0</w:t>
            </w:r>
          </w:p>
        </w:tc>
        <w:tc>
          <w:tcPr>
            <w:tcW w:type="dxa" w:w="1317"/>
          </w:tcPr>
          <w:p>
            <w:r>
              <w:rPr>
                <w:sz w:val="16"/>
              </w:rPr>
              <w:t>4.0</w:t>
            </w:r>
          </w:p>
        </w:tc>
      </w:tr>
    </w:tbl>
    <w:p/>
    <w:p>
      <w:pPr>
        <w:keepNext/>
        <w:keepLines/>
      </w:pPr>
      <w:r>
        <w:rPr>
          <w:i/>
        </w:rPr>
        <w:t>Source: A10, A30–A35, A39, S44–S47, C40–C45.</w:t>
      </w:r>
    </w:p>
    <w:p>
      <w:r>
        <w:drawing>
          <wp:inline xmlns:a="http://schemas.openxmlformats.org/drawingml/2006/main" xmlns:pic="http://schemas.openxmlformats.org/drawingml/2006/picture">
            <wp:extent cx="5688965" cy="3015151"/>
            <wp:docPr id="1" name="Picture 1"/>
            <wp:cNvGraphicFramePr>
              <a:graphicFrameLocks noChangeAspect="1"/>
            </wp:cNvGraphicFramePr>
            <a:graphic>
              <a:graphicData uri="http://schemas.openxmlformats.org/drawingml/2006/picture">
                <pic:pic>
                  <pic:nvPicPr>
                    <pic:cNvPr id="0" name="pd_pool_chart.png"/>
                    <pic:cNvPicPr/>
                  </pic:nvPicPr>
                  <pic:blipFill>
                    <a:blip r:embed="rId9"/>
                    <a:stretch>
                      <a:fillRect/>
                    </a:stretch>
                  </pic:blipFill>
                  <pic:spPr>
                    <a:xfrm>
                      <a:off x="0" y="0"/>
                      <a:ext cx="5688965" cy="3015151"/>
                    </a:xfrm>
                    <a:prstGeom prst="rect"/>
                  </pic:spPr>
                </pic:pic>
              </a:graphicData>
            </a:graphic>
          </wp:inline>
        </w:drawing>
      </w:r>
    </w:p>
    <w:p>
      <w:r>
        <w:rPr>
          <w:i/>
        </w:rPr>
        <w:t>Figure C3 – Eligible pool, one-time therapy class demand and class volume (three-year ramp), FY2026E–FY2040E, base case. After FY2031E the chart is demand and pool context; the revenue forecast ends at FY2031E. DBS (3,990 a year) is shown for context and is not deducted. Source: C40–C45.</w:t>
      </w:r>
    </w:p>
    <w:p>
      <w:r>
        <w:rPr>
          <w:b/>
        </w:rPr>
        <w:t>Reading the results.</w:t>
      </w:r>
      <w:r>
        <w:t xml:space="preserve"> One-time treatment starts at about 11,800 in the launch year; the high first year comes from the backlog built up before launch [C40]. The pool then shrinks by about 8% over five years and grows again with entrants. Class demand settles at a constant share of entrants, 0.06 / (0.095 + 0.06 + 0.029) ≈ 33% (derived) [C45]. That is a different quantity from the share of any single group of entrants who are eventually treated, 0.06 / (0.095 + 0.06) ≈ 39% (derived), because each year's entrants outnumber the previous year's. There is no second wave. As a plausibility check, a judgment funnel of referral (55%) × willingness (60%) × coverage (90%) gives about 30% treated [S45]; willingness is anchored to published consent and implant rates [A14][A40]. A 6% treatment rate therefore implies somewhat more uptake than that funnel. At $20,000 a patient, FY2031E class demand is worth about $223M (derived) [C40][P2]; FY2040E demand (about 11,500) is context only, not a revenue forecast.</w:t>
      </w:r>
    </w:p>
    <w:p>
      <w:r>
        <w:rPr>
          <w:b/>
        </w:rPr>
        <w:t>Weak points.</w:t>
      </w:r>
      <w:r>
        <w:t xml:space="preserve"> (1) The motor-complication share and medical fitness are judgments, and together they move the pool more than any published input [S46][S47]. (2) The diagnosis factor is a proxy for levodopa response [A35]. (3) The dementia midpoint, and the assumption that dementia sits almost entirely in patients diagnosed four or more years ago, are simplifications [A32]. (4) The 5% death rate comes from all PD patients; patients without dementia probably die less often, which would lengthen time in the pool [A31]. (5) The pool includes patients who have had DBS, on the assumption that they are eligible for one-time therapy [S44]; every trial so far excludes them [A41], and if labels did too the pool would be about 138,000, as in the bear [C55]. (6) The 3,990 counts inpatient procedures only [A10]. (7) Prevalence is a published minimum, so the pool is more likely too low than too high [A30]. (8) The 6% treatment rate and the FY2029E launch are assumptions [S45]. The 6% rests on the judgment that a one-time therapy would draw about 2.7 times DBS's take-up, which no published willingness study supports [C49]. The often-quoted 2.9% DBS rate is measured against a pool that excludes prior-DBS patients (138,000), not the 180,000 used here [C49]. The bull uses 8% (Figure 4c) [S59]. The model treats the whole class as launching in FY2029E, while other one-time therapies are likely to launch from FY2033E (Appendix D). (9) DBS and one-time therapy are modelled independently; a patient who has both (for example DBS after a graft for residual symptoms) is not counted as an extra ClearPoint procedure, which is on the low side [A42].</w:t>
      </w:r>
    </w:p>
    <w:p>
      <w:pPr>
        <w:pStyle w:val="Heading3"/>
        <w:keepNext/>
        <w:keepLines/>
      </w:pPr>
      <w:r>
        <w:t>Appendix D – Partner programs</w:t>
      </w:r>
    </w:p>
    <w:p>
      <w:r>
        <w:t xml:space="preserve">ClearPoint lists more than ten partner programs under FDA expedited review [D40]. </w:t>
      </w:r>
      <w:r>
        <w:rPr>
          <w:b/>
        </w:rPr>
        <w:t>Two lines are in our forecast and valuation: the class of one-time Parkinson's cell/gene therapy procedures (Section 5), of which BRT-DA01 (bemdaneprocel) is the first to launch, and AMT-130 (Huntington's).</w:t>
      </w:r>
      <w:r>
        <w:t xml:space="preserve"> Because the valuation counts the whole Parkinson's class, the split of that class among the four Parkinson's therapies below (BRT-DA01, AB-1005, ANPD001, RNDP-001) is illustrative only and adds nothing to it. The non-Parkinson's programs other than AMT-130 are not in the forecast or valuation. We show them to size the optionality, on the same FY2031E horizon as the forecast. All volumes are US, at $20k per procedure [P2], and base cases are central estimates.</w:t>
      </w:r>
    </w:p>
    <w:p>
      <w:r>
        <w:t>Figure D1 shows that the quantified programs would reach about 8,700 procedures and $175M of revenue in FY2031E if all were approved. Of these, AMT-130 (3,000) is in the forecast, and the Parkinson's class is in the forecast at class demand (11,126 in FY2031E) rather than as the BRT-DA01 row alone (4,500); the other Parkinson's programs launch after FY2031E.</w:t>
      </w:r>
    </w:p>
    <w:p>
      <w:pPr>
        <w:keepNext/>
        <w:keepLines/>
      </w:pPr>
      <w:r>
        <w:rPr>
          <w:b/>
        </w:rPr>
        <w:t>Figure D1 – Partners, incidence, steady-state patients and revenue</w:t>
      </w:r>
    </w:p>
    <w:tbl>
      <w:tblPr>
        <w:tblStyle w:val="TableGrid"/>
        <w:tblW w:type="auto" w:w="0"/>
        <w:tblLook w:firstColumn="1" w:firstRow="1" w:lastColumn="0" w:lastRow="0" w:noHBand="0" w:noVBand="1" w:val="04A0"/>
      </w:tblPr>
      <w:tblGrid>
        <w:gridCol w:w="1317"/>
        <w:gridCol w:w="1317"/>
        <w:gridCol w:w="1317"/>
        <w:gridCol w:w="1317"/>
        <w:gridCol w:w="1317"/>
        <w:gridCol w:w="1317"/>
        <w:gridCol w:w="1317"/>
        <w:gridCol w:w="1317"/>
      </w:tblGrid>
      <w:tr>
        <w:trPr>
          <w:cantSplit/>
          <w:tblHeader/>
        </w:trPr>
        <w:tc>
          <w:tcPr>
            <w:tcW w:type="dxa" w:w="1317"/>
          </w:tcPr>
          <w:p>
            <w:pPr>
              <w:keepNext/>
              <w:keepLines/>
            </w:pPr>
            <w:r>
              <w:rPr>
                <w:b/>
                <w:sz w:val="16"/>
              </w:rPr>
              <w:t>Partner</w:t>
            </w:r>
          </w:p>
        </w:tc>
        <w:tc>
          <w:tcPr>
            <w:tcW w:type="dxa" w:w="1317"/>
          </w:tcPr>
          <w:p>
            <w:pPr>
              <w:keepNext/>
              <w:keepLines/>
            </w:pPr>
            <w:r>
              <w:rPr>
                <w:b/>
                <w:sz w:val="16"/>
              </w:rPr>
              <w:t>Therapy</w:t>
            </w:r>
          </w:p>
        </w:tc>
        <w:tc>
          <w:tcPr>
            <w:tcW w:type="dxa" w:w="1317"/>
          </w:tcPr>
          <w:p>
            <w:pPr>
              <w:keepNext/>
              <w:keepLines/>
            </w:pPr>
            <w:r>
              <w:rPr>
                <w:b/>
                <w:sz w:val="16"/>
              </w:rPr>
              <w:t>Indication</w:t>
            </w:r>
          </w:p>
        </w:tc>
        <w:tc>
          <w:tcPr>
            <w:tcW w:type="dxa" w:w="1317"/>
          </w:tcPr>
          <w:p>
            <w:pPr>
              <w:keepNext/>
              <w:keepLines/>
            </w:pPr>
            <w:r>
              <w:rPr>
                <w:b/>
                <w:sz w:val="16"/>
              </w:rPr>
              <w:t>FDA designation(s)</w:t>
            </w:r>
          </w:p>
        </w:tc>
        <w:tc>
          <w:tcPr>
            <w:tcW w:type="dxa" w:w="1317"/>
          </w:tcPr>
          <w:p>
            <w:pPr>
              <w:keepNext/>
              <w:keepLines/>
            </w:pPr>
            <w:r>
              <w:rPr>
                <w:b/>
                <w:sz w:val="16"/>
              </w:rPr>
              <w:t>US incidence / yr</w:t>
            </w:r>
          </w:p>
        </w:tc>
        <w:tc>
          <w:tcPr>
            <w:tcW w:type="dxa" w:w="1317"/>
          </w:tcPr>
          <w:p>
            <w:pPr>
              <w:keepNext/>
              <w:keepLines/>
            </w:pPr>
            <w:r>
              <w:rPr>
                <w:b/>
                <w:sz w:val="16"/>
              </w:rPr>
              <w:t>Patients FY2031E (base)</w:t>
            </w:r>
          </w:p>
        </w:tc>
        <w:tc>
          <w:tcPr>
            <w:tcW w:type="dxa" w:w="1317"/>
          </w:tcPr>
          <w:p>
            <w:pPr>
              <w:keepNext/>
              <w:keepLines/>
            </w:pPr>
            <w:r>
              <w:rPr>
                <w:b/>
                <w:sz w:val="16"/>
              </w:rPr>
              <w:t>Revenue FY2031E at $20k (US$M)</w:t>
            </w:r>
          </w:p>
        </w:tc>
        <w:tc>
          <w:tcPr>
            <w:tcW w:type="dxa" w:w="1317"/>
          </w:tcPr>
          <w:p>
            <w:pPr>
              <w:keepNext/>
              <w:keepLines/>
            </w:pPr>
            <w:r>
              <w:rPr>
                <w:b/>
                <w:sz w:val="16"/>
              </w:rPr>
              <w:t>Plausible approval</w:t>
            </w:r>
          </w:p>
        </w:tc>
      </w:tr>
      <w:tr>
        <w:trPr>
          <w:cantSplit/>
        </w:trPr>
        <w:tc>
          <w:tcPr>
            <w:tcW w:type="dxa" w:w="1317"/>
          </w:tcPr>
          <w:p>
            <w:pPr>
              <w:keepNext/>
              <w:keepLines/>
            </w:pPr>
            <w:r>
              <w:rPr>
                <w:sz w:val="16"/>
              </w:rPr>
              <w:t>BlueRock (Bayer)</w:t>
            </w:r>
          </w:p>
        </w:tc>
        <w:tc>
          <w:tcPr>
            <w:tcW w:type="dxa" w:w="1317"/>
          </w:tcPr>
          <w:p>
            <w:pPr>
              <w:keepNext/>
              <w:keepLines/>
            </w:pPr>
            <w:r>
              <w:rPr>
                <w:sz w:val="16"/>
              </w:rPr>
              <w:t>BRT-DA01 (bemdaneprocel), first of the PD class</w:t>
            </w:r>
          </w:p>
        </w:tc>
        <w:tc>
          <w:tcPr>
            <w:tcW w:type="dxa" w:w="1317"/>
          </w:tcPr>
          <w:p>
            <w:pPr>
              <w:keepNext/>
              <w:keepLines/>
            </w:pPr>
            <w:r>
              <w:rPr>
                <w:sz w:val="16"/>
              </w:rPr>
              <w:t>Parkinson's disease</w:t>
            </w:r>
          </w:p>
        </w:tc>
        <w:tc>
          <w:tcPr>
            <w:tcW w:type="dxa" w:w="1317"/>
          </w:tcPr>
          <w:p>
            <w:pPr>
              <w:keepNext/>
              <w:keepLines/>
            </w:pPr>
            <w:r>
              <w:rPr>
                <w:sz w:val="16"/>
              </w:rPr>
              <w:t>Fast Track (2021) [D41]; RMAT (May 2024) [D41]</w:t>
            </w:r>
          </w:p>
        </w:tc>
        <w:tc>
          <w:tcPr>
            <w:tcW w:type="dxa" w:w="1317"/>
          </w:tcPr>
          <w:p>
            <w:pPr>
              <w:keepNext/>
              <w:keepLines/>
            </w:pPr>
            <w:r>
              <w:rPr>
                <w:sz w:val="16"/>
              </w:rPr>
              <w:t>~90,000 [A9]; prevalence 1.2M by 2030 [A15]</w:t>
            </w:r>
          </w:p>
        </w:tc>
        <w:tc>
          <w:tcPr>
            <w:tcW w:type="dxa" w:w="1317"/>
          </w:tcPr>
          <w:p>
            <w:pPr>
              <w:keepNext/>
              <w:keepLines/>
            </w:pPr>
            <w:r>
              <w:rPr>
                <w:sz w:val="16"/>
              </w:rPr>
              <w:t>4,500 [S20]</w:t>
            </w:r>
          </w:p>
        </w:tc>
        <w:tc>
          <w:tcPr>
            <w:tcW w:type="dxa" w:w="1317"/>
          </w:tcPr>
          <w:p>
            <w:pPr>
              <w:keepNext/>
              <w:keepLines/>
            </w:pPr>
            <w:r>
              <w:rPr>
                <w:sz w:val="16"/>
              </w:rPr>
              <w:t>90.0</w:t>
            </w:r>
          </w:p>
        </w:tc>
        <w:tc>
          <w:tcPr>
            <w:tcW w:type="dxa" w:w="1317"/>
          </w:tcPr>
          <w:p>
            <w:pPr>
              <w:keepNext/>
              <w:keepLines/>
            </w:pPr>
            <w:r>
              <w:rPr>
                <w:sz w:val="16"/>
              </w:rPr>
              <w:t>H2 2029 [S20]</w:t>
            </w:r>
          </w:p>
        </w:tc>
      </w:tr>
      <w:tr>
        <w:trPr>
          <w:cantSplit/>
        </w:trPr>
        <w:tc>
          <w:tcPr>
            <w:tcW w:type="dxa" w:w="1317"/>
          </w:tcPr>
          <w:p>
            <w:pPr>
              <w:keepNext/>
              <w:keepLines/>
            </w:pPr>
            <w:r>
              <w:rPr>
                <w:sz w:val="16"/>
              </w:rPr>
              <w:t>AskBio (Bayer)</w:t>
            </w:r>
          </w:p>
        </w:tc>
        <w:tc>
          <w:tcPr>
            <w:tcW w:type="dxa" w:w="1317"/>
          </w:tcPr>
          <w:p>
            <w:pPr>
              <w:keepNext/>
              <w:keepLines/>
            </w:pPr>
            <w:r>
              <w:rPr>
                <w:sz w:val="16"/>
              </w:rPr>
              <w:t>AB-1005 (AAV2-GDNF)</w:t>
            </w:r>
          </w:p>
        </w:tc>
        <w:tc>
          <w:tcPr>
            <w:tcW w:type="dxa" w:w="1317"/>
          </w:tcPr>
          <w:p>
            <w:pPr>
              <w:keepNext/>
              <w:keepLines/>
            </w:pPr>
            <w:r>
              <w:rPr>
                <w:sz w:val="16"/>
              </w:rPr>
              <w:t>Moderate Parkinson's disease</w:t>
            </w:r>
          </w:p>
        </w:tc>
        <w:tc>
          <w:tcPr>
            <w:tcW w:type="dxa" w:w="1317"/>
          </w:tcPr>
          <w:p>
            <w:pPr>
              <w:keepNext/>
              <w:keepLines/>
            </w:pPr>
            <w:r>
              <w:rPr>
                <w:sz w:val="16"/>
              </w:rPr>
              <w:t>Fast Track (Jul 2024) [D42]; RMAT (Feb 2025) [D42]</w:t>
            </w:r>
          </w:p>
        </w:tc>
        <w:tc>
          <w:tcPr>
            <w:tcW w:type="dxa" w:w="1317"/>
          </w:tcPr>
          <w:p>
            <w:pPr>
              <w:keepNext/>
              <w:keepLines/>
            </w:pPr>
            <w:r>
              <w:rPr>
                <w:sz w:val="16"/>
              </w:rPr>
              <w:t>~90,000 (shared PD pool) [A9]</w:t>
            </w:r>
          </w:p>
        </w:tc>
        <w:tc>
          <w:tcPr>
            <w:tcW w:type="dxa" w:w="1317"/>
          </w:tcPr>
          <w:p>
            <w:pPr>
              <w:keepNext/>
              <w:keepLines/>
            </w:pPr>
            <w:r>
              <w:rPr>
                <w:sz w:val="16"/>
              </w:rPr>
              <w:t>0 (launch after FY2031E) [C54]</w:t>
            </w:r>
          </w:p>
        </w:tc>
        <w:tc>
          <w:tcPr>
            <w:tcW w:type="dxa" w:w="1317"/>
          </w:tcPr>
          <w:p>
            <w:pPr>
              <w:keepNext/>
              <w:keepLines/>
            </w:pPr>
            <w:r>
              <w:rPr>
                <w:sz w:val="16"/>
              </w:rPr>
              <w:t>0.0</w:t>
            </w:r>
          </w:p>
        </w:tc>
        <w:tc>
          <w:tcPr>
            <w:tcW w:type="dxa" w:w="1317"/>
          </w:tcPr>
          <w:p>
            <w:pPr>
              <w:keepNext/>
              <w:keepLines/>
            </w:pPr>
            <w:r>
              <w:rPr>
                <w:sz w:val="16"/>
              </w:rPr>
              <w:t>2033 ★ (Ph2 completes Aug 2028 [D32])</w:t>
            </w:r>
          </w:p>
        </w:tc>
      </w:tr>
      <w:tr>
        <w:trPr>
          <w:cantSplit/>
        </w:trPr>
        <w:tc>
          <w:tcPr>
            <w:tcW w:type="dxa" w:w="1317"/>
          </w:tcPr>
          <w:p>
            <w:pPr>
              <w:keepNext/>
              <w:keepLines/>
            </w:pPr>
            <w:r>
              <w:rPr>
                <w:sz w:val="16"/>
              </w:rPr>
              <w:t>Kenai</w:t>
            </w:r>
          </w:p>
        </w:tc>
        <w:tc>
          <w:tcPr>
            <w:tcW w:type="dxa" w:w="1317"/>
          </w:tcPr>
          <w:p>
            <w:pPr>
              <w:keepNext/>
              <w:keepLines/>
            </w:pPr>
            <w:r>
              <w:rPr>
                <w:sz w:val="16"/>
              </w:rPr>
              <w:t>RNDP-001</w:t>
            </w:r>
          </w:p>
        </w:tc>
        <w:tc>
          <w:tcPr>
            <w:tcW w:type="dxa" w:w="1317"/>
          </w:tcPr>
          <w:p>
            <w:pPr>
              <w:keepNext/>
              <w:keepLines/>
            </w:pPr>
            <w:r>
              <w:rPr>
                <w:sz w:val="16"/>
              </w:rPr>
              <w:t>Moderate to moderate-severe idiopathic PD</w:t>
            </w:r>
          </w:p>
        </w:tc>
        <w:tc>
          <w:tcPr>
            <w:tcW w:type="dxa" w:w="1317"/>
          </w:tcPr>
          <w:p>
            <w:pPr>
              <w:keepNext/>
              <w:keepLines/>
            </w:pPr>
            <w:r>
              <w:rPr>
                <w:sz w:val="16"/>
              </w:rPr>
              <w:t>Fast Track [D43]</w:t>
            </w:r>
          </w:p>
        </w:tc>
        <w:tc>
          <w:tcPr>
            <w:tcW w:type="dxa" w:w="1317"/>
          </w:tcPr>
          <w:p>
            <w:pPr>
              <w:keepNext/>
              <w:keepLines/>
            </w:pPr>
            <w:r>
              <w:rPr>
                <w:sz w:val="16"/>
              </w:rPr>
              <w:t>~90,000 (shared PD pool) [A9]</w:t>
            </w:r>
          </w:p>
        </w:tc>
        <w:tc>
          <w:tcPr>
            <w:tcW w:type="dxa" w:w="1317"/>
          </w:tcPr>
          <w:p>
            <w:pPr>
              <w:keepNext/>
              <w:keepLines/>
            </w:pPr>
            <w:r>
              <w:rPr>
                <w:sz w:val="16"/>
              </w:rPr>
              <w:t>0 (launch after FY2031E) [C54]</w:t>
            </w:r>
          </w:p>
        </w:tc>
        <w:tc>
          <w:tcPr>
            <w:tcW w:type="dxa" w:w="1317"/>
          </w:tcPr>
          <w:p>
            <w:pPr>
              <w:keepNext/>
              <w:keepLines/>
            </w:pPr>
            <w:r>
              <w:rPr>
                <w:sz w:val="16"/>
              </w:rPr>
              <w:t>0.0</w:t>
            </w:r>
          </w:p>
        </w:tc>
        <w:tc>
          <w:tcPr>
            <w:tcW w:type="dxa" w:w="1317"/>
          </w:tcPr>
          <w:p>
            <w:pPr>
              <w:keepNext/>
              <w:keepLines/>
            </w:pPr>
            <w:r>
              <w:rPr>
                <w:sz w:val="16"/>
              </w:rPr>
              <w:t>2034 ★ (Ph1b/2a enrolled Jul 2026 [D43])</w:t>
            </w:r>
          </w:p>
        </w:tc>
      </w:tr>
      <w:tr>
        <w:trPr>
          <w:cantSplit/>
        </w:trPr>
        <w:tc>
          <w:tcPr>
            <w:tcW w:type="dxa" w:w="1317"/>
          </w:tcPr>
          <w:p>
            <w:pPr>
              <w:keepNext/>
              <w:keepLines/>
            </w:pPr>
            <w:r>
              <w:rPr>
                <w:sz w:val="16"/>
              </w:rPr>
              <w:t>Aspen</w:t>
            </w:r>
          </w:p>
        </w:tc>
        <w:tc>
          <w:tcPr>
            <w:tcW w:type="dxa" w:w="1317"/>
          </w:tcPr>
          <w:p>
            <w:pPr>
              <w:keepNext/>
              <w:keepLines/>
            </w:pPr>
            <w:r>
              <w:rPr>
                <w:sz w:val="16"/>
              </w:rPr>
              <w:t>ANPD001 (sasineprocel)</w:t>
            </w:r>
          </w:p>
        </w:tc>
        <w:tc>
          <w:tcPr>
            <w:tcW w:type="dxa" w:w="1317"/>
          </w:tcPr>
          <w:p>
            <w:pPr>
              <w:keepNext/>
              <w:keepLines/>
            </w:pPr>
            <w:r>
              <w:rPr>
                <w:sz w:val="16"/>
              </w:rPr>
              <w:t>Parkinson's disease</w:t>
            </w:r>
          </w:p>
        </w:tc>
        <w:tc>
          <w:tcPr>
            <w:tcW w:type="dxa" w:w="1317"/>
          </w:tcPr>
          <w:p>
            <w:pPr>
              <w:keepNext/>
              <w:keepLines/>
            </w:pPr>
            <w:r>
              <w:rPr>
                <w:sz w:val="16"/>
              </w:rPr>
              <w:t>Fast Track (Oct 2023) [D44]; RMAT (Jul 30, 2026) [D44]</w:t>
            </w:r>
          </w:p>
        </w:tc>
        <w:tc>
          <w:tcPr>
            <w:tcW w:type="dxa" w:w="1317"/>
          </w:tcPr>
          <w:p>
            <w:pPr>
              <w:keepNext/>
              <w:keepLines/>
            </w:pPr>
            <w:r>
              <w:rPr>
                <w:sz w:val="16"/>
              </w:rPr>
              <w:t>~90,000 (shared PD pool) [A9]</w:t>
            </w:r>
          </w:p>
        </w:tc>
        <w:tc>
          <w:tcPr>
            <w:tcW w:type="dxa" w:w="1317"/>
          </w:tcPr>
          <w:p>
            <w:pPr>
              <w:keepNext/>
              <w:keepLines/>
            </w:pPr>
            <w:r>
              <w:rPr>
                <w:sz w:val="16"/>
              </w:rPr>
              <w:t>0 (launch after FY2031E) [C54]</w:t>
            </w:r>
          </w:p>
        </w:tc>
        <w:tc>
          <w:tcPr>
            <w:tcW w:type="dxa" w:w="1317"/>
          </w:tcPr>
          <w:p>
            <w:pPr>
              <w:keepNext/>
              <w:keepLines/>
            </w:pPr>
            <w:r>
              <w:rPr>
                <w:sz w:val="16"/>
              </w:rPr>
              <w:t>0.0</w:t>
            </w:r>
          </w:p>
        </w:tc>
        <w:tc>
          <w:tcPr>
            <w:tcW w:type="dxa" w:w="1317"/>
          </w:tcPr>
          <w:p>
            <w:pPr>
              <w:keepNext/>
              <w:keepLines/>
            </w:pPr>
            <w:r>
              <w:rPr>
                <w:sz w:val="16"/>
              </w:rPr>
              <w:t>2034 ★ (Ph1/2a ASPIRO [D44])</w:t>
            </w:r>
          </w:p>
        </w:tc>
      </w:tr>
      <w:tr>
        <w:trPr>
          <w:cantSplit/>
        </w:trPr>
        <w:tc>
          <w:tcPr>
            <w:tcW w:type="dxa" w:w="1317"/>
          </w:tcPr>
          <w:p>
            <w:pPr>
              <w:keepNext/>
              <w:keepLines/>
            </w:pPr>
            <w:r>
              <w:rPr>
                <w:sz w:val="16"/>
              </w:rPr>
              <w:t>Undisclosed</w:t>
            </w:r>
          </w:p>
        </w:tc>
        <w:tc>
          <w:tcPr>
            <w:tcW w:type="dxa" w:w="1317"/>
          </w:tcPr>
          <w:p>
            <w:pPr>
              <w:keepNext/>
              <w:keepLines/>
            </w:pPr>
            <w:r>
              <w:rPr>
                <w:sz w:val="16"/>
              </w:rPr>
              <w:t>–</w:t>
            </w:r>
          </w:p>
        </w:tc>
        <w:tc>
          <w:tcPr>
            <w:tcW w:type="dxa" w:w="1317"/>
          </w:tcPr>
          <w:p>
            <w:pPr>
              <w:keepNext/>
              <w:keepLines/>
            </w:pPr>
            <w:r>
              <w:rPr>
                <w:sz w:val="16"/>
              </w:rPr>
              <w:t>Parkinson's disease</w:t>
            </w:r>
          </w:p>
        </w:tc>
        <w:tc>
          <w:tcPr>
            <w:tcW w:type="dxa" w:w="1317"/>
          </w:tcPr>
          <w:p>
            <w:pPr>
              <w:keepNext/>
              <w:keepLines/>
            </w:pPr>
            <w:r>
              <w:rPr>
                <w:sz w:val="16"/>
              </w:rPr>
              <w:t>Not shown on slide</w:t>
            </w:r>
          </w:p>
        </w:tc>
        <w:tc>
          <w:tcPr>
            <w:tcW w:type="dxa" w:w="1317"/>
          </w:tcPr>
          <w:p>
            <w:pPr>
              <w:keepNext/>
              <w:keepLines/>
            </w:pPr>
            <w:r>
              <w:rPr>
                <w:sz w:val="16"/>
              </w:rPr>
              <w:t>~90,000 (shared) [A9]</w:t>
            </w:r>
          </w:p>
        </w:tc>
        <w:tc>
          <w:tcPr>
            <w:tcW w:type="dxa" w:w="1317"/>
          </w:tcPr>
          <w:p>
            <w:pPr>
              <w:keepNext/>
              <w:keepLines/>
            </w:pPr>
            <w:r>
              <w:rPr>
                <w:sz w:val="16"/>
              </w:rPr>
              <w:t>not quantified</w:t>
            </w:r>
          </w:p>
        </w:tc>
        <w:tc>
          <w:tcPr>
            <w:tcW w:type="dxa" w:w="1317"/>
          </w:tcPr>
          <w:p>
            <w:pPr>
              <w:keepNext/>
              <w:keepLines/>
            </w:pPr>
            <w:r>
              <w:rPr>
                <w:sz w:val="16"/>
              </w:rPr>
              <w:t>–</w:t>
            </w:r>
          </w:p>
        </w:tc>
        <w:tc>
          <w:tcPr>
            <w:tcW w:type="dxa" w:w="1317"/>
          </w:tcPr>
          <w:p>
            <w:pPr>
              <w:keepNext/>
              <w:keepLines/>
            </w:pPr>
            <w:r>
              <w:rPr>
                <w:sz w:val="16"/>
              </w:rPr>
              <w:t>–</w:t>
            </w:r>
          </w:p>
        </w:tc>
      </w:tr>
      <w:tr>
        <w:trPr>
          <w:cantSplit/>
        </w:trPr>
        <w:tc>
          <w:tcPr>
            <w:tcW w:type="dxa" w:w="1317"/>
          </w:tcPr>
          <w:p>
            <w:pPr>
              <w:keepNext/>
              <w:keepLines/>
            </w:pPr>
            <w:r>
              <w:rPr>
                <w:sz w:val="16"/>
              </w:rPr>
              <w:t>Undisclosed</w:t>
            </w:r>
          </w:p>
        </w:tc>
        <w:tc>
          <w:tcPr>
            <w:tcW w:type="dxa" w:w="1317"/>
          </w:tcPr>
          <w:p>
            <w:pPr>
              <w:keepNext/>
              <w:keepLines/>
            </w:pPr>
            <w:r>
              <w:rPr>
                <w:sz w:val="16"/>
              </w:rPr>
              <w:t>–</w:t>
            </w:r>
          </w:p>
        </w:tc>
        <w:tc>
          <w:tcPr>
            <w:tcW w:type="dxa" w:w="1317"/>
          </w:tcPr>
          <w:p>
            <w:pPr>
              <w:keepNext/>
              <w:keepLines/>
            </w:pPr>
            <w:r>
              <w:rPr>
                <w:sz w:val="16"/>
              </w:rPr>
              <w:t>Parkinson's disease</w:t>
            </w:r>
          </w:p>
        </w:tc>
        <w:tc>
          <w:tcPr>
            <w:tcW w:type="dxa" w:w="1317"/>
          </w:tcPr>
          <w:p>
            <w:pPr>
              <w:keepNext/>
              <w:keepLines/>
            </w:pPr>
            <w:r>
              <w:rPr>
                <w:sz w:val="16"/>
              </w:rPr>
              <w:t>Not shown on slide</w:t>
            </w:r>
          </w:p>
        </w:tc>
        <w:tc>
          <w:tcPr>
            <w:tcW w:type="dxa" w:w="1317"/>
          </w:tcPr>
          <w:p>
            <w:pPr>
              <w:keepNext/>
              <w:keepLines/>
            </w:pPr>
            <w:r>
              <w:rPr>
                <w:sz w:val="16"/>
              </w:rPr>
              <w:t>~90,000 (shared) [A9]</w:t>
            </w:r>
          </w:p>
        </w:tc>
        <w:tc>
          <w:tcPr>
            <w:tcW w:type="dxa" w:w="1317"/>
          </w:tcPr>
          <w:p>
            <w:pPr>
              <w:keepNext/>
              <w:keepLines/>
            </w:pPr>
            <w:r>
              <w:rPr>
                <w:sz w:val="16"/>
              </w:rPr>
              <w:t>not quantified</w:t>
            </w:r>
          </w:p>
        </w:tc>
        <w:tc>
          <w:tcPr>
            <w:tcW w:type="dxa" w:w="1317"/>
          </w:tcPr>
          <w:p>
            <w:pPr>
              <w:keepNext/>
              <w:keepLines/>
            </w:pPr>
            <w:r>
              <w:rPr>
                <w:sz w:val="16"/>
              </w:rPr>
              <w:t>–</w:t>
            </w:r>
          </w:p>
        </w:tc>
        <w:tc>
          <w:tcPr>
            <w:tcW w:type="dxa" w:w="1317"/>
          </w:tcPr>
          <w:p>
            <w:pPr>
              <w:keepNext/>
              <w:keepLines/>
            </w:pPr>
            <w:r>
              <w:rPr>
                <w:sz w:val="16"/>
              </w:rPr>
              <w:t>–</w:t>
            </w:r>
          </w:p>
        </w:tc>
      </w:tr>
      <w:tr>
        <w:trPr>
          <w:cantSplit/>
        </w:trPr>
        <w:tc>
          <w:tcPr>
            <w:tcW w:type="dxa" w:w="1317"/>
          </w:tcPr>
          <w:p>
            <w:pPr>
              <w:keepNext/>
              <w:keepLines/>
            </w:pPr>
            <w:r>
              <w:rPr>
                <w:sz w:val="16"/>
              </w:rPr>
              <w:t>Neurona</w:t>
            </w:r>
          </w:p>
        </w:tc>
        <w:tc>
          <w:tcPr>
            <w:tcW w:type="dxa" w:w="1317"/>
          </w:tcPr>
          <w:p>
            <w:pPr>
              <w:keepNext/>
              <w:keepLines/>
            </w:pPr>
            <w:r>
              <w:rPr>
                <w:sz w:val="16"/>
              </w:rPr>
              <w:t>NRTX-1001 (rezanecel)</w:t>
            </w:r>
          </w:p>
        </w:tc>
        <w:tc>
          <w:tcPr>
            <w:tcW w:type="dxa" w:w="1317"/>
          </w:tcPr>
          <w:p>
            <w:pPr>
              <w:keepNext/>
              <w:keepLines/>
            </w:pPr>
            <w:r>
              <w:rPr>
                <w:sz w:val="16"/>
              </w:rPr>
              <w:t>Drug-resistant mesial temporal lobe epilepsy</w:t>
            </w:r>
          </w:p>
        </w:tc>
        <w:tc>
          <w:tcPr>
            <w:tcW w:type="dxa" w:w="1317"/>
          </w:tcPr>
          <w:p>
            <w:pPr>
              <w:keepNext/>
              <w:keepLines/>
            </w:pPr>
            <w:r>
              <w:rPr>
                <w:sz w:val="16"/>
              </w:rPr>
              <w:t>RMAT (Jun 2024) [D45]</w:t>
            </w:r>
          </w:p>
        </w:tc>
        <w:tc>
          <w:tcPr>
            <w:tcW w:type="dxa" w:w="1317"/>
          </w:tcPr>
          <w:p>
            <w:pPr>
              <w:keepNext/>
              <w:keepLines/>
            </w:pPr>
            <w:r>
              <w:rPr>
                <w:sz w:val="16"/>
              </w:rPr>
              <w:t>~10,000–11,000 [A21]; prevalence 143k–191k [A21]</w:t>
            </w:r>
          </w:p>
        </w:tc>
        <w:tc>
          <w:tcPr>
            <w:tcW w:type="dxa" w:w="1317"/>
          </w:tcPr>
          <w:p>
            <w:pPr>
              <w:keepNext/>
              <w:keepLines/>
            </w:pPr>
            <w:r>
              <w:rPr>
                <w:sz w:val="16"/>
              </w:rPr>
              <w:t>1,200 [S58]</w:t>
            </w:r>
          </w:p>
        </w:tc>
        <w:tc>
          <w:tcPr>
            <w:tcW w:type="dxa" w:w="1317"/>
          </w:tcPr>
          <w:p>
            <w:pPr>
              <w:keepNext/>
              <w:keepLines/>
            </w:pPr>
            <w:r>
              <w:rPr>
                <w:sz w:val="16"/>
              </w:rPr>
              <w:t>24.0</w:t>
            </w:r>
          </w:p>
        </w:tc>
        <w:tc>
          <w:tcPr>
            <w:tcW w:type="dxa" w:w="1317"/>
          </w:tcPr>
          <w:p>
            <w:pPr>
              <w:keepNext/>
              <w:keepLines/>
            </w:pPr>
            <w:r>
              <w:rPr>
                <w:sz w:val="16"/>
              </w:rPr>
              <w:t>2030 ★ (Ph3 primary completion Feb 2029 [D45])</w:t>
            </w:r>
          </w:p>
        </w:tc>
      </w:tr>
      <w:tr>
        <w:trPr>
          <w:cantSplit/>
        </w:trPr>
        <w:tc>
          <w:tcPr>
            <w:tcW w:type="dxa" w:w="1317"/>
          </w:tcPr>
          <w:p>
            <w:pPr>
              <w:keepNext/>
              <w:keepLines/>
            </w:pPr>
            <w:r>
              <w:rPr>
                <w:sz w:val="16"/>
              </w:rPr>
              <w:t>AviadoBio</w:t>
            </w:r>
          </w:p>
        </w:tc>
        <w:tc>
          <w:tcPr>
            <w:tcW w:type="dxa" w:w="1317"/>
          </w:tcPr>
          <w:p>
            <w:pPr>
              <w:keepNext/>
              <w:keepLines/>
            </w:pPr>
            <w:r>
              <w:rPr>
                <w:sz w:val="16"/>
              </w:rPr>
              <w:t>AVB-101</w:t>
            </w:r>
          </w:p>
        </w:tc>
        <w:tc>
          <w:tcPr>
            <w:tcW w:type="dxa" w:w="1317"/>
          </w:tcPr>
          <w:p>
            <w:pPr>
              <w:keepNext/>
              <w:keepLines/>
            </w:pPr>
            <w:r>
              <w:rPr>
                <w:sz w:val="16"/>
              </w:rPr>
              <w:t>Frontotemporal dementia, GRN mutation</w:t>
            </w:r>
          </w:p>
        </w:tc>
        <w:tc>
          <w:tcPr>
            <w:tcW w:type="dxa" w:w="1317"/>
          </w:tcPr>
          <w:p>
            <w:pPr>
              <w:keepNext/>
              <w:keepLines/>
            </w:pPr>
            <w:r>
              <w:rPr>
                <w:sz w:val="16"/>
              </w:rPr>
              <w:t>Fast Track (Nov 2023); Orphan [D46]</w:t>
            </w:r>
          </w:p>
        </w:tc>
        <w:tc>
          <w:tcPr>
            <w:tcW w:type="dxa" w:w="1317"/>
          </w:tcPr>
          <w:p>
            <w:pPr>
              <w:keepNext/>
              <w:keepLines/>
            </w:pPr>
            <w:r>
              <w:rPr>
                <w:sz w:val="16"/>
              </w:rPr>
              <w:t>~140 (derived) [C53]; prevalence ~1,000–1,500 [A23]</w:t>
            </w:r>
          </w:p>
        </w:tc>
        <w:tc>
          <w:tcPr>
            <w:tcW w:type="dxa" w:w="1317"/>
          </w:tcPr>
          <w:p>
            <w:pPr>
              <w:keepNext/>
              <w:keepLines/>
            </w:pPr>
            <w:r>
              <w:rPr>
                <w:sz w:val="16"/>
              </w:rPr>
              <w:t>10 [S58]</w:t>
            </w:r>
          </w:p>
        </w:tc>
        <w:tc>
          <w:tcPr>
            <w:tcW w:type="dxa" w:w="1317"/>
          </w:tcPr>
          <w:p>
            <w:pPr>
              <w:keepNext/>
              <w:keepLines/>
            </w:pPr>
            <w:r>
              <w:rPr>
                <w:sz w:val="16"/>
              </w:rPr>
              <w:t>0.2</w:t>
            </w:r>
          </w:p>
        </w:tc>
        <w:tc>
          <w:tcPr>
            <w:tcW w:type="dxa" w:w="1317"/>
          </w:tcPr>
          <w:p>
            <w:pPr>
              <w:keepNext/>
              <w:keepLines/>
            </w:pPr>
            <w:r>
              <w:rPr>
                <w:sz w:val="16"/>
              </w:rPr>
              <w:t>2031 ★ (Ph1/2 primary completion Apr 2027 [D46])</w:t>
            </w:r>
          </w:p>
        </w:tc>
      </w:tr>
      <w:tr>
        <w:trPr>
          <w:cantSplit/>
        </w:trPr>
        <w:tc>
          <w:tcPr>
            <w:tcW w:type="dxa" w:w="1317"/>
          </w:tcPr>
          <w:p>
            <w:pPr>
              <w:keepNext/>
              <w:keepLines/>
            </w:pPr>
            <w:r>
              <w:rPr>
                <w:sz w:val="16"/>
              </w:rPr>
              <w:t>Undisclosed</w:t>
            </w:r>
          </w:p>
        </w:tc>
        <w:tc>
          <w:tcPr>
            <w:tcW w:type="dxa" w:w="1317"/>
          </w:tcPr>
          <w:p>
            <w:pPr>
              <w:keepNext/>
              <w:keepLines/>
            </w:pPr>
            <w:r>
              <w:rPr>
                <w:sz w:val="16"/>
              </w:rPr>
              <w:t>–</w:t>
            </w:r>
          </w:p>
        </w:tc>
        <w:tc>
          <w:tcPr>
            <w:tcW w:type="dxa" w:w="1317"/>
          </w:tcPr>
          <w:p>
            <w:pPr>
              <w:keepNext/>
              <w:keepLines/>
            </w:pPr>
            <w:r>
              <w:rPr>
                <w:sz w:val="16"/>
              </w:rPr>
              <w:t>Friedreich's ataxia</w:t>
            </w:r>
          </w:p>
        </w:tc>
        <w:tc>
          <w:tcPr>
            <w:tcW w:type="dxa" w:w="1317"/>
          </w:tcPr>
          <w:p>
            <w:pPr>
              <w:keepNext/>
              <w:keepLines/>
            </w:pPr>
            <w:r>
              <w:rPr>
                <w:sz w:val="16"/>
              </w:rPr>
              <w:t>Not shown on slide</w:t>
            </w:r>
          </w:p>
        </w:tc>
        <w:tc>
          <w:tcPr>
            <w:tcW w:type="dxa" w:w="1317"/>
          </w:tcPr>
          <w:p>
            <w:pPr>
              <w:keepNext/>
              <w:keepLines/>
            </w:pPr>
            <w:r>
              <w:rPr>
                <w:sz w:val="16"/>
              </w:rPr>
              <w:t>~70 births (1/50,000 × 3.63M, derived) [A29][A26]; prevalence ~5,000 [A29]</w:t>
            </w:r>
          </w:p>
        </w:tc>
        <w:tc>
          <w:tcPr>
            <w:tcW w:type="dxa" w:w="1317"/>
          </w:tcPr>
          <w:p>
            <w:pPr>
              <w:keepNext/>
              <w:keepLines/>
            </w:pPr>
            <w:r>
              <w:rPr>
                <w:sz w:val="16"/>
              </w:rPr>
              <w:t>not quantified</w:t>
            </w:r>
          </w:p>
        </w:tc>
        <w:tc>
          <w:tcPr>
            <w:tcW w:type="dxa" w:w="1317"/>
          </w:tcPr>
          <w:p>
            <w:pPr>
              <w:keepNext/>
              <w:keepLines/>
            </w:pPr>
            <w:r>
              <w:rPr>
                <w:sz w:val="16"/>
              </w:rPr>
              <w:t>–</w:t>
            </w:r>
          </w:p>
        </w:tc>
        <w:tc>
          <w:tcPr>
            <w:tcW w:type="dxa" w:w="1317"/>
          </w:tcPr>
          <w:p>
            <w:pPr>
              <w:keepNext/>
              <w:keepLines/>
            </w:pPr>
            <w:r>
              <w:rPr>
                <w:sz w:val="16"/>
              </w:rPr>
              <w:t>–</w:t>
            </w:r>
          </w:p>
        </w:tc>
      </w:tr>
      <w:tr>
        <w:trPr>
          <w:cantSplit/>
        </w:trPr>
        <w:tc>
          <w:tcPr>
            <w:tcW w:type="dxa" w:w="1317"/>
          </w:tcPr>
          <w:p>
            <w:pPr>
              <w:keepNext/>
              <w:keepLines/>
            </w:pPr>
            <w:r>
              <w:rPr>
                <w:sz w:val="16"/>
              </w:rPr>
              <w:t>uniQure</w:t>
            </w:r>
          </w:p>
        </w:tc>
        <w:tc>
          <w:tcPr>
            <w:tcW w:type="dxa" w:w="1317"/>
          </w:tcPr>
          <w:p>
            <w:pPr>
              <w:keepNext/>
              <w:keepLines/>
            </w:pPr>
            <w:r>
              <w:rPr>
                <w:sz w:val="16"/>
              </w:rPr>
              <w:t>AMT-130</w:t>
            </w:r>
          </w:p>
        </w:tc>
        <w:tc>
          <w:tcPr>
            <w:tcW w:type="dxa" w:w="1317"/>
          </w:tcPr>
          <w:p>
            <w:pPr>
              <w:keepNext/>
              <w:keepLines/>
            </w:pPr>
            <w:r>
              <w:rPr>
                <w:sz w:val="16"/>
              </w:rPr>
              <w:t>Huntington's disease</w:t>
            </w:r>
          </w:p>
        </w:tc>
        <w:tc>
          <w:tcPr>
            <w:tcW w:type="dxa" w:w="1317"/>
          </w:tcPr>
          <w:p>
            <w:pPr>
              <w:keepNext/>
              <w:keepLines/>
            </w:pPr>
            <w:r>
              <w:rPr>
                <w:sz w:val="16"/>
              </w:rPr>
              <w:t>RMAT (Jun 2024); Breakthrough (Apr 2025) [D47]</w:t>
            </w:r>
          </w:p>
        </w:tc>
        <w:tc>
          <w:tcPr>
            <w:tcW w:type="dxa" w:w="1317"/>
          </w:tcPr>
          <w:p>
            <w:pPr>
              <w:keepNext/>
              <w:keepLines/>
            </w:pPr>
            <w:r>
              <w:rPr>
                <w:sz w:val="16"/>
              </w:rPr>
              <w:t>~4,087 [C23]</w:t>
            </w:r>
          </w:p>
        </w:tc>
        <w:tc>
          <w:tcPr>
            <w:tcW w:type="dxa" w:w="1317"/>
          </w:tcPr>
          <w:p>
            <w:pPr>
              <w:keepNext/>
              <w:keepLines/>
            </w:pPr>
            <w:r>
              <w:rPr>
                <w:sz w:val="16"/>
              </w:rPr>
              <w:t>3,000 [S30]</w:t>
            </w:r>
          </w:p>
        </w:tc>
        <w:tc>
          <w:tcPr>
            <w:tcW w:type="dxa" w:w="1317"/>
          </w:tcPr>
          <w:p>
            <w:pPr>
              <w:keepNext/>
              <w:keepLines/>
            </w:pPr>
            <w:r>
              <w:rPr>
                <w:sz w:val="16"/>
              </w:rPr>
              <w:t>60.0</w:t>
            </w:r>
          </w:p>
        </w:tc>
        <w:tc>
          <w:tcPr>
            <w:tcW w:type="dxa" w:w="1317"/>
          </w:tcPr>
          <w:p>
            <w:pPr>
              <w:keepNext/>
              <w:keepLines/>
            </w:pPr>
            <w:r>
              <w:rPr>
                <w:sz w:val="16"/>
              </w:rPr>
              <w:t>2027 (action date late Apr/early May 2027 [D9])</w:t>
            </w:r>
          </w:p>
        </w:tc>
      </w:tr>
      <w:tr>
        <w:trPr>
          <w:cantSplit/>
        </w:trPr>
        <w:tc>
          <w:tcPr>
            <w:tcW w:type="dxa" w:w="1317"/>
          </w:tcPr>
          <w:p>
            <w:pPr>
              <w:keepNext/>
              <w:keepLines/>
            </w:pPr>
            <w:r>
              <w:rPr>
                <w:sz w:val="16"/>
              </w:rPr>
              <w:t>Siren</w:t>
            </w:r>
          </w:p>
        </w:tc>
        <w:tc>
          <w:tcPr>
            <w:tcW w:type="dxa" w:w="1317"/>
          </w:tcPr>
          <w:p>
            <w:pPr>
              <w:keepNext/>
              <w:keepLines/>
            </w:pPr>
            <w:r>
              <w:rPr>
                <w:sz w:val="16"/>
              </w:rPr>
              <w:t>SRN-101</w:t>
            </w:r>
          </w:p>
        </w:tc>
        <w:tc>
          <w:tcPr>
            <w:tcW w:type="dxa" w:w="1317"/>
          </w:tcPr>
          <w:p>
            <w:pPr>
              <w:keepNext/>
              <w:keepLines/>
            </w:pPr>
            <w:r>
              <w:rPr>
                <w:sz w:val="16"/>
              </w:rPr>
              <w:t>Recurrent high-grade glioma</w:t>
            </w:r>
          </w:p>
        </w:tc>
        <w:tc>
          <w:tcPr>
            <w:tcW w:type="dxa" w:w="1317"/>
          </w:tcPr>
          <w:p>
            <w:pPr>
              <w:keepNext/>
              <w:keepLines/>
            </w:pPr>
            <w:r>
              <w:rPr>
                <w:sz w:val="16"/>
              </w:rPr>
              <w:t>None found (preclinical/Ph1 not yet recruiting) [D48] – unverified</w:t>
            </w:r>
          </w:p>
        </w:tc>
        <w:tc>
          <w:tcPr>
            <w:tcW w:type="dxa" w:w="1317"/>
          </w:tcPr>
          <w:p>
            <w:pPr>
              <w:keepNext/>
              <w:keepLines/>
            </w:pPr>
            <w:r>
              <w:rPr>
                <w:sz w:val="16"/>
              </w:rPr>
              <w:t>~13,450 glioblastoma [A28]</w:t>
            </w:r>
          </w:p>
        </w:tc>
        <w:tc>
          <w:tcPr>
            <w:tcW w:type="dxa" w:w="1317"/>
          </w:tcPr>
          <w:p>
            <w:pPr>
              <w:keepNext/>
              <w:keepLines/>
            </w:pPr>
            <w:r>
              <w:rPr>
                <w:sz w:val="16"/>
              </w:rPr>
              <w:t>0 (launch after FY2031E)</w:t>
            </w:r>
          </w:p>
        </w:tc>
        <w:tc>
          <w:tcPr>
            <w:tcW w:type="dxa" w:w="1317"/>
          </w:tcPr>
          <w:p>
            <w:pPr>
              <w:keepNext/>
              <w:keepLines/>
            </w:pPr>
            <w:r>
              <w:rPr>
                <w:sz w:val="16"/>
              </w:rPr>
              <w:t>0.0</w:t>
            </w:r>
          </w:p>
        </w:tc>
        <w:tc>
          <w:tcPr>
            <w:tcW w:type="dxa" w:w="1317"/>
          </w:tcPr>
          <w:p>
            <w:pPr>
              <w:keepNext/>
              <w:keepLines/>
            </w:pPr>
            <w:r>
              <w:rPr>
                <w:sz w:val="16"/>
              </w:rPr>
              <w:t>2034 ★ (Ph1 not yet recruiting [D48])</w:t>
            </w:r>
          </w:p>
        </w:tc>
      </w:tr>
      <w:tr>
        <w:trPr>
          <w:cantSplit/>
        </w:trPr>
        <w:tc>
          <w:tcPr>
            <w:tcW w:type="dxa" w:w="1317"/>
          </w:tcPr>
          <w:p>
            <w:pPr>
              <w:keepNext/>
              <w:keepLines/>
            </w:pPr>
            <w:r>
              <w:rPr>
                <w:sz w:val="16"/>
              </w:rPr>
              <w:t>PTC</w:t>
            </w:r>
          </w:p>
        </w:tc>
        <w:tc>
          <w:tcPr>
            <w:tcW w:type="dxa" w:w="1317"/>
          </w:tcPr>
          <w:p>
            <w:pPr>
              <w:keepNext/>
              <w:keepLines/>
            </w:pPr>
            <w:r>
              <w:rPr>
                <w:sz w:val="16"/>
              </w:rPr>
              <w:t>KEBILIDI / Upstaza</w:t>
            </w:r>
          </w:p>
        </w:tc>
        <w:tc>
          <w:tcPr>
            <w:tcW w:type="dxa" w:w="1317"/>
          </w:tcPr>
          <w:p>
            <w:pPr>
              <w:keepNext/>
              <w:keepLines/>
            </w:pPr>
            <w:r>
              <w:rPr>
                <w:sz w:val="16"/>
              </w:rPr>
              <w:t>AADC deficiency</w:t>
            </w:r>
          </w:p>
        </w:tc>
        <w:tc>
          <w:tcPr>
            <w:tcW w:type="dxa" w:w="1317"/>
          </w:tcPr>
          <w:p>
            <w:pPr>
              <w:keepNext/>
              <w:keepLines/>
            </w:pPr>
            <w:r>
              <w:rPr>
                <w:sz w:val="16"/>
              </w:rPr>
              <w:t>Approved Nov 13, 2024 (accelerated); Priority Review, Orphan, RPD voucher [D49]; RMAT/Fast Track unverified</w:t>
            </w:r>
          </w:p>
        </w:tc>
        <w:tc>
          <w:tcPr>
            <w:tcW w:type="dxa" w:w="1317"/>
          </w:tcPr>
          <w:p>
            <w:pPr>
              <w:keepNext/>
              <w:keepLines/>
            </w:pPr>
            <w:r>
              <w:rPr>
                <w:sz w:val="16"/>
              </w:rPr>
              <w:t>~40 (derived) [A25][A26]</w:t>
            </w:r>
          </w:p>
        </w:tc>
        <w:tc>
          <w:tcPr>
            <w:tcW w:type="dxa" w:w="1317"/>
          </w:tcPr>
          <w:p>
            <w:pPr>
              <w:keepNext/>
              <w:keepLines/>
            </w:pPr>
            <w:r>
              <w:rPr>
                <w:sz w:val="16"/>
              </w:rPr>
              <w:t>14 [C50]</w:t>
            </w:r>
          </w:p>
        </w:tc>
        <w:tc>
          <w:tcPr>
            <w:tcW w:type="dxa" w:w="1317"/>
          </w:tcPr>
          <w:p>
            <w:pPr>
              <w:keepNext/>
              <w:keepLines/>
            </w:pPr>
            <w:r>
              <w:rPr>
                <w:sz w:val="16"/>
              </w:rPr>
              <w:t>0.3</w:t>
            </w:r>
          </w:p>
        </w:tc>
        <w:tc>
          <w:tcPr>
            <w:tcW w:type="dxa" w:w="1317"/>
          </w:tcPr>
          <w:p>
            <w:pPr>
              <w:keepNext/>
              <w:keepLines/>
            </w:pPr>
            <w:r>
              <w:rPr>
                <w:sz w:val="16"/>
              </w:rPr>
              <w:t>Approved 2024 [D49]</w:t>
            </w:r>
          </w:p>
        </w:tc>
      </w:tr>
      <w:tr>
        <w:trPr>
          <w:cantSplit/>
        </w:trPr>
        <w:tc>
          <w:tcPr>
            <w:tcW w:type="dxa" w:w="1317"/>
          </w:tcPr>
          <w:p>
            <w:pPr>
              <w:keepNext/>
              <w:keepLines/>
            </w:pPr>
            <w:r>
              <w:rPr>
                <w:sz w:val="16"/>
              </w:rPr>
              <w:t>REGENXBIO</w:t>
            </w:r>
          </w:p>
        </w:tc>
        <w:tc>
          <w:tcPr>
            <w:tcW w:type="dxa" w:w="1317"/>
          </w:tcPr>
          <w:p>
            <w:pPr>
              <w:keepNext/>
              <w:keepLines/>
            </w:pPr>
            <w:r>
              <w:rPr>
                <w:sz w:val="16"/>
              </w:rPr>
              <w:t>RGX-121 (clemidsogene lanparvovec)</w:t>
            </w:r>
          </w:p>
        </w:tc>
        <w:tc>
          <w:tcPr>
            <w:tcW w:type="dxa" w:w="1317"/>
          </w:tcPr>
          <w:p>
            <w:pPr>
              <w:keepNext/>
              <w:keepLines/>
            </w:pPr>
            <w:r>
              <w:rPr>
                <w:sz w:val="16"/>
              </w:rPr>
              <w:t>Hunter syndrome (MPS II, neuronopathic)</w:t>
            </w:r>
          </w:p>
        </w:tc>
        <w:tc>
          <w:tcPr>
            <w:tcW w:type="dxa" w:w="1317"/>
          </w:tcPr>
          <w:p>
            <w:pPr>
              <w:keepNext/>
              <w:keepLines/>
            </w:pPr>
            <w:r>
              <w:rPr>
                <w:sz w:val="16"/>
              </w:rPr>
              <w:t>Fast Track (2018); RMAT (2023); Orphan; RPD [D50]</w:t>
            </w:r>
          </w:p>
        </w:tc>
        <w:tc>
          <w:tcPr>
            <w:tcW w:type="dxa" w:w="1317"/>
          </w:tcPr>
          <w:p>
            <w:pPr>
              <w:keepNext/>
              <w:keepLines/>
            </w:pPr>
            <w:r>
              <w:rPr>
                <w:sz w:val="16"/>
              </w:rPr>
              <w:t>~11 (derived) [A27][A26]</w:t>
            </w:r>
          </w:p>
        </w:tc>
        <w:tc>
          <w:tcPr>
            <w:tcW w:type="dxa" w:w="1317"/>
          </w:tcPr>
          <w:p>
            <w:pPr>
              <w:keepNext/>
              <w:keepLines/>
            </w:pPr>
            <w:r>
              <w:rPr>
                <w:sz w:val="16"/>
              </w:rPr>
              <w:t>2 [C50]</w:t>
            </w:r>
          </w:p>
        </w:tc>
        <w:tc>
          <w:tcPr>
            <w:tcW w:type="dxa" w:w="1317"/>
          </w:tcPr>
          <w:p>
            <w:pPr>
              <w:keepNext/>
              <w:keepLines/>
            </w:pPr>
            <w:r>
              <w:rPr>
                <w:sz w:val="16"/>
              </w:rPr>
              <w:t>&lt;0.1 (0.04)</w:t>
            </w:r>
          </w:p>
        </w:tc>
        <w:tc>
          <w:tcPr>
            <w:tcW w:type="dxa" w:w="1317"/>
          </w:tcPr>
          <w:p>
            <w:pPr>
              <w:keepNext/>
              <w:keepLines/>
            </w:pPr>
            <w:r>
              <w:rPr>
                <w:sz w:val="16"/>
              </w:rPr>
              <w:t>2029 ★ (CRL Feb 2026; clinical hold Aug 2026 [D50])</w:t>
            </w:r>
          </w:p>
        </w:tc>
      </w:tr>
      <w:tr>
        <w:trPr>
          <w:cantSplit/>
        </w:trPr>
        <w:tc>
          <w:tcPr>
            <w:tcW w:type="dxa" w:w="1317"/>
          </w:tcPr>
          <w:p>
            <w:r>
              <w:rPr>
                <w:b/>
                <w:sz w:val="16"/>
              </w:rPr>
              <w:t>Total (quantified)</w:t>
            </w:r>
          </w:p>
        </w:tc>
        <w:tc>
          <w:tcPr>
            <w:tcW w:type="dxa" w:w="1317"/>
          </w:tcPr>
          <w:p/>
        </w:tc>
        <w:tc>
          <w:tcPr>
            <w:tcW w:type="dxa" w:w="1317"/>
          </w:tcPr>
          <w:p/>
        </w:tc>
        <w:tc>
          <w:tcPr>
            <w:tcW w:type="dxa" w:w="1317"/>
          </w:tcPr>
          <w:p/>
        </w:tc>
        <w:tc>
          <w:tcPr>
            <w:tcW w:type="dxa" w:w="1317"/>
          </w:tcPr>
          <w:p/>
        </w:tc>
        <w:tc>
          <w:tcPr>
            <w:tcW w:type="dxa" w:w="1317"/>
          </w:tcPr>
          <w:p>
            <w:r>
              <w:rPr>
                <w:b/>
                <w:sz w:val="16"/>
              </w:rPr>
              <w:t>8,726</w:t>
            </w:r>
          </w:p>
        </w:tc>
        <w:tc>
          <w:tcPr>
            <w:tcW w:type="dxa" w:w="1317"/>
          </w:tcPr>
          <w:p>
            <w:r>
              <w:rPr>
                <w:b/>
                <w:sz w:val="16"/>
              </w:rPr>
              <w:t>174.5</w:t>
            </w:r>
          </w:p>
        </w:tc>
        <w:tc>
          <w:tcPr>
            <w:tcW w:type="dxa" w:w="1317"/>
          </w:tcPr>
          <w:p/>
        </w:tc>
      </w:tr>
    </w:tbl>
    <w:p/>
    <w:p>
      <w:r>
        <w:rPr>
          <w:i/>
        </w:rPr>
        <w:t>Source: slide 23 [D40]; tags as shown. Designations are not on the slide (its title says "10+ Programs Are Already Under FDA Expedited Review"); they come from partner releases. PD therapies share one patient pool (Figure D2a), so their rows are not independent. Values are FY2031E, the last explicit year, from Figure D3; steady-state funnel sizes for each program are in Figures D2a–D2f. Programs launching after FY2031E show zero.</w:t>
      </w:r>
    </w:p>
    <w:p>
      <w:r>
        <w:t>The four Parkinson's therapies share one patient pool, so we allocate one-time class demand (Appendix C) among them rather than size each separately. Each year, one-time class demand = 6% of the eligible pool (DBS not deducted). In this illustration BRT-DA01 keeps a single-product launch ramp to 5,000 (330 → 2,500 → 4,500 → 5,000) [S20], capped at class demand; the cap never binds, as class demand is 11,100–11,800 a year in FY2029E–31E. The remainder (class − bemdaneprocel) is split AB-1005 52% / ANPD001 24% / RNDP-001 24% [S52] ★. Each row is the smaller of its launch ramp (AB-1005 300 → 1,200 → 2,200; ANPD001 and RNDP-001 200 → 600 → 1,000) and its share of demand; their launches fall after FY2031E, so they are zero in every explicit year. Demand not taken up before a product launches is not carried forward ★. FY2031E: 4,500 / 0 / 0 / 0. In the forecast and valuation, class volume follows the three-year ramp to class demand and is not split (S62, S64).</w:t>
      </w:r>
    </w:p>
    <w:p>
      <w:pPr>
        <w:keepNext/>
        <w:keepLines/>
      </w:pPr>
      <w:r>
        <w:rPr>
          <w:b/>
        </w:rPr>
        <w:t>Figure D2a – Funnel: PD class (shared) – eligible-pool model</w:t>
      </w:r>
    </w:p>
    <w:tbl>
      <w:tblPr>
        <w:tblStyle w:val="TableGrid"/>
        <w:tblW w:type="auto" w:w="0"/>
        <w:tblLook w:firstColumn="1" w:firstRow="1" w:lastColumn="0" w:lastRow="0" w:noHBand="0" w:noVBand="1" w:val="04A0"/>
      </w:tblPr>
      <w:tblGrid>
        <w:gridCol w:w="2635"/>
        <w:gridCol w:w="2635"/>
        <w:gridCol w:w="2635"/>
        <w:gridCol w:w="2635"/>
      </w:tblGrid>
      <w:tr>
        <w:trPr>
          <w:cantSplit/>
          <w:tblHeader/>
        </w:trPr>
        <w:tc>
          <w:tcPr>
            <w:tcW w:type="dxa" w:w="2635"/>
          </w:tcPr>
          <w:p>
            <w:pPr>
              <w:keepNext/>
              <w:keepLines/>
            </w:pPr>
            <w:r>
              <w:rPr>
                <w:b/>
                <w:sz w:val="16"/>
              </w:rPr>
              <w:t>Step</w:t>
            </w:r>
          </w:p>
        </w:tc>
        <w:tc>
          <w:tcPr>
            <w:tcW w:type="dxa" w:w="2635"/>
          </w:tcPr>
          <w:p>
            <w:pPr>
              <w:keepNext/>
              <w:keepLines/>
            </w:pPr>
            <w:r>
              <w:rPr>
                <w:b/>
                <w:sz w:val="16"/>
              </w:rPr>
              <w:t>Rate / input</w:t>
            </w:r>
          </w:p>
        </w:tc>
        <w:tc>
          <w:tcPr>
            <w:tcW w:type="dxa" w:w="2635"/>
          </w:tcPr>
          <w:p>
            <w:pPr>
              <w:keepNext/>
              <w:keepLines/>
            </w:pPr>
            <w:r>
              <w:rPr>
                <w:b/>
                <w:sz w:val="16"/>
              </w:rPr>
              <w:t>Result</w:t>
            </w:r>
          </w:p>
        </w:tc>
        <w:tc>
          <w:tcPr>
            <w:tcW w:type="dxa" w:w="2635"/>
          </w:tcPr>
          <w:p>
            <w:pPr>
              <w:keepNext/>
              <w:keepLines/>
            </w:pPr>
            <w:r>
              <w:rPr>
                <w:b/>
                <w:sz w:val="16"/>
              </w:rPr>
              <w:t>Source</w:t>
            </w:r>
          </w:p>
        </w:tc>
      </w:tr>
      <w:tr>
        <w:trPr>
          <w:cantSplit/>
        </w:trPr>
        <w:tc>
          <w:tcPr>
            <w:tcW w:type="dxa" w:w="2635"/>
          </w:tcPr>
          <w:p>
            <w:pPr>
              <w:keepNext/>
              <w:keepLines/>
            </w:pPr>
            <w:r>
              <w:rPr>
                <w:sz w:val="16"/>
              </w:rPr>
              <w:t>US PD prevalence FY2026 (≥930k in 2020, 1.238M in 2030, log-linear; minimum estimates)</w:t>
            </w:r>
          </w:p>
        </w:tc>
        <w:tc>
          <w:tcPr>
            <w:tcW w:type="dxa" w:w="2635"/>
          </w:tcPr>
          <w:p>
            <w:pPr>
              <w:keepNext/>
              <w:keepLines/>
            </w:pPr>
            <w:r>
              <w:rPr>
                <w:sz w:val="16"/>
              </w:rPr>
              <w:t>+2.9%/yr</w:t>
            </w:r>
          </w:p>
        </w:tc>
        <w:tc>
          <w:tcPr>
            <w:tcW w:type="dxa" w:w="2635"/>
          </w:tcPr>
          <w:p>
            <w:pPr>
              <w:keepNext/>
              <w:keepLines/>
            </w:pPr>
            <w:r>
              <w:rPr>
                <w:sz w:val="16"/>
              </w:rPr>
              <w:t>~1,104,000</w:t>
            </w:r>
          </w:p>
        </w:tc>
        <w:tc>
          <w:tcPr>
            <w:tcW w:type="dxa" w:w="2635"/>
          </w:tcPr>
          <w:p>
            <w:pPr>
              <w:keepNext/>
              <w:keepLines/>
            </w:pPr>
            <w:r>
              <w:rPr>
                <w:sz w:val="16"/>
              </w:rPr>
              <w:t>A30, C41</w:t>
            </w:r>
          </w:p>
        </w:tc>
      </w:tr>
      <w:tr>
        <w:trPr>
          <w:cantSplit/>
        </w:trPr>
        <w:tc>
          <w:tcPr>
            <w:tcW w:type="dxa" w:w="2635"/>
          </w:tcPr>
          <w:p>
            <w:pPr>
              <w:keepNext/>
              <w:keepLines/>
            </w:pPr>
            <w:r>
              <w:rPr>
                <w:sz w:val="16"/>
              </w:rPr>
              <w:t>× diagnosed ≥4 yrs and no dementia (0.73 − 0.28)</w:t>
            </w:r>
          </w:p>
        </w:tc>
        <w:tc>
          <w:tcPr>
            <w:tcW w:type="dxa" w:w="2635"/>
          </w:tcPr>
          <w:p>
            <w:pPr>
              <w:keepNext/>
              <w:keepLines/>
            </w:pPr>
            <w:r>
              <w:rPr>
                <w:sz w:val="16"/>
              </w:rPr>
              <w:t>45%</w:t>
            </w:r>
          </w:p>
        </w:tc>
        <w:tc>
          <w:tcPr>
            <w:tcW w:type="dxa" w:w="2635"/>
          </w:tcPr>
          <w:p>
            <w:pPr>
              <w:keepNext/>
              <w:keepLines/>
            </w:pPr>
            <w:r>
              <w:rPr>
                <w:sz w:val="16"/>
              </w:rPr>
              <w:t>~496,000</w:t>
            </w:r>
          </w:p>
        </w:tc>
        <w:tc>
          <w:tcPr>
            <w:tcW w:type="dxa" w:w="2635"/>
          </w:tcPr>
          <w:p>
            <w:pPr>
              <w:keepNext/>
              <w:keepLines/>
            </w:pPr>
            <w:r>
              <w:rPr>
                <w:sz w:val="16"/>
              </w:rPr>
              <w:t>A31, A32, C44</w:t>
            </w:r>
          </w:p>
        </w:tc>
      </w:tr>
      <w:tr>
        <w:trPr>
          <w:cantSplit/>
        </w:trPr>
        <w:tc>
          <w:tcPr>
            <w:tcW w:type="dxa" w:w="2635"/>
          </w:tcPr>
          <w:p>
            <w:pPr>
              <w:keepNext/>
              <w:keepLines/>
            </w:pPr>
            <w:r>
              <w:rPr>
                <w:sz w:val="16"/>
              </w:rPr>
              <w:t>× motor complications ★</w:t>
            </w:r>
          </w:p>
        </w:tc>
        <w:tc>
          <w:tcPr>
            <w:tcW w:type="dxa" w:w="2635"/>
          </w:tcPr>
          <w:p>
            <w:pPr>
              <w:keepNext/>
              <w:keepLines/>
            </w:pPr>
            <w:r>
              <w:rPr>
                <w:sz w:val="16"/>
              </w:rPr>
              <w:t>50%</w:t>
            </w:r>
          </w:p>
        </w:tc>
        <w:tc>
          <w:tcPr>
            <w:tcW w:type="dxa" w:w="2635"/>
          </w:tcPr>
          <w:p>
            <w:pPr>
              <w:keepNext/>
              <w:keepLines/>
            </w:pPr>
            <w:r>
              <w:rPr>
                <w:sz w:val="16"/>
              </w:rPr>
              <w:t>~248,000</w:t>
            </w:r>
          </w:p>
        </w:tc>
        <w:tc>
          <w:tcPr>
            <w:tcW w:type="dxa" w:w="2635"/>
          </w:tcPr>
          <w:p>
            <w:pPr>
              <w:keepNext/>
              <w:keepLines/>
            </w:pPr>
            <w:r>
              <w:rPr>
                <w:sz w:val="16"/>
              </w:rPr>
              <w:t>S46, A33, A34</w:t>
            </w:r>
          </w:p>
        </w:tc>
      </w:tr>
      <w:tr>
        <w:trPr>
          <w:cantSplit/>
        </w:trPr>
        <w:tc>
          <w:tcPr>
            <w:tcW w:type="dxa" w:w="2635"/>
          </w:tcPr>
          <w:p>
            <w:pPr>
              <w:keepNext/>
              <w:keepLines/>
            </w:pPr>
            <w:r>
              <w:rPr>
                <w:sz w:val="16"/>
              </w:rPr>
              <w:t>× levodopa-responsive idiopathic PD (diagnostic-accuracy proxy)</w:t>
            </w:r>
          </w:p>
        </w:tc>
        <w:tc>
          <w:tcPr>
            <w:tcW w:type="dxa" w:w="2635"/>
          </w:tcPr>
          <w:p>
            <w:pPr>
              <w:keepNext/>
              <w:keepLines/>
            </w:pPr>
            <w:r>
              <w:rPr>
                <w:sz w:val="16"/>
              </w:rPr>
              <w:t>80.6%</w:t>
            </w:r>
          </w:p>
        </w:tc>
        <w:tc>
          <w:tcPr>
            <w:tcW w:type="dxa" w:w="2635"/>
          </w:tcPr>
          <w:p>
            <w:pPr>
              <w:keepNext/>
              <w:keepLines/>
            </w:pPr>
            <w:r>
              <w:rPr>
                <w:sz w:val="16"/>
              </w:rPr>
              <w:t>~200,000</w:t>
            </w:r>
          </w:p>
        </w:tc>
        <w:tc>
          <w:tcPr>
            <w:tcW w:type="dxa" w:w="2635"/>
          </w:tcPr>
          <w:p>
            <w:pPr>
              <w:keepNext/>
              <w:keepLines/>
            </w:pPr>
            <w:r>
              <w:rPr>
                <w:sz w:val="16"/>
              </w:rPr>
              <w:t>A35</w:t>
            </w:r>
          </w:p>
        </w:tc>
      </w:tr>
      <w:tr>
        <w:trPr>
          <w:cantSplit/>
        </w:trPr>
        <w:tc>
          <w:tcPr>
            <w:tcW w:type="dxa" w:w="2635"/>
          </w:tcPr>
          <w:p>
            <w:pPr>
              <w:keepNext/>
              <w:keepLines/>
            </w:pPr>
            <w:r>
              <w:rPr>
                <w:sz w:val="16"/>
              </w:rPr>
              <w:t>× fit for surgery ★ = medically eligible (16% of PD)</w:t>
            </w:r>
          </w:p>
        </w:tc>
        <w:tc>
          <w:tcPr>
            <w:tcW w:type="dxa" w:w="2635"/>
          </w:tcPr>
          <w:p>
            <w:pPr>
              <w:keepNext/>
              <w:keepLines/>
            </w:pPr>
            <w:r>
              <w:rPr>
                <w:sz w:val="16"/>
              </w:rPr>
              <w:t>90%</w:t>
            </w:r>
          </w:p>
        </w:tc>
        <w:tc>
          <w:tcPr>
            <w:tcW w:type="dxa" w:w="2635"/>
          </w:tcPr>
          <w:p>
            <w:pPr>
              <w:keepNext/>
              <w:keepLines/>
            </w:pPr>
            <w:r>
              <w:rPr>
                <w:sz w:val="16"/>
              </w:rPr>
              <w:t>~180,000</w:t>
            </w:r>
          </w:p>
        </w:tc>
        <w:tc>
          <w:tcPr>
            <w:tcW w:type="dxa" w:w="2635"/>
          </w:tcPr>
          <w:p>
            <w:pPr>
              <w:keepNext/>
              <w:keepLines/>
            </w:pPr>
            <w:r>
              <w:rPr>
                <w:sz w:val="16"/>
              </w:rPr>
              <w:t>S47</w:t>
            </w:r>
          </w:p>
        </w:tc>
      </w:tr>
      <w:tr>
        <w:trPr>
          <w:cantSplit/>
        </w:trPr>
        <w:tc>
          <w:tcPr>
            <w:tcW w:type="dxa" w:w="2635"/>
          </w:tcPr>
          <w:p>
            <w:pPr>
              <w:keepNext/>
              <w:keepLines/>
            </w:pPr>
            <w:r>
              <w:rPr>
                <w:sz w:val="16"/>
              </w:rPr>
              <w:t>= eligible pool, start FY2026 (DBS patients included) ★</w:t>
            </w:r>
          </w:p>
        </w:tc>
        <w:tc>
          <w:tcPr>
            <w:tcW w:type="dxa" w:w="2635"/>
          </w:tcPr>
          <w:p>
            <w:pPr>
              <w:keepNext/>
              <w:keepLines/>
            </w:pPr>
          </w:p>
        </w:tc>
        <w:tc>
          <w:tcPr>
            <w:tcW w:type="dxa" w:w="2635"/>
          </w:tcPr>
          <w:p>
            <w:pPr>
              <w:keepNext/>
              <w:keepLines/>
            </w:pPr>
            <w:r>
              <w:rPr>
                <w:sz w:val="16"/>
              </w:rPr>
              <w:t>~180,000 (179,813)</w:t>
            </w:r>
          </w:p>
        </w:tc>
        <w:tc>
          <w:tcPr>
            <w:tcW w:type="dxa" w:w="2635"/>
          </w:tcPr>
          <w:p>
            <w:pPr>
              <w:keepNext/>
              <w:keepLines/>
            </w:pPr>
            <w:r>
              <w:rPr>
                <w:sz w:val="16"/>
              </w:rPr>
              <w:t>C42, S44</w:t>
            </w:r>
          </w:p>
        </w:tc>
      </w:tr>
      <w:tr>
        <w:trPr>
          <w:cantSplit/>
        </w:trPr>
        <w:tc>
          <w:tcPr>
            <w:tcW w:type="dxa" w:w="2635"/>
          </w:tcPr>
          <w:p>
            <w:pPr>
              <w:keepNext/>
              <w:keepLines/>
            </w:pPr>
            <w:r>
              <w:rPr>
                <w:sz w:val="16"/>
              </w:rPr>
              <w:t>Each year: + entrants (0.124 × pool in FY2026, then +2.9%/yr) − leavers (m = death 5% + dementia 4.45%) − one-time treated</w:t>
            </w:r>
          </w:p>
        </w:tc>
        <w:tc>
          <w:tcPr>
            <w:tcW w:type="dxa" w:w="2635"/>
          </w:tcPr>
          <w:p>
            <w:pPr>
              <w:keepNext/>
              <w:keepLines/>
            </w:pPr>
          </w:p>
        </w:tc>
        <w:tc>
          <w:tcPr>
            <w:tcW w:type="dxa" w:w="2635"/>
          </w:tcPr>
          <w:p>
            <w:pPr>
              <w:keepNext/>
              <w:keepLines/>
            </w:pPr>
          </w:p>
        </w:tc>
        <w:tc>
          <w:tcPr>
            <w:tcW w:type="dxa" w:w="2635"/>
          </w:tcPr>
          <w:p>
            <w:pPr>
              <w:keepNext/>
              <w:keepLines/>
            </w:pPr>
            <w:r>
              <w:rPr>
                <w:sz w:val="16"/>
              </w:rPr>
              <w:t>A31, A39, C45</w:t>
            </w:r>
          </w:p>
        </w:tc>
      </w:tr>
      <w:tr>
        <w:trPr>
          <w:cantSplit/>
        </w:trPr>
        <w:tc>
          <w:tcPr>
            <w:tcW w:type="dxa" w:w="2635"/>
          </w:tcPr>
          <w:p>
            <w:pPr>
              <w:keepNext/>
              <w:keepLines/>
            </w:pPr>
            <w:r>
              <w:rPr>
                <w:sz w:val="16"/>
              </w:rPr>
              <w:t>Treated from FY2029 = 6% of pool ★ (about 2.7× DBS's 2.2%; none before) = one-time therapy class demand</w:t>
            </w:r>
          </w:p>
        </w:tc>
        <w:tc>
          <w:tcPr>
            <w:tcW w:type="dxa" w:w="2635"/>
          </w:tcPr>
          <w:p>
            <w:pPr>
              <w:keepNext/>
              <w:keepLines/>
            </w:pPr>
            <w:r>
              <w:rPr>
                <w:sz w:val="16"/>
              </w:rPr>
              <w:t>6%</w:t>
            </w:r>
          </w:p>
        </w:tc>
        <w:tc>
          <w:tcPr>
            <w:tcW w:type="dxa" w:w="2635"/>
          </w:tcPr>
          <w:p>
            <w:pPr>
              <w:keepNext/>
              <w:keepLines/>
            </w:pPr>
            <w:r>
              <w:rPr>
                <w:sz w:val="16"/>
              </w:rPr>
              <w:t>FY2029 ~11,800; FY2031 ~11,100; FY2035 ~10,800; FY2040 ~11,500</w:t>
            </w:r>
          </w:p>
        </w:tc>
        <w:tc>
          <w:tcPr>
            <w:tcW w:type="dxa" w:w="2635"/>
          </w:tcPr>
          <w:p>
            <w:pPr>
              <w:keepNext/>
              <w:keepLines/>
            </w:pPr>
            <w:r>
              <w:rPr>
                <w:sz w:val="16"/>
              </w:rPr>
              <w:t>S45, C40, C49</w:t>
            </w:r>
          </w:p>
        </w:tc>
      </w:tr>
      <w:tr>
        <w:trPr>
          <w:cantSplit/>
        </w:trPr>
        <w:tc>
          <w:tcPr>
            <w:tcW w:type="dxa" w:w="2635"/>
          </w:tcPr>
          <w:p>
            <w:r>
              <w:rPr>
                <w:sz w:val="16"/>
              </w:rPr>
              <w:t>Memo: DBS 3,990 a year, context only, not deducted</w:t>
            </w:r>
          </w:p>
        </w:tc>
        <w:tc>
          <w:tcPr>
            <w:tcW w:type="dxa" w:w="2635"/>
          </w:tcPr>
          <w:p>
            <w:r>
              <w:rPr>
                <w:sz w:val="16"/>
              </w:rPr>
              <w:t>3,990</w:t>
            </w:r>
          </w:p>
        </w:tc>
        <w:tc>
          <w:tcPr>
            <w:tcW w:type="dxa" w:w="2635"/>
          </w:tcPr>
          <w:p>
            <w:r>
              <w:rPr>
                <w:sz w:val="16"/>
              </w:rPr>
              <w:t>–</w:t>
            </w:r>
          </w:p>
        </w:tc>
        <w:tc>
          <w:tcPr>
            <w:tcW w:type="dxa" w:w="2635"/>
          </w:tcPr>
          <w:p>
            <w:r>
              <w:rPr>
                <w:sz w:val="16"/>
              </w:rPr>
              <w:t>A10, S44</w:t>
            </w:r>
          </w:p>
        </w:tc>
      </w:tr>
    </w:tbl>
    <w:p/>
    <w:p>
      <w:pPr>
        <w:keepNext/>
        <w:keepLines/>
      </w:pPr>
      <w:r>
        <w:rPr>
          <w:i/>
        </w:rPr>
        <w:t>Source: tags as shown. ★ = judgment call.</w:t>
      </w:r>
    </w:p>
    <w:p>
      <w:pPr>
        <w:keepNext/>
        <w:keepLines/>
      </w:pPr>
      <w:r>
        <w:rPr>
          <w:b/>
        </w:rPr>
        <w:t>Figure D2b – Funnel: NRTX-1001</w:t>
      </w:r>
    </w:p>
    <w:tbl>
      <w:tblPr>
        <w:tblStyle w:val="TableGrid"/>
        <w:tblW w:type="auto" w:w="0"/>
        <w:tblLook w:firstColumn="1" w:firstRow="1" w:lastColumn="0" w:lastRow="0" w:noHBand="0" w:noVBand="1" w:val="04A0"/>
      </w:tblPr>
      <w:tblGrid>
        <w:gridCol w:w="2635"/>
        <w:gridCol w:w="2635"/>
        <w:gridCol w:w="2635"/>
        <w:gridCol w:w="2635"/>
      </w:tblGrid>
      <w:tr>
        <w:trPr>
          <w:cantSplit/>
          <w:tblHeader/>
        </w:trPr>
        <w:tc>
          <w:tcPr>
            <w:tcW w:type="dxa" w:w="2635"/>
          </w:tcPr>
          <w:p>
            <w:pPr>
              <w:keepNext/>
              <w:keepLines/>
            </w:pPr>
            <w:r>
              <w:rPr>
                <w:b/>
                <w:sz w:val="16"/>
              </w:rPr>
              <w:t>Step</w:t>
            </w:r>
          </w:p>
        </w:tc>
        <w:tc>
          <w:tcPr>
            <w:tcW w:type="dxa" w:w="2635"/>
          </w:tcPr>
          <w:p>
            <w:pPr>
              <w:keepNext/>
              <w:keepLines/>
            </w:pPr>
            <w:r>
              <w:rPr>
                <w:b/>
                <w:sz w:val="16"/>
              </w:rPr>
              <w:t>Rate / input</w:t>
            </w:r>
          </w:p>
        </w:tc>
        <w:tc>
          <w:tcPr>
            <w:tcW w:type="dxa" w:w="2635"/>
          </w:tcPr>
          <w:p>
            <w:pPr>
              <w:keepNext/>
              <w:keepLines/>
            </w:pPr>
            <w:r>
              <w:rPr>
                <w:b/>
                <w:sz w:val="16"/>
              </w:rPr>
              <w:t>Result</w:t>
            </w:r>
          </w:p>
        </w:tc>
        <w:tc>
          <w:tcPr>
            <w:tcW w:type="dxa" w:w="2635"/>
          </w:tcPr>
          <w:p>
            <w:pPr>
              <w:keepNext/>
              <w:keepLines/>
            </w:pPr>
            <w:r>
              <w:rPr>
                <w:b/>
                <w:sz w:val="16"/>
              </w:rPr>
              <w:t>Source</w:t>
            </w:r>
          </w:p>
        </w:tc>
      </w:tr>
      <w:tr>
        <w:trPr>
          <w:cantSplit/>
        </w:trPr>
        <w:tc>
          <w:tcPr>
            <w:tcW w:type="dxa" w:w="2635"/>
          </w:tcPr>
          <w:p>
            <w:pPr>
              <w:keepNext/>
              <w:keepLines/>
            </w:pPr>
            <w:r>
              <w:rPr>
                <w:sz w:val="16"/>
              </w:rPr>
              <w:t>DR-MTLE incidence (3.1–3.4/100k × 324M)</w:t>
            </w:r>
          </w:p>
        </w:tc>
        <w:tc>
          <w:tcPr>
            <w:tcW w:type="dxa" w:w="2635"/>
          </w:tcPr>
          <w:p>
            <w:pPr>
              <w:keepNext/>
              <w:keepLines/>
            </w:pPr>
            <w:r>
              <w:rPr>
                <w:sz w:val="16"/>
              </w:rPr>
              <w:t>10,500</w:t>
            </w:r>
          </w:p>
        </w:tc>
        <w:tc>
          <w:tcPr>
            <w:tcW w:type="dxa" w:w="2635"/>
          </w:tcPr>
          <w:p>
            <w:pPr>
              <w:keepNext/>
              <w:keepLines/>
            </w:pPr>
            <w:r>
              <w:rPr>
                <w:sz w:val="16"/>
              </w:rPr>
              <w:t>10,500</w:t>
            </w:r>
          </w:p>
        </w:tc>
        <w:tc>
          <w:tcPr>
            <w:tcW w:type="dxa" w:w="2635"/>
          </w:tcPr>
          <w:p>
            <w:pPr>
              <w:keepNext/>
              <w:keepLines/>
            </w:pPr>
            <w:r>
              <w:rPr>
                <w:sz w:val="16"/>
              </w:rPr>
              <w:t>A21</w:t>
            </w:r>
          </w:p>
        </w:tc>
      </w:tr>
      <w:tr>
        <w:trPr>
          <w:cantSplit/>
        </w:trPr>
        <w:tc>
          <w:tcPr>
            <w:tcW w:type="dxa" w:w="2635"/>
          </w:tcPr>
          <w:p>
            <w:pPr>
              <w:keepNext/>
              <w:keepLines/>
            </w:pPr>
            <w:r>
              <w:rPr>
                <w:sz w:val="16"/>
              </w:rPr>
              <w:t>× adults in trial age range ★</w:t>
            </w:r>
          </w:p>
        </w:tc>
        <w:tc>
          <w:tcPr>
            <w:tcW w:type="dxa" w:w="2635"/>
          </w:tcPr>
          <w:p>
            <w:pPr>
              <w:keepNext/>
              <w:keepLines/>
            </w:pPr>
            <w:r>
              <w:rPr>
                <w:sz w:val="16"/>
              </w:rPr>
              <w:t>85%</w:t>
            </w:r>
          </w:p>
        </w:tc>
        <w:tc>
          <w:tcPr>
            <w:tcW w:type="dxa" w:w="2635"/>
          </w:tcPr>
          <w:p>
            <w:pPr>
              <w:keepNext/>
              <w:keepLines/>
            </w:pPr>
            <w:r>
              <w:rPr>
                <w:sz w:val="16"/>
              </w:rPr>
              <w:t>8,925</w:t>
            </w:r>
          </w:p>
        </w:tc>
        <w:tc>
          <w:tcPr>
            <w:tcW w:type="dxa" w:w="2635"/>
          </w:tcPr>
          <w:p>
            <w:pPr>
              <w:keepNext/>
              <w:keepLines/>
            </w:pPr>
            <w:r>
              <w:rPr>
                <w:sz w:val="16"/>
              </w:rPr>
              <w:t>S53</w:t>
            </w:r>
          </w:p>
        </w:tc>
      </w:tr>
      <w:tr>
        <w:trPr>
          <w:cantSplit/>
        </w:trPr>
        <w:tc>
          <w:tcPr>
            <w:tcW w:type="dxa" w:w="2635"/>
          </w:tcPr>
          <w:p>
            <w:pPr>
              <w:keepNext/>
              <w:keepLines/>
            </w:pPr>
            <w:r>
              <w:rPr>
                <w:sz w:val="16"/>
              </w:rPr>
              <w:t>× identified/referred at epilepsy centre ★</w:t>
            </w:r>
          </w:p>
        </w:tc>
        <w:tc>
          <w:tcPr>
            <w:tcW w:type="dxa" w:w="2635"/>
          </w:tcPr>
          <w:p>
            <w:pPr>
              <w:keepNext/>
              <w:keepLines/>
            </w:pPr>
            <w:r>
              <w:rPr>
                <w:sz w:val="16"/>
              </w:rPr>
              <w:t>50%</w:t>
            </w:r>
          </w:p>
        </w:tc>
        <w:tc>
          <w:tcPr>
            <w:tcW w:type="dxa" w:w="2635"/>
          </w:tcPr>
          <w:p>
            <w:pPr>
              <w:keepNext/>
              <w:keepLines/>
            </w:pPr>
            <w:r>
              <w:rPr>
                <w:sz w:val="16"/>
              </w:rPr>
              <w:t>4,462</w:t>
            </w:r>
          </w:p>
        </w:tc>
        <w:tc>
          <w:tcPr>
            <w:tcW w:type="dxa" w:w="2635"/>
          </w:tcPr>
          <w:p>
            <w:pPr>
              <w:keepNext/>
              <w:keepLines/>
            </w:pPr>
            <w:r>
              <w:rPr>
                <w:sz w:val="16"/>
              </w:rPr>
              <w:t>S53</w:t>
            </w:r>
          </w:p>
        </w:tc>
      </w:tr>
      <w:tr>
        <w:trPr>
          <w:cantSplit/>
        </w:trPr>
        <w:tc>
          <w:tcPr>
            <w:tcW w:type="dxa" w:w="2635"/>
          </w:tcPr>
          <w:p>
            <w:pPr>
              <w:keepNext/>
              <w:keepLines/>
            </w:pPr>
            <w:r>
              <w:rPr>
                <w:sz w:val="16"/>
              </w:rPr>
              <w:t>× willing (non-destructive one-time vs resection/LITT) ★</w:t>
            </w:r>
          </w:p>
        </w:tc>
        <w:tc>
          <w:tcPr>
            <w:tcW w:type="dxa" w:w="2635"/>
          </w:tcPr>
          <w:p>
            <w:pPr>
              <w:keepNext/>
              <w:keepLines/>
            </w:pPr>
            <w:r>
              <w:rPr>
                <w:sz w:val="16"/>
              </w:rPr>
              <w:t>50%</w:t>
            </w:r>
          </w:p>
        </w:tc>
        <w:tc>
          <w:tcPr>
            <w:tcW w:type="dxa" w:w="2635"/>
          </w:tcPr>
          <w:p>
            <w:pPr>
              <w:keepNext/>
              <w:keepLines/>
            </w:pPr>
            <w:r>
              <w:rPr>
                <w:sz w:val="16"/>
              </w:rPr>
              <w:t>2,231</w:t>
            </w:r>
          </w:p>
        </w:tc>
        <w:tc>
          <w:tcPr>
            <w:tcW w:type="dxa" w:w="2635"/>
          </w:tcPr>
          <w:p>
            <w:pPr>
              <w:keepNext/>
              <w:keepLines/>
            </w:pPr>
            <w:r>
              <w:rPr>
                <w:sz w:val="16"/>
              </w:rPr>
              <w:t>S53</w:t>
            </w:r>
          </w:p>
        </w:tc>
      </w:tr>
      <w:tr>
        <w:trPr>
          <w:cantSplit/>
        </w:trPr>
        <w:tc>
          <w:tcPr>
            <w:tcW w:type="dxa" w:w="2635"/>
          </w:tcPr>
          <w:p>
            <w:pPr>
              <w:keepNext/>
              <w:keepLines/>
            </w:pPr>
            <w:r>
              <w:rPr>
                <w:sz w:val="16"/>
              </w:rPr>
              <w:t>× access/reimbursement ★</w:t>
            </w:r>
          </w:p>
        </w:tc>
        <w:tc>
          <w:tcPr>
            <w:tcW w:type="dxa" w:w="2635"/>
          </w:tcPr>
          <w:p>
            <w:pPr>
              <w:keepNext/>
              <w:keepLines/>
            </w:pPr>
            <w:r>
              <w:rPr>
                <w:sz w:val="16"/>
              </w:rPr>
              <w:t>80%</w:t>
            </w:r>
          </w:p>
        </w:tc>
        <w:tc>
          <w:tcPr>
            <w:tcW w:type="dxa" w:w="2635"/>
          </w:tcPr>
          <w:p>
            <w:pPr>
              <w:keepNext/>
              <w:keepLines/>
            </w:pPr>
            <w:r>
              <w:rPr>
                <w:sz w:val="16"/>
              </w:rPr>
              <w:t>1,785</w:t>
            </w:r>
          </w:p>
        </w:tc>
        <w:tc>
          <w:tcPr>
            <w:tcW w:type="dxa" w:w="2635"/>
          </w:tcPr>
          <w:p>
            <w:pPr>
              <w:keepNext/>
              <w:keepLines/>
            </w:pPr>
            <w:r>
              <w:rPr>
                <w:sz w:val="16"/>
              </w:rPr>
              <w:t>S53</w:t>
            </w:r>
          </w:p>
        </w:tc>
      </w:tr>
      <w:tr>
        <w:trPr>
          <w:cantSplit/>
        </w:trPr>
        <w:tc>
          <w:tcPr>
            <w:tcW w:type="dxa" w:w="2635"/>
          </w:tcPr>
          <w:p>
            <w:pPr>
              <w:keepNext/>
              <w:keepLines/>
            </w:pPr>
            <w:r>
              <w:rPr>
                <w:sz w:val="16"/>
              </w:rPr>
              <w:t>× share vs resection, LITT, RNS ★</w:t>
            </w:r>
          </w:p>
        </w:tc>
        <w:tc>
          <w:tcPr>
            <w:tcW w:type="dxa" w:w="2635"/>
          </w:tcPr>
          <w:p>
            <w:pPr>
              <w:keepNext/>
              <w:keepLines/>
            </w:pPr>
            <w:r>
              <w:rPr>
                <w:sz w:val="16"/>
              </w:rPr>
              <w:t>70%</w:t>
            </w:r>
          </w:p>
        </w:tc>
        <w:tc>
          <w:tcPr>
            <w:tcW w:type="dxa" w:w="2635"/>
          </w:tcPr>
          <w:p>
            <w:pPr>
              <w:keepNext/>
              <w:keepLines/>
            </w:pPr>
            <w:r>
              <w:rPr>
                <w:sz w:val="16"/>
              </w:rPr>
              <w:t>1,250</w:t>
            </w:r>
          </w:p>
        </w:tc>
        <w:tc>
          <w:tcPr>
            <w:tcW w:type="dxa" w:w="2635"/>
          </w:tcPr>
          <w:p>
            <w:pPr>
              <w:keepNext/>
              <w:keepLines/>
            </w:pPr>
            <w:r>
              <w:rPr>
                <w:sz w:val="16"/>
              </w:rPr>
              <w:t>S53</w:t>
            </w:r>
          </w:p>
        </w:tc>
      </w:tr>
      <w:tr>
        <w:trPr>
          <w:cantSplit/>
        </w:trPr>
        <w:tc>
          <w:tcPr>
            <w:tcW w:type="dxa" w:w="2635"/>
          </w:tcPr>
          <w:p>
            <w:r>
              <w:rPr>
                <w:sz w:val="16"/>
              </w:rPr>
              <w:t>+ prevalent backlog 143k–191k × same screens (11.9%) ÷ 10 yrs</w:t>
            </w:r>
          </w:p>
        </w:tc>
        <w:tc>
          <w:tcPr>
            <w:tcW w:type="dxa" w:w="2635"/>
          </w:tcPr>
          <w:p/>
        </w:tc>
        <w:tc>
          <w:tcPr>
            <w:tcW w:type="dxa" w:w="2635"/>
          </w:tcPr>
          <w:p>
            <w:r>
              <w:rPr>
                <w:sz w:val="16"/>
              </w:rPr>
              <w:t>1,987</w:t>
            </w:r>
          </w:p>
        </w:tc>
        <w:tc>
          <w:tcPr>
            <w:tcW w:type="dxa" w:w="2635"/>
          </w:tcPr>
          <w:p>
            <w:r>
              <w:rPr>
                <w:sz w:val="16"/>
              </w:rPr>
              <w:t>A21, C52</w:t>
            </w:r>
          </w:p>
        </w:tc>
      </w:tr>
    </w:tbl>
    <w:p/>
    <w:p>
      <w:pPr>
        <w:keepNext/>
        <w:keepLines/>
      </w:pPr>
      <w:r>
        <w:rPr>
          <w:i/>
        </w:rPr>
        <w:t>Source: tags as shown. ★ = judgment call.</w:t>
      </w:r>
    </w:p>
    <w:p>
      <w:pPr>
        <w:keepNext/>
        <w:keepLines/>
      </w:pPr>
      <w:r>
        <w:rPr>
          <w:b/>
        </w:rPr>
        <w:t>Figure D2c – Funnel: AVB-101</w:t>
      </w:r>
    </w:p>
    <w:tbl>
      <w:tblPr>
        <w:tblStyle w:val="TableGrid"/>
        <w:tblW w:type="auto" w:w="0"/>
        <w:tblLook w:firstColumn="1" w:firstRow="1" w:lastColumn="0" w:lastRow="0" w:noHBand="0" w:noVBand="1" w:val="04A0"/>
      </w:tblPr>
      <w:tblGrid>
        <w:gridCol w:w="2635"/>
        <w:gridCol w:w="2635"/>
        <w:gridCol w:w="2635"/>
        <w:gridCol w:w="2635"/>
      </w:tblGrid>
      <w:tr>
        <w:trPr>
          <w:cantSplit/>
          <w:tblHeader/>
        </w:trPr>
        <w:tc>
          <w:tcPr>
            <w:tcW w:type="dxa" w:w="2635"/>
          </w:tcPr>
          <w:p>
            <w:pPr>
              <w:keepNext/>
              <w:keepLines/>
            </w:pPr>
            <w:r>
              <w:rPr>
                <w:b/>
                <w:sz w:val="16"/>
              </w:rPr>
              <w:t>Step</w:t>
            </w:r>
          </w:p>
        </w:tc>
        <w:tc>
          <w:tcPr>
            <w:tcW w:type="dxa" w:w="2635"/>
          </w:tcPr>
          <w:p>
            <w:pPr>
              <w:keepNext/>
              <w:keepLines/>
            </w:pPr>
            <w:r>
              <w:rPr>
                <w:b/>
                <w:sz w:val="16"/>
              </w:rPr>
              <w:t>Rate / input</w:t>
            </w:r>
          </w:p>
        </w:tc>
        <w:tc>
          <w:tcPr>
            <w:tcW w:type="dxa" w:w="2635"/>
          </w:tcPr>
          <w:p>
            <w:pPr>
              <w:keepNext/>
              <w:keepLines/>
            </w:pPr>
            <w:r>
              <w:rPr>
                <w:b/>
                <w:sz w:val="16"/>
              </w:rPr>
              <w:t>Result</w:t>
            </w:r>
          </w:p>
        </w:tc>
        <w:tc>
          <w:tcPr>
            <w:tcW w:type="dxa" w:w="2635"/>
          </w:tcPr>
          <w:p>
            <w:pPr>
              <w:keepNext/>
              <w:keepLines/>
            </w:pPr>
            <w:r>
              <w:rPr>
                <w:b/>
                <w:sz w:val="16"/>
              </w:rPr>
              <w:t>Source</w:t>
            </w:r>
          </w:p>
        </w:tc>
      </w:tr>
      <w:tr>
        <w:trPr>
          <w:cantSplit/>
        </w:trPr>
        <w:tc>
          <w:tcPr>
            <w:tcW w:type="dxa" w:w="2635"/>
          </w:tcPr>
          <w:p>
            <w:pPr>
              <w:keepNext/>
              <w:keepLines/>
            </w:pPr>
            <w:r>
              <w:rPr>
                <w:sz w:val="16"/>
              </w:rPr>
              <w:t>FTD incidence ages 45–64, ~3.4/100k × ~83M</w:t>
            </w:r>
          </w:p>
        </w:tc>
        <w:tc>
          <w:tcPr>
            <w:tcW w:type="dxa" w:w="2635"/>
          </w:tcPr>
          <w:p>
            <w:pPr>
              <w:keepNext/>
              <w:keepLines/>
            </w:pPr>
            <w:r>
              <w:rPr>
                <w:sz w:val="16"/>
              </w:rPr>
              <w:t>2,800</w:t>
            </w:r>
          </w:p>
        </w:tc>
        <w:tc>
          <w:tcPr>
            <w:tcW w:type="dxa" w:w="2635"/>
          </w:tcPr>
          <w:p>
            <w:pPr>
              <w:keepNext/>
              <w:keepLines/>
            </w:pPr>
            <w:r>
              <w:rPr>
                <w:sz w:val="16"/>
              </w:rPr>
              <w:t>2,800</w:t>
            </w:r>
          </w:p>
        </w:tc>
        <w:tc>
          <w:tcPr>
            <w:tcW w:type="dxa" w:w="2635"/>
          </w:tcPr>
          <w:p>
            <w:pPr>
              <w:keepNext/>
              <w:keepLines/>
            </w:pPr>
            <w:r>
              <w:rPr>
                <w:sz w:val="16"/>
              </w:rPr>
              <w:t>A22, C53</w:t>
            </w:r>
          </w:p>
        </w:tc>
      </w:tr>
      <w:tr>
        <w:trPr>
          <w:cantSplit/>
        </w:trPr>
        <w:tc>
          <w:tcPr>
            <w:tcW w:type="dxa" w:w="2635"/>
          </w:tcPr>
          <w:p>
            <w:pPr>
              <w:keepNext/>
              <w:keepLines/>
            </w:pPr>
            <w:r>
              <w:rPr>
                <w:sz w:val="16"/>
              </w:rPr>
              <w:t>× GRN mutation share 5%</w:t>
            </w:r>
          </w:p>
        </w:tc>
        <w:tc>
          <w:tcPr>
            <w:tcW w:type="dxa" w:w="2635"/>
          </w:tcPr>
          <w:p>
            <w:pPr>
              <w:keepNext/>
              <w:keepLines/>
            </w:pPr>
            <w:r>
              <w:rPr>
                <w:sz w:val="16"/>
              </w:rPr>
              <w:t>5%</w:t>
            </w:r>
          </w:p>
        </w:tc>
        <w:tc>
          <w:tcPr>
            <w:tcW w:type="dxa" w:w="2635"/>
          </w:tcPr>
          <w:p>
            <w:pPr>
              <w:keepNext/>
              <w:keepLines/>
            </w:pPr>
            <w:r>
              <w:rPr>
                <w:sz w:val="16"/>
              </w:rPr>
              <w:t>140</w:t>
            </w:r>
          </w:p>
        </w:tc>
        <w:tc>
          <w:tcPr>
            <w:tcW w:type="dxa" w:w="2635"/>
          </w:tcPr>
          <w:p>
            <w:pPr>
              <w:keepNext/>
              <w:keepLines/>
            </w:pPr>
            <w:r>
              <w:rPr>
                <w:sz w:val="16"/>
              </w:rPr>
              <w:t>A23</w:t>
            </w:r>
          </w:p>
        </w:tc>
      </w:tr>
      <w:tr>
        <w:trPr>
          <w:cantSplit/>
        </w:trPr>
        <w:tc>
          <w:tcPr>
            <w:tcW w:type="dxa" w:w="2635"/>
          </w:tcPr>
          <w:p>
            <w:pPr>
              <w:keepNext/>
              <w:keepLines/>
            </w:pPr>
            <w:r>
              <w:rPr>
                <w:sz w:val="16"/>
              </w:rPr>
              <w:t>× genetically diagnosed ★</w:t>
            </w:r>
          </w:p>
        </w:tc>
        <w:tc>
          <w:tcPr>
            <w:tcW w:type="dxa" w:w="2635"/>
          </w:tcPr>
          <w:p>
            <w:pPr>
              <w:keepNext/>
              <w:keepLines/>
            </w:pPr>
            <w:r>
              <w:rPr>
                <w:sz w:val="16"/>
              </w:rPr>
              <w:t>60%</w:t>
            </w:r>
          </w:p>
        </w:tc>
        <w:tc>
          <w:tcPr>
            <w:tcW w:type="dxa" w:w="2635"/>
          </w:tcPr>
          <w:p>
            <w:pPr>
              <w:keepNext/>
              <w:keepLines/>
            </w:pPr>
            <w:r>
              <w:rPr>
                <w:sz w:val="16"/>
              </w:rPr>
              <w:t>84.0</w:t>
            </w:r>
          </w:p>
        </w:tc>
        <w:tc>
          <w:tcPr>
            <w:tcW w:type="dxa" w:w="2635"/>
          </w:tcPr>
          <w:p>
            <w:pPr>
              <w:keepNext/>
              <w:keepLines/>
            </w:pPr>
            <w:r>
              <w:rPr>
                <w:sz w:val="16"/>
              </w:rPr>
              <w:t>S54</w:t>
            </w:r>
          </w:p>
        </w:tc>
      </w:tr>
      <w:tr>
        <w:trPr>
          <w:cantSplit/>
        </w:trPr>
        <w:tc>
          <w:tcPr>
            <w:tcW w:type="dxa" w:w="2635"/>
          </w:tcPr>
          <w:p>
            <w:pPr>
              <w:keepNext/>
              <w:keepLines/>
            </w:pPr>
            <w:r>
              <w:rPr>
                <w:sz w:val="16"/>
              </w:rPr>
              <w:t>× early-stage, age 30–75 per trial ★</w:t>
            </w:r>
          </w:p>
        </w:tc>
        <w:tc>
          <w:tcPr>
            <w:tcW w:type="dxa" w:w="2635"/>
          </w:tcPr>
          <w:p>
            <w:pPr>
              <w:keepNext/>
              <w:keepLines/>
            </w:pPr>
            <w:r>
              <w:rPr>
                <w:sz w:val="16"/>
              </w:rPr>
              <w:t>70%</w:t>
            </w:r>
          </w:p>
        </w:tc>
        <w:tc>
          <w:tcPr>
            <w:tcW w:type="dxa" w:w="2635"/>
          </w:tcPr>
          <w:p>
            <w:pPr>
              <w:keepNext/>
              <w:keepLines/>
            </w:pPr>
            <w:r>
              <w:rPr>
                <w:sz w:val="16"/>
              </w:rPr>
              <w:t>58.8</w:t>
            </w:r>
          </w:p>
        </w:tc>
        <w:tc>
          <w:tcPr>
            <w:tcW w:type="dxa" w:w="2635"/>
          </w:tcPr>
          <w:p>
            <w:pPr>
              <w:keepNext/>
              <w:keepLines/>
            </w:pPr>
            <w:r>
              <w:rPr>
                <w:sz w:val="16"/>
              </w:rPr>
              <w:t>S54, A24</w:t>
            </w:r>
          </w:p>
        </w:tc>
      </w:tr>
      <w:tr>
        <w:trPr>
          <w:cantSplit/>
        </w:trPr>
        <w:tc>
          <w:tcPr>
            <w:tcW w:type="dxa" w:w="2635"/>
          </w:tcPr>
          <w:p>
            <w:pPr>
              <w:keepNext/>
              <w:keepLines/>
            </w:pPr>
            <w:r>
              <w:rPr>
                <w:sz w:val="16"/>
              </w:rPr>
              <w:t>× willing ★</w:t>
            </w:r>
          </w:p>
        </w:tc>
        <w:tc>
          <w:tcPr>
            <w:tcW w:type="dxa" w:w="2635"/>
          </w:tcPr>
          <w:p>
            <w:pPr>
              <w:keepNext/>
              <w:keepLines/>
            </w:pPr>
            <w:r>
              <w:rPr>
                <w:sz w:val="16"/>
              </w:rPr>
              <w:t>60%</w:t>
            </w:r>
          </w:p>
        </w:tc>
        <w:tc>
          <w:tcPr>
            <w:tcW w:type="dxa" w:w="2635"/>
          </w:tcPr>
          <w:p>
            <w:pPr>
              <w:keepNext/>
              <w:keepLines/>
            </w:pPr>
            <w:r>
              <w:rPr>
                <w:sz w:val="16"/>
              </w:rPr>
              <w:t>35.3</w:t>
            </w:r>
          </w:p>
        </w:tc>
        <w:tc>
          <w:tcPr>
            <w:tcW w:type="dxa" w:w="2635"/>
          </w:tcPr>
          <w:p>
            <w:pPr>
              <w:keepNext/>
              <w:keepLines/>
            </w:pPr>
            <w:r>
              <w:rPr>
                <w:sz w:val="16"/>
              </w:rPr>
              <w:t>S54</w:t>
            </w:r>
          </w:p>
        </w:tc>
      </w:tr>
      <w:tr>
        <w:trPr>
          <w:cantSplit/>
        </w:trPr>
        <w:tc>
          <w:tcPr>
            <w:tcW w:type="dxa" w:w="2635"/>
          </w:tcPr>
          <w:p>
            <w:pPr>
              <w:keepNext/>
              <w:keepLines/>
            </w:pPr>
            <w:r>
              <w:rPr>
                <w:sz w:val="16"/>
              </w:rPr>
              <w:t>× access ★</w:t>
            </w:r>
          </w:p>
        </w:tc>
        <w:tc>
          <w:tcPr>
            <w:tcW w:type="dxa" w:w="2635"/>
          </w:tcPr>
          <w:p>
            <w:pPr>
              <w:keepNext/>
              <w:keepLines/>
            </w:pPr>
            <w:r>
              <w:rPr>
                <w:sz w:val="16"/>
              </w:rPr>
              <w:t>80%</w:t>
            </w:r>
          </w:p>
        </w:tc>
        <w:tc>
          <w:tcPr>
            <w:tcW w:type="dxa" w:w="2635"/>
          </w:tcPr>
          <w:p>
            <w:pPr>
              <w:keepNext/>
              <w:keepLines/>
            </w:pPr>
            <w:r>
              <w:rPr>
                <w:sz w:val="16"/>
              </w:rPr>
              <w:t>28.2</w:t>
            </w:r>
          </w:p>
        </w:tc>
        <w:tc>
          <w:tcPr>
            <w:tcW w:type="dxa" w:w="2635"/>
          </w:tcPr>
          <w:p>
            <w:pPr>
              <w:keepNext/>
              <w:keepLines/>
            </w:pPr>
            <w:r>
              <w:rPr>
                <w:sz w:val="16"/>
              </w:rPr>
              <w:t>S54</w:t>
            </w:r>
          </w:p>
        </w:tc>
      </w:tr>
      <w:tr>
        <w:trPr>
          <w:cantSplit/>
        </w:trPr>
        <w:tc>
          <w:tcPr>
            <w:tcW w:type="dxa" w:w="2635"/>
          </w:tcPr>
          <w:p>
            <w:pPr>
              <w:keepNext/>
              <w:keepLines/>
            </w:pPr>
            <w:r>
              <w:rPr>
                <w:sz w:val="16"/>
              </w:rPr>
              <w:t>× share vs other GRN therapies ★</w:t>
            </w:r>
          </w:p>
        </w:tc>
        <w:tc>
          <w:tcPr>
            <w:tcW w:type="dxa" w:w="2635"/>
          </w:tcPr>
          <w:p>
            <w:pPr>
              <w:keepNext/>
              <w:keepLines/>
            </w:pPr>
            <w:r>
              <w:rPr>
                <w:sz w:val="16"/>
              </w:rPr>
              <w:t>50%</w:t>
            </w:r>
          </w:p>
        </w:tc>
        <w:tc>
          <w:tcPr>
            <w:tcW w:type="dxa" w:w="2635"/>
          </w:tcPr>
          <w:p>
            <w:pPr>
              <w:keepNext/>
              <w:keepLines/>
            </w:pPr>
            <w:r>
              <w:rPr>
                <w:sz w:val="16"/>
              </w:rPr>
              <w:t>14.1</w:t>
            </w:r>
          </w:p>
        </w:tc>
        <w:tc>
          <w:tcPr>
            <w:tcW w:type="dxa" w:w="2635"/>
          </w:tcPr>
          <w:p>
            <w:pPr>
              <w:keepNext/>
              <w:keepLines/>
            </w:pPr>
            <w:r>
              <w:rPr>
                <w:sz w:val="16"/>
              </w:rPr>
              <w:t>S54</w:t>
            </w:r>
          </w:p>
        </w:tc>
      </w:tr>
      <w:tr>
        <w:trPr>
          <w:cantSplit/>
        </w:trPr>
        <w:tc>
          <w:tcPr>
            <w:tcW w:type="dxa" w:w="2635"/>
          </w:tcPr>
          <w:p>
            <w:r>
              <w:rPr>
                <w:sz w:val="16"/>
              </w:rPr>
              <w:t>+ backlog 1,000–1,500 prevalent × same screens ÷ 5 yrs</w:t>
            </w:r>
          </w:p>
        </w:tc>
        <w:tc>
          <w:tcPr>
            <w:tcW w:type="dxa" w:w="2635"/>
          </w:tcPr>
          <w:p/>
        </w:tc>
        <w:tc>
          <w:tcPr>
            <w:tcW w:type="dxa" w:w="2635"/>
          </w:tcPr>
          <w:p>
            <w:r>
              <w:rPr>
                <w:sz w:val="16"/>
              </w:rPr>
              <w:t>25.0</w:t>
            </w:r>
          </w:p>
        </w:tc>
        <w:tc>
          <w:tcPr>
            <w:tcW w:type="dxa" w:w="2635"/>
          </w:tcPr>
          <w:p>
            <w:r>
              <w:rPr>
                <w:sz w:val="16"/>
              </w:rPr>
              <w:t>A23, C53</w:t>
            </w:r>
          </w:p>
        </w:tc>
      </w:tr>
    </w:tbl>
    <w:p/>
    <w:p>
      <w:pPr>
        <w:keepNext/>
        <w:keepLines/>
      </w:pPr>
      <w:r>
        <w:rPr>
          <w:i/>
        </w:rPr>
        <w:t>Source: tags as shown. ★ = judgment call.</w:t>
      </w:r>
    </w:p>
    <w:p>
      <w:pPr>
        <w:keepNext/>
        <w:keepLines/>
      </w:pPr>
      <w:r>
        <w:rPr>
          <w:b/>
        </w:rPr>
        <w:t>Figure D2d – Funnel: KEBILIDI</w:t>
      </w:r>
    </w:p>
    <w:tbl>
      <w:tblPr>
        <w:tblStyle w:val="TableGrid"/>
        <w:tblW w:type="auto" w:w="0"/>
        <w:tblLook w:firstColumn="1" w:firstRow="1" w:lastColumn="0" w:lastRow="0" w:noHBand="0" w:noVBand="1" w:val="04A0"/>
      </w:tblPr>
      <w:tblGrid>
        <w:gridCol w:w="2635"/>
        <w:gridCol w:w="2635"/>
        <w:gridCol w:w="2635"/>
        <w:gridCol w:w="2635"/>
      </w:tblGrid>
      <w:tr>
        <w:trPr>
          <w:cantSplit/>
          <w:tblHeader/>
        </w:trPr>
        <w:tc>
          <w:tcPr>
            <w:tcW w:type="dxa" w:w="2635"/>
          </w:tcPr>
          <w:p>
            <w:pPr>
              <w:keepNext/>
              <w:keepLines/>
            </w:pPr>
            <w:r>
              <w:rPr>
                <w:b/>
                <w:sz w:val="16"/>
              </w:rPr>
              <w:t>Step</w:t>
            </w:r>
          </w:p>
        </w:tc>
        <w:tc>
          <w:tcPr>
            <w:tcW w:type="dxa" w:w="2635"/>
          </w:tcPr>
          <w:p>
            <w:pPr>
              <w:keepNext/>
              <w:keepLines/>
            </w:pPr>
            <w:r>
              <w:rPr>
                <w:b/>
                <w:sz w:val="16"/>
              </w:rPr>
              <w:t>Rate / input</w:t>
            </w:r>
          </w:p>
        </w:tc>
        <w:tc>
          <w:tcPr>
            <w:tcW w:type="dxa" w:w="2635"/>
          </w:tcPr>
          <w:p>
            <w:pPr>
              <w:keepNext/>
              <w:keepLines/>
            </w:pPr>
            <w:r>
              <w:rPr>
                <w:b/>
                <w:sz w:val="16"/>
              </w:rPr>
              <w:t>Result</w:t>
            </w:r>
          </w:p>
        </w:tc>
        <w:tc>
          <w:tcPr>
            <w:tcW w:type="dxa" w:w="2635"/>
          </w:tcPr>
          <w:p>
            <w:pPr>
              <w:keepNext/>
              <w:keepLines/>
            </w:pPr>
            <w:r>
              <w:rPr>
                <w:b/>
                <w:sz w:val="16"/>
              </w:rPr>
              <w:t>Source</w:t>
            </w:r>
          </w:p>
        </w:tc>
      </w:tr>
      <w:tr>
        <w:trPr>
          <w:cantSplit/>
        </w:trPr>
        <w:tc>
          <w:tcPr>
            <w:tcW w:type="dxa" w:w="2635"/>
          </w:tcPr>
          <w:p>
            <w:pPr>
              <w:keepNext/>
              <w:keepLines/>
            </w:pPr>
            <w:r>
              <w:rPr>
                <w:sz w:val="16"/>
              </w:rPr>
              <w:t>US births × 1/90,000</w:t>
            </w:r>
          </w:p>
        </w:tc>
        <w:tc>
          <w:tcPr>
            <w:tcW w:type="dxa" w:w="2635"/>
          </w:tcPr>
          <w:p>
            <w:pPr>
              <w:keepNext/>
              <w:keepLines/>
            </w:pPr>
            <w:r>
              <w:rPr>
                <w:sz w:val="16"/>
              </w:rPr>
              <w:t>40</w:t>
            </w:r>
          </w:p>
        </w:tc>
        <w:tc>
          <w:tcPr>
            <w:tcW w:type="dxa" w:w="2635"/>
          </w:tcPr>
          <w:p>
            <w:pPr>
              <w:keepNext/>
              <w:keepLines/>
            </w:pPr>
            <w:r>
              <w:rPr>
                <w:sz w:val="16"/>
              </w:rPr>
              <w:t>40.3</w:t>
            </w:r>
          </w:p>
        </w:tc>
        <w:tc>
          <w:tcPr>
            <w:tcW w:type="dxa" w:w="2635"/>
          </w:tcPr>
          <w:p>
            <w:pPr>
              <w:keepNext/>
              <w:keepLines/>
            </w:pPr>
            <w:r>
              <w:rPr>
                <w:sz w:val="16"/>
              </w:rPr>
              <w:t>A25, A26</w:t>
            </w:r>
          </w:p>
        </w:tc>
      </w:tr>
      <w:tr>
        <w:trPr>
          <w:cantSplit/>
        </w:trPr>
        <w:tc>
          <w:tcPr>
            <w:tcW w:type="dxa" w:w="2635"/>
          </w:tcPr>
          <w:p>
            <w:pPr>
              <w:keepNext/>
              <w:keepLines/>
            </w:pPr>
            <w:r>
              <w:rPr>
                <w:sz w:val="16"/>
              </w:rPr>
              <w:t>× diagnosed ★</w:t>
            </w:r>
          </w:p>
        </w:tc>
        <w:tc>
          <w:tcPr>
            <w:tcW w:type="dxa" w:w="2635"/>
          </w:tcPr>
          <w:p>
            <w:pPr>
              <w:keepNext/>
              <w:keepLines/>
            </w:pPr>
            <w:r>
              <w:rPr>
                <w:sz w:val="16"/>
              </w:rPr>
              <w:t>60%</w:t>
            </w:r>
          </w:p>
        </w:tc>
        <w:tc>
          <w:tcPr>
            <w:tcW w:type="dxa" w:w="2635"/>
          </w:tcPr>
          <w:p>
            <w:pPr>
              <w:keepNext/>
              <w:keepLines/>
            </w:pPr>
            <w:r>
              <w:rPr>
                <w:sz w:val="16"/>
              </w:rPr>
              <w:t>24.2</w:t>
            </w:r>
          </w:p>
        </w:tc>
        <w:tc>
          <w:tcPr>
            <w:tcW w:type="dxa" w:w="2635"/>
          </w:tcPr>
          <w:p>
            <w:pPr>
              <w:keepNext/>
              <w:keepLines/>
            </w:pPr>
            <w:r>
              <w:rPr>
                <w:sz w:val="16"/>
              </w:rPr>
              <w:t>S55</w:t>
            </w:r>
          </w:p>
        </w:tc>
      </w:tr>
      <w:tr>
        <w:trPr>
          <w:cantSplit/>
        </w:trPr>
        <w:tc>
          <w:tcPr>
            <w:tcW w:type="dxa" w:w="2635"/>
          </w:tcPr>
          <w:p>
            <w:pPr>
              <w:keepNext/>
              <w:keepLines/>
            </w:pPr>
            <w:r>
              <w:rPr>
                <w:sz w:val="16"/>
              </w:rPr>
              <w:t>× eligible per label ★</w:t>
            </w:r>
          </w:p>
        </w:tc>
        <w:tc>
          <w:tcPr>
            <w:tcW w:type="dxa" w:w="2635"/>
          </w:tcPr>
          <w:p>
            <w:pPr>
              <w:keepNext/>
              <w:keepLines/>
            </w:pPr>
            <w:r>
              <w:rPr>
                <w:sz w:val="16"/>
              </w:rPr>
              <w:t>90%</w:t>
            </w:r>
          </w:p>
        </w:tc>
        <w:tc>
          <w:tcPr>
            <w:tcW w:type="dxa" w:w="2635"/>
          </w:tcPr>
          <w:p>
            <w:pPr>
              <w:keepNext/>
              <w:keepLines/>
            </w:pPr>
            <w:r>
              <w:rPr>
                <w:sz w:val="16"/>
              </w:rPr>
              <w:t>21.8</w:t>
            </w:r>
          </w:p>
        </w:tc>
        <w:tc>
          <w:tcPr>
            <w:tcW w:type="dxa" w:w="2635"/>
          </w:tcPr>
          <w:p>
            <w:pPr>
              <w:keepNext/>
              <w:keepLines/>
            </w:pPr>
            <w:r>
              <w:rPr>
                <w:sz w:val="16"/>
              </w:rPr>
              <w:t>S55</w:t>
            </w:r>
          </w:p>
        </w:tc>
      </w:tr>
      <w:tr>
        <w:trPr>
          <w:cantSplit/>
        </w:trPr>
        <w:tc>
          <w:tcPr>
            <w:tcW w:type="dxa" w:w="2635"/>
          </w:tcPr>
          <w:p>
            <w:pPr>
              <w:keepNext/>
              <w:keepLines/>
            </w:pPr>
            <w:r>
              <w:rPr>
                <w:sz w:val="16"/>
              </w:rPr>
              <w:t>× willing ★</w:t>
            </w:r>
          </w:p>
        </w:tc>
        <w:tc>
          <w:tcPr>
            <w:tcW w:type="dxa" w:w="2635"/>
          </w:tcPr>
          <w:p>
            <w:pPr>
              <w:keepNext/>
              <w:keepLines/>
            </w:pPr>
            <w:r>
              <w:rPr>
                <w:sz w:val="16"/>
              </w:rPr>
              <w:t>80%</w:t>
            </w:r>
          </w:p>
        </w:tc>
        <w:tc>
          <w:tcPr>
            <w:tcW w:type="dxa" w:w="2635"/>
          </w:tcPr>
          <w:p>
            <w:pPr>
              <w:keepNext/>
              <w:keepLines/>
            </w:pPr>
            <w:r>
              <w:rPr>
                <w:sz w:val="16"/>
              </w:rPr>
              <w:t>17.4</w:t>
            </w:r>
          </w:p>
        </w:tc>
        <w:tc>
          <w:tcPr>
            <w:tcW w:type="dxa" w:w="2635"/>
          </w:tcPr>
          <w:p>
            <w:pPr>
              <w:keepNext/>
              <w:keepLines/>
            </w:pPr>
            <w:r>
              <w:rPr>
                <w:sz w:val="16"/>
              </w:rPr>
              <w:t>S55</w:t>
            </w:r>
          </w:p>
        </w:tc>
      </w:tr>
      <w:tr>
        <w:trPr>
          <w:cantSplit/>
        </w:trPr>
        <w:tc>
          <w:tcPr>
            <w:tcW w:type="dxa" w:w="2635"/>
          </w:tcPr>
          <w:p>
            <w:pPr>
              <w:keepNext/>
              <w:keepLines/>
            </w:pPr>
            <w:r>
              <w:rPr>
                <w:sz w:val="16"/>
              </w:rPr>
              <w:t>× access ★</w:t>
            </w:r>
          </w:p>
        </w:tc>
        <w:tc>
          <w:tcPr>
            <w:tcW w:type="dxa" w:w="2635"/>
          </w:tcPr>
          <w:p>
            <w:pPr>
              <w:keepNext/>
              <w:keepLines/>
            </w:pPr>
            <w:r>
              <w:rPr>
                <w:sz w:val="16"/>
              </w:rPr>
              <w:t>80%</w:t>
            </w:r>
          </w:p>
        </w:tc>
        <w:tc>
          <w:tcPr>
            <w:tcW w:type="dxa" w:w="2635"/>
          </w:tcPr>
          <w:p>
            <w:pPr>
              <w:keepNext/>
              <w:keepLines/>
            </w:pPr>
            <w:r>
              <w:rPr>
                <w:sz w:val="16"/>
              </w:rPr>
              <w:t>13.9</w:t>
            </w:r>
          </w:p>
        </w:tc>
        <w:tc>
          <w:tcPr>
            <w:tcW w:type="dxa" w:w="2635"/>
          </w:tcPr>
          <w:p>
            <w:pPr>
              <w:keepNext/>
              <w:keepLines/>
            </w:pPr>
            <w:r>
              <w:rPr>
                <w:sz w:val="16"/>
              </w:rPr>
              <w:t>S55</w:t>
            </w:r>
          </w:p>
        </w:tc>
      </w:tr>
      <w:tr>
        <w:trPr>
          <w:cantSplit/>
        </w:trPr>
        <w:tc>
          <w:tcPr>
            <w:tcW w:type="dxa" w:w="2635"/>
          </w:tcPr>
          <w:p>
            <w:r>
              <w:rPr>
                <w:sz w:val="16"/>
              </w:rPr>
              <w:t>× share (only approved therapy)</w:t>
            </w:r>
          </w:p>
        </w:tc>
        <w:tc>
          <w:tcPr>
            <w:tcW w:type="dxa" w:w="2635"/>
          </w:tcPr>
          <w:p>
            <w:r>
              <w:rPr>
                <w:sz w:val="16"/>
              </w:rPr>
              <w:t>100%</w:t>
            </w:r>
          </w:p>
        </w:tc>
        <w:tc>
          <w:tcPr>
            <w:tcW w:type="dxa" w:w="2635"/>
          </w:tcPr>
          <w:p>
            <w:r>
              <w:rPr>
                <w:sz w:val="16"/>
              </w:rPr>
              <w:t>13.9</w:t>
            </w:r>
          </w:p>
        </w:tc>
        <w:tc>
          <w:tcPr>
            <w:tcW w:type="dxa" w:w="2635"/>
          </w:tcPr>
          <w:p>
            <w:r>
              <w:rPr>
                <w:sz w:val="16"/>
              </w:rPr>
              <w:t>S55</w:t>
            </w:r>
          </w:p>
        </w:tc>
      </w:tr>
    </w:tbl>
    <w:p/>
    <w:p>
      <w:pPr>
        <w:keepNext/>
        <w:keepLines/>
      </w:pPr>
      <w:r>
        <w:rPr>
          <w:i/>
        </w:rPr>
        <w:t>Source: tags as shown. ★ = judgment call.</w:t>
      </w:r>
    </w:p>
    <w:p>
      <w:pPr>
        <w:keepNext/>
        <w:keepLines/>
      </w:pPr>
      <w:r>
        <w:rPr>
          <w:b/>
        </w:rPr>
        <w:t>Figure D2e – Funnel: RGX-121</w:t>
      </w:r>
    </w:p>
    <w:tbl>
      <w:tblPr>
        <w:tblStyle w:val="TableGrid"/>
        <w:tblW w:type="auto" w:w="0"/>
        <w:tblLook w:firstColumn="1" w:firstRow="1" w:lastColumn="0" w:lastRow="0" w:noHBand="0" w:noVBand="1" w:val="04A0"/>
      </w:tblPr>
      <w:tblGrid>
        <w:gridCol w:w="2635"/>
        <w:gridCol w:w="2635"/>
        <w:gridCol w:w="2635"/>
        <w:gridCol w:w="2635"/>
      </w:tblGrid>
      <w:tr>
        <w:trPr>
          <w:cantSplit/>
          <w:tblHeader/>
        </w:trPr>
        <w:tc>
          <w:tcPr>
            <w:tcW w:type="dxa" w:w="2635"/>
          </w:tcPr>
          <w:p>
            <w:pPr>
              <w:keepNext/>
              <w:keepLines/>
            </w:pPr>
            <w:r>
              <w:rPr>
                <w:b/>
                <w:sz w:val="16"/>
              </w:rPr>
              <w:t>Step</w:t>
            </w:r>
          </w:p>
        </w:tc>
        <w:tc>
          <w:tcPr>
            <w:tcW w:type="dxa" w:w="2635"/>
          </w:tcPr>
          <w:p>
            <w:pPr>
              <w:keepNext/>
              <w:keepLines/>
            </w:pPr>
            <w:r>
              <w:rPr>
                <w:b/>
                <w:sz w:val="16"/>
              </w:rPr>
              <w:t>Rate / input</w:t>
            </w:r>
          </w:p>
        </w:tc>
        <w:tc>
          <w:tcPr>
            <w:tcW w:type="dxa" w:w="2635"/>
          </w:tcPr>
          <w:p>
            <w:pPr>
              <w:keepNext/>
              <w:keepLines/>
            </w:pPr>
            <w:r>
              <w:rPr>
                <w:b/>
                <w:sz w:val="16"/>
              </w:rPr>
              <w:t>Result</w:t>
            </w:r>
          </w:p>
        </w:tc>
        <w:tc>
          <w:tcPr>
            <w:tcW w:type="dxa" w:w="2635"/>
          </w:tcPr>
          <w:p>
            <w:pPr>
              <w:keepNext/>
              <w:keepLines/>
            </w:pPr>
            <w:r>
              <w:rPr>
                <w:b/>
                <w:sz w:val="16"/>
              </w:rPr>
              <w:t>Source</w:t>
            </w:r>
          </w:p>
        </w:tc>
      </w:tr>
      <w:tr>
        <w:trPr>
          <w:cantSplit/>
        </w:trPr>
        <w:tc>
          <w:tcPr>
            <w:tcW w:type="dxa" w:w="2635"/>
          </w:tcPr>
          <w:p>
            <w:pPr>
              <w:keepNext/>
              <w:keepLines/>
            </w:pPr>
            <w:r>
              <w:rPr>
                <w:sz w:val="16"/>
              </w:rPr>
              <w:t>Male births × 1/162,000</w:t>
            </w:r>
          </w:p>
        </w:tc>
        <w:tc>
          <w:tcPr>
            <w:tcW w:type="dxa" w:w="2635"/>
          </w:tcPr>
          <w:p>
            <w:pPr>
              <w:keepNext/>
              <w:keepLines/>
            </w:pPr>
            <w:r>
              <w:rPr>
                <w:sz w:val="16"/>
              </w:rPr>
              <w:t>11</w:t>
            </w:r>
          </w:p>
        </w:tc>
        <w:tc>
          <w:tcPr>
            <w:tcW w:type="dxa" w:w="2635"/>
          </w:tcPr>
          <w:p>
            <w:pPr>
              <w:keepNext/>
              <w:keepLines/>
            </w:pPr>
            <w:r>
              <w:rPr>
                <w:sz w:val="16"/>
              </w:rPr>
              <w:t>11.5</w:t>
            </w:r>
          </w:p>
        </w:tc>
        <w:tc>
          <w:tcPr>
            <w:tcW w:type="dxa" w:w="2635"/>
          </w:tcPr>
          <w:p>
            <w:pPr>
              <w:keepNext/>
              <w:keepLines/>
            </w:pPr>
            <w:r>
              <w:rPr>
                <w:sz w:val="16"/>
              </w:rPr>
              <w:t>A26, A27</w:t>
            </w:r>
          </w:p>
        </w:tc>
      </w:tr>
      <w:tr>
        <w:trPr>
          <w:cantSplit/>
        </w:trPr>
        <w:tc>
          <w:tcPr>
            <w:tcW w:type="dxa" w:w="2635"/>
          </w:tcPr>
          <w:p>
            <w:pPr>
              <w:keepNext/>
              <w:keepLines/>
            </w:pPr>
            <w:r>
              <w:rPr>
                <w:sz w:val="16"/>
              </w:rPr>
              <w:t>× neuronopathic ~2/3 ★</w:t>
            </w:r>
          </w:p>
        </w:tc>
        <w:tc>
          <w:tcPr>
            <w:tcW w:type="dxa" w:w="2635"/>
          </w:tcPr>
          <w:p>
            <w:pPr>
              <w:keepNext/>
              <w:keepLines/>
            </w:pPr>
            <w:r>
              <w:rPr>
                <w:sz w:val="16"/>
              </w:rPr>
              <w:t>67%</w:t>
            </w:r>
          </w:p>
        </w:tc>
        <w:tc>
          <w:tcPr>
            <w:tcW w:type="dxa" w:w="2635"/>
          </w:tcPr>
          <w:p>
            <w:pPr>
              <w:keepNext/>
              <w:keepLines/>
            </w:pPr>
            <w:r>
              <w:rPr>
                <w:sz w:val="16"/>
              </w:rPr>
              <w:t>7.7</w:t>
            </w:r>
          </w:p>
        </w:tc>
        <w:tc>
          <w:tcPr>
            <w:tcW w:type="dxa" w:w="2635"/>
          </w:tcPr>
          <w:p>
            <w:pPr>
              <w:keepNext/>
              <w:keepLines/>
            </w:pPr>
            <w:r>
              <w:rPr>
                <w:sz w:val="16"/>
              </w:rPr>
              <w:t>S56</w:t>
            </w:r>
          </w:p>
        </w:tc>
      </w:tr>
      <w:tr>
        <w:trPr>
          <w:cantSplit/>
        </w:trPr>
        <w:tc>
          <w:tcPr>
            <w:tcW w:type="dxa" w:w="2635"/>
          </w:tcPr>
          <w:p>
            <w:pPr>
              <w:keepNext/>
              <w:keepLines/>
            </w:pPr>
            <w:r>
              <w:rPr>
                <w:sz w:val="16"/>
              </w:rPr>
              <w:t>× diagnosed young enough ★</w:t>
            </w:r>
          </w:p>
        </w:tc>
        <w:tc>
          <w:tcPr>
            <w:tcW w:type="dxa" w:w="2635"/>
          </w:tcPr>
          <w:p>
            <w:pPr>
              <w:keepNext/>
              <w:keepLines/>
            </w:pPr>
            <w:r>
              <w:rPr>
                <w:sz w:val="16"/>
              </w:rPr>
              <w:t>70%</w:t>
            </w:r>
          </w:p>
        </w:tc>
        <w:tc>
          <w:tcPr>
            <w:tcW w:type="dxa" w:w="2635"/>
          </w:tcPr>
          <w:p>
            <w:pPr>
              <w:keepNext/>
              <w:keepLines/>
            </w:pPr>
            <w:r>
              <w:rPr>
                <w:sz w:val="16"/>
              </w:rPr>
              <w:t>5.4</w:t>
            </w:r>
          </w:p>
        </w:tc>
        <w:tc>
          <w:tcPr>
            <w:tcW w:type="dxa" w:w="2635"/>
          </w:tcPr>
          <w:p>
            <w:pPr>
              <w:keepNext/>
              <w:keepLines/>
            </w:pPr>
            <w:r>
              <w:rPr>
                <w:sz w:val="16"/>
              </w:rPr>
              <w:t>S56</w:t>
            </w:r>
          </w:p>
        </w:tc>
      </w:tr>
      <w:tr>
        <w:trPr>
          <w:cantSplit/>
        </w:trPr>
        <w:tc>
          <w:tcPr>
            <w:tcW w:type="dxa" w:w="2635"/>
          </w:tcPr>
          <w:p>
            <w:pPr>
              <w:keepNext/>
              <w:keepLines/>
            </w:pPr>
            <w:r>
              <w:rPr>
                <w:sz w:val="16"/>
              </w:rPr>
              <w:t>× willing ★</w:t>
            </w:r>
          </w:p>
        </w:tc>
        <w:tc>
          <w:tcPr>
            <w:tcW w:type="dxa" w:w="2635"/>
          </w:tcPr>
          <w:p>
            <w:pPr>
              <w:keepNext/>
              <w:keepLines/>
            </w:pPr>
            <w:r>
              <w:rPr>
                <w:sz w:val="16"/>
              </w:rPr>
              <w:t>80%</w:t>
            </w:r>
          </w:p>
        </w:tc>
        <w:tc>
          <w:tcPr>
            <w:tcW w:type="dxa" w:w="2635"/>
          </w:tcPr>
          <w:p>
            <w:pPr>
              <w:keepNext/>
              <w:keepLines/>
            </w:pPr>
            <w:r>
              <w:rPr>
                <w:sz w:val="16"/>
              </w:rPr>
              <w:t>4.3</w:t>
            </w:r>
          </w:p>
        </w:tc>
        <w:tc>
          <w:tcPr>
            <w:tcW w:type="dxa" w:w="2635"/>
          </w:tcPr>
          <w:p>
            <w:pPr>
              <w:keepNext/>
              <w:keepLines/>
            </w:pPr>
            <w:r>
              <w:rPr>
                <w:sz w:val="16"/>
              </w:rPr>
              <w:t>S56</w:t>
            </w:r>
          </w:p>
        </w:tc>
      </w:tr>
      <w:tr>
        <w:trPr>
          <w:cantSplit/>
        </w:trPr>
        <w:tc>
          <w:tcPr>
            <w:tcW w:type="dxa" w:w="2635"/>
          </w:tcPr>
          <w:p>
            <w:pPr>
              <w:keepNext/>
              <w:keepLines/>
            </w:pPr>
            <w:r>
              <w:rPr>
                <w:sz w:val="16"/>
              </w:rPr>
              <w:t>× access ★</w:t>
            </w:r>
          </w:p>
        </w:tc>
        <w:tc>
          <w:tcPr>
            <w:tcW w:type="dxa" w:w="2635"/>
          </w:tcPr>
          <w:p>
            <w:pPr>
              <w:keepNext/>
              <w:keepLines/>
            </w:pPr>
            <w:r>
              <w:rPr>
                <w:sz w:val="16"/>
              </w:rPr>
              <w:t>80%</w:t>
            </w:r>
          </w:p>
        </w:tc>
        <w:tc>
          <w:tcPr>
            <w:tcW w:type="dxa" w:w="2635"/>
          </w:tcPr>
          <w:p>
            <w:pPr>
              <w:keepNext/>
              <w:keepLines/>
            </w:pPr>
            <w:r>
              <w:rPr>
                <w:sz w:val="16"/>
              </w:rPr>
              <w:t>3.4</w:t>
            </w:r>
          </w:p>
        </w:tc>
        <w:tc>
          <w:tcPr>
            <w:tcW w:type="dxa" w:w="2635"/>
          </w:tcPr>
          <w:p>
            <w:pPr>
              <w:keepNext/>
              <w:keepLines/>
            </w:pPr>
            <w:r>
              <w:rPr>
                <w:sz w:val="16"/>
              </w:rPr>
              <w:t>S56</w:t>
            </w:r>
          </w:p>
        </w:tc>
      </w:tr>
      <w:tr>
        <w:trPr>
          <w:cantSplit/>
        </w:trPr>
        <w:tc>
          <w:tcPr>
            <w:tcW w:type="dxa" w:w="2635"/>
          </w:tcPr>
          <w:p>
            <w:r>
              <w:rPr>
                <w:sz w:val="16"/>
              </w:rPr>
              <w:t>× share vs ERT/brain-penetrant ERT ★</w:t>
            </w:r>
          </w:p>
        </w:tc>
        <w:tc>
          <w:tcPr>
            <w:tcW w:type="dxa" w:w="2635"/>
          </w:tcPr>
          <w:p>
            <w:r>
              <w:rPr>
                <w:sz w:val="16"/>
              </w:rPr>
              <w:t>60%</w:t>
            </w:r>
          </w:p>
        </w:tc>
        <w:tc>
          <w:tcPr>
            <w:tcW w:type="dxa" w:w="2635"/>
          </w:tcPr>
          <w:p>
            <w:r>
              <w:rPr>
                <w:sz w:val="16"/>
              </w:rPr>
              <w:t>2.1</w:t>
            </w:r>
          </w:p>
        </w:tc>
        <w:tc>
          <w:tcPr>
            <w:tcW w:type="dxa" w:w="2635"/>
          </w:tcPr>
          <w:p>
            <w:r>
              <w:rPr>
                <w:sz w:val="16"/>
              </w:rPr>
              <w:t>S56</w:t>
            </w:r>
          </w:p>
        </w:tc>
      </w:tr>
    </w:tbl>
    <w:p/>
    <w:p>
      <w:pPr>
        <w:keepNext/>
        <w:keepLines/>
      </w:pPr>
      <w:r>
        <w:rPr>
          <w:i/>
        </w:rPr>
        <w:t>Source: tags as shown. ★ = judgment call.</w:t>
      </w:r>
    </w:p>
    <w:p>
      <w:pPr>
        <w:keepNext/>
        <w:keepLines/>
      </w:pPr>
      <w:r>
        <w:rPr>
          <w:b/>
        </w:rPr>
        <w:t>Figure D2f – Funnel: SRN-101</w:t>
      </w:r>
    </w:p>
    <w:tbl>
      <w:tblPr>
        <w:tblStyle w:val="TableGrid"/>
        <w:tblW w:type="auto" w:w="0"/>
        <w:tblLook w:firstColumn="1" w:firstRow="1" w:lastColumn="0" w:lastRow="0" w:noHBand="0" w:noVBand="1" w:val="04A0"/>
      </w:tblPr>
      <w:tblGrid>
        <w:gridCol w:w="2635"/>
        <w:gridCol w:w="2635"/>
        <w:gridCol w:w="2635"/>
        <w:gridCol w:w="2635"/>
      </w:tblGrid>
      <w:tr>
        <w:trPr>
          <w:cantSplit/>
          <w:tblHeader/>
        </w:trPr>
        <w:tc>
          <w:tcPr>
            <w:tcW w:type="dxa" w:w="2635"/>
          </w:tcPr>
          <w:p>
            <w:pPr>
              <w:keepNext/>
              <w:keepLines/>
            </w:pPr>
            <w:r>
              <w:rPr>
                <w:b/>
                <w:sz w:val="16"/>
              </w:rPr>
              <w:t>Step</w:t>
            </w:r>
          </w:p>
        </w:tc>
        <w:tc>
          <w:tcPr>
            <w:tcW w:type="dxa" w:w="2635"/>
          </w:tcPr>
          <w:p>
            <w:pPr>
              <w:keepNext/>
              <w:keepLines/>
            </w:pPr>
            <w:r>
              <w:rPr>
                <w:b/>
                <w:sz w:val="16"/>
              </w:rPr>
              <w:t>Rate / input</w:t>
            </w:r>
          </w:p>
        </w:tc>
        <w:tc>
          <w:tcPr>
            <w:tcW w:type="dxa" w:w="2635"/>
          </w:tcPr>
          <w:p>
            <w:pPr>
              <w:keepNext/>
              <w:keepLines/>
            </w:pPr>
            <w:r>
              <w:rPr>
                <w:b/>
                <w:sz w:val="16"/>
              </w:rPr>
              <w:t>Result</w:t>
            </w:r>
          </w:p>
        </w:tc>
        <w:tc>
          <w:tcPr>
            <w:tcW w:type="dxa" w:w="2635"/>
          </w:tcPr>
          <w:p>
            <w:pPr>
              <w:keepNext/>
              <w:keepLines/>
            </w:pPr>
            <w:r>
              <w:rPr>
                <w:b/>
                <w:sz w:val="16"/>
              </w:rPr>
              <w:t>Source</w:t>
            </w:r>
          </w:p>
        </w:tc>
      </w:tr>
      <w:tr>
        <w:trPr>
          <w:cantSplit/>
        </w:trPr>
        <w:tc>
          <w:tcPr>
            <w:tcW w:type="dxa" w:w="2635"/>
          </w:tcPr>
          <w:p>
            <w:pPr>
              <w:keepNext/>
              <w:keepLines/>
            </w:pPr>
            <w:r>
              <w:rPr>
                <w:sz w:val="16"/>
              </w:rPr>
              <w:t>Glioblastoma incidence (CBTRUS)</w:t>
            </w:r>
          </w:p>
        </w:tc>
        <w:tc>
          <w:tcPr>
            <w:tcW w:type="dxa" w:w="2635"/>
          </w:tcPr>
          <w:p>
            <w:pPr>
              <w:keepNext/>
              <w:keepLines/>
            </w:pPr>
            <w:r>
              <w:rPr>
                <w:sz w:val="16"/>
              </w:rPr>
              <w:t>13,450</w:t>
            </w:r>
          </w:p>
        </w:tc>
        <w:tc>
          <w:tcPr>
            <w:tcW w:type="dxa" w:w="2635"/>
          </w:tcPr>
          <w:p>
            <w:pPr>
              <w:keepNext/>
              <w:keepLines/>
            </w:pPr>
            <w:r>
              <w:rPr>
                <w:sz w:val="16"/>
              </w:rPr>
              <w:t>13,450</w:t>
            </w:r>
          </w:p>
        </w:tc>
        <w:tc>
          <w:tcPr>
            <w:tcW w:type="dxa" w:w="2635"/>
          </w:tcPr>
          <w:p>
            <w:pPr>
              <w:keepNext/>
              <w:keepLines/>
            </w:pPr>
            <w:r>
              <w:rPr>
                <w:sz w:val="16"/>
              </w:rPr>
              <w:t>A28</w:t>
            </w:r>
          </w:p>
        </w:tc>
      </w:tr>
      <w:tr>
        <w:trPr>
          <w:cantSplit/>
        </w:trPr>
        <w:tc>
          <w:tcPr>
            <w:tcW w:type="dxa" w:w="2635"/>
          </w:tcPr>
          <w:p>
            <w:pPr>
              <w:keepNext/>
              <w:keepLines/>
            </w:pPr>
            <w:r>
              <w:rPr>
                <w:sz w:val="16"/>
              </w:rPr>
              <w:t>× recurrence ★</w:t>
            </w:r>
          </w:p>
        </w:tc>
        <w:tc>
          <w:tcPr>
            <w:tcW w:type="dxa" w:w="2635"/>
          </w:tcPr>
          <w:p>
            <w:pPr>
              <w:keepNext/>
              <w:keepLines/>
            </w:pPr>
            <w:r>
              <w:rPr>
                <w:sz w:val="16"/>
              </w:rPr>
              <w:t>90%</w:t>
            </w:r>
          </w:p>
        </w:tc>
        <w:tc>
          <w:tcPr>
            <w:tcW w:type="dxa" w:w="2635"/>
          </w:tcPr>
          <w:p>
            <w:pPr>
              <w:keepNext/>
              <w:keepLines/>
            </w:pPr>
            <w:r>
              <w:rPr>
                <w:sz w:val="16"/>
              </w:rPr>
              <w:t>12,105</w:t>
            </w:r>
          </w:p>
        </w:tc>
        <w:tc>
          <w:tcPr>
            <w:tcW w:type="dxa" w:w="2635"/>
          </w:tcPr>
          <w:p>
            <w:pPr>
              <w:keepNext/>
              <w:keepLines/>
            </w:pPr>
            <w:r>
              <w:rPr>
                <w:sz w:val="16"/>
              </w:rPr>
              <w:t>S57</w:t>
            </w:r>
          </w:p>
        </w:tc>
      </w:tr>
      <w:tr>
        <w:trPr>
          <w:cantSplit/>
        </w:trPr>
        <w:tc>
          <w:tcPr>
            <w:tcW w:type="dxa" w:w="2635"/>
          </w:tcPr>
          <w:p>
            <w:pPr>
              <w:keepNext/>
              <w:keepLines/>
            </w:pPr>
            <w:r>
              <w:rPr>
                <w:sz w:val="16"/>
              </w:rPr>
              <w:t>× resectable at recurrence ★</w:t>
            </w:r>
          </w:p>
        </w:tc>
        <w:tc>
          <w:tcPr>
            <w:tcW w:type="dxa" w:w="2635"/>
          </w:tcPr>
          <w:p>
            <w:pPr>
              <w:keepNext/>
              <w:keepLines/>
            </w:pPr>
            <w:r>
              <w:rPr>
                <w:sz w:val="16"/>
              </w:rPr>
              <w:t>30%</w:t>
            </w:r>
          </w:p>
        </w:tc>
        <w:tc>
          <w:tcPr>
            <w:tcW w:type="dxa" w:w="2635"/>
          </w:tcPr>
          <w:p>
            <w:pPr>
              <w:keepNext/>
              <w:keepLines/>
            </w:pPr>
            <w:r>
              <w:rPr>
                <w:sz w:val="16"/>
              </w:rPr>
              <w:t>3,632</w:t>
            </w:r>
          </w:p>
        </w:tc>
        <w:tc>
          <w:tcPr>
            <w:tcW w:type="dxa" w:w="2635"/>
          </w:tcPr>
          <w:p>
            <w:pPr>
              <w:keepNext/>
              <w:keepLines/>
            </w:pPr>
            <w:r>
              <w:rPr>
                <w:sz w:val="16"/>
              </w:rPr>
              <w:t>S57</w:t>
            </w:r>
          </w:p>
        </w:tc>
      </w:tr>
      <w:tr>
        <w:trPr>
          <w:cantSplit/>
        </w:trPr>
        <w:tc>
          <w:tcPr>
            <w:tcW w:type="dxa" w:w="2635"/>
          </w:tcPr>
          <w:p>
            <w:pPr>
              <w:keepNext/>
              <w:keepLines/>
            </w:pPr>
            <w:r>
              <w:rPr>
                <w:sz w:val="16"/>
              </w:rPr>
              <w:t>× willing ★</w:t>
            </w:r>
          </w:p>
        </w:tc>
        <w:tc>
          <w:tcPr>
            <w:tcW w:type="dxa" w:w="2635"/>
          </w:tcPr>
          <w:p>
            <w:pPr>
              <w:keepNext/>
              <w:keepLines/>
            </w:pPr>
            <w:r>
              <w:rPr>
                <w:sz w:val="16"/>
              </w:rPr>
              <w:t>70%</w:t>
            </w:r>
          </w:p>
        </w:tc>
        <w:tc>
          <w:tcPr>
            <w:tcW w:type="dxa" w:w="2635"/>
          </w:tcPr>
          <w:p>
            <w:pPr>
              <w:keepNext/>
              <w:keepLines/>
            </w:pPr>
            <w:r>
              <w:rPr>
                <w:sz w:val="16"/>
              </w:rPr>
              <w:t>2,542</w:t>
            </w:r>
          </w:p>
        </w:tc>
        <w:tc>
          <w:tcPr>
            <w:tcW w:type="dxa" w:w="2635"/>
          </w:tcPr>
          <w:p>
            <w:pPr>
              <w:keepNext/>
              <w:keepLines/>
            </w:pPr>
            <w:r>
              <w:rPr>
                <w:sz w:val="16"/>
              </w:rPr>
              <w:t>S57</w:t>
            </w:r>
          </w:p>
        </w:tc>
      </w:tr>
      <w:tr>
        <w:trPr>
          <w:cantSplit/>
        </w:trPr>
        <w:tc>
          <w:tcPr>
            <w:tcW w:type="dxa" w:w="2635"/>
          </w:tcPr>
          <w:p>
            <w:pPr>
              <w:keepNext/>
              <w:keepLines/>
            </w:pPr>
            <w:r>
              <w:rPr>
                <w:sz w:val="16"/>
              </w:rPr>
              <w:t>× access ★</w:t>
            </w:r>
          </w:p>
        </w:tc>
        <w:tc>
          <w:tcPr>
            <w:tcW w:type="dxa" w:w="2635"/>
          </w:tcPr>
          <w:p>
            <w:pPr>
              <w:keepNext/>
              <w:keepLines/>
            </w:pPr>
            <w:r>
              <w:rPr>
                <w:sz w:val="16"/>
              </w:rPr>
              <w:t>70%</w:t>
            </w:r>
          </w:p>
        </w:tc>
        <w:tc>
          <w:tcPr>
            <w:tcW w:type="dxa" w:w="2635"/>
          </w:tcPr>
          <w:p>
            <w:pPr>
              <w:keepNext/>
              <w:keepLines/>
            </w:pPr>
            <w:r>
              <w:rPr>
                <w:sz w:val="16"/>
              </w:rPr>
              <w:t>1,779</w:t>
            </w:r>
          </w:p>
        </w:tc>
        <w:tc>
          <w:tcPr>
            <w:tcW w:type="dxa" w:w="2635"/>
          </w:tcPr>
          <w:p>
            <w:pPr>
              <w:keepNext/>
              <w:keepLines/>
            </w:pPr>
            <w:r>
              <w:rPr>
                <w:sz w:val="16"/>
              </w:rPr>
              <w:t>S57</w:t>
            </w:r>
          </w:p>
        </w:tc>
      </w:tr>
      <w:tr>
        <w:trPr>
          <w:cantSplit/>
        </w:trPr>
        <w:tc>
          <w:tcPr>
            <w:tcW w:type="dxa" w:w="2635"/>
          </w:tcPr>
          <w:p>
            <w:r>
              <w:rPr>
                <w:sz w:val="16"/>
              </w:rPr>
              <w:t>× share vs other recurrent-GBM options ★</w:t>
            </w:r>
          </w:p>
        </w:tc>
        <w:tc>
          <w:tcPr>
            <w:tcW w:type="dxa" w:w="2635"/>
          </w:tcPr>
          <w:p>
            <w:r>
              <w:rPr>
                <w:sz w:val="16"/>
              </w:rPr>
              <w:t>30%</w:t>
            </w:r>
          </w:p>
        </w:tc>
        <w:tc>
          <w:tcPr>
            <w:tcW w:type="dxa" w:w="2635"/>
          </w:tcPr>
          <w:p>
            <w:r>
              <w:rPr>
                <w:sz w:val="16"/>
              </w:rPr>
              <w:t>534</w:t>
            </w:r>
          </w:p>
        </w:tc>
        <w:tc>
          <w:tcPr>
            <w:tcW w:type="dxa" w:w="2635"/>
          </w:tcPr>
          <w:p>
            <w:r>
              <w:rPr>
                <w:sz w:val="16"/>
              </w:rPr>
              <w:t>S57</w:t>
            </w:r>
          </w:p>
        </w:tc>
      </w:tr>
    </w:tbl>
    <w:p/>
    <w:p>
      <w:r>
        <w:rPr>
          <w:i/>
        </w:rPr>
        <w:t>Source: tags as shown. ★ = judgment call.</w:t>
      </w:r>
    </w:p>
    <w:p>
      <w:pPr>
        <w:keepNext/>
        <w:keepLines/>
      </w:pPr>
      <w:r>
        <w:t>Figure D3 shows the ramps, assuming every program is approved.</w:t>
      </w:r>
    </w:p>
    <w:p>
      <w:pPr>
        <w:keepNext/>
        <w:keepLines/>
      </w:pPr>
      <w:r>
        <w:rPr>
          <w:b/>
        </w:rPr>
        <w:t>Figure D3 – Ramp, procedures by year (100% approval)</w:t>
      </w:r>
    </w:p>
    <w:tbl>
      <w:tblPr>
        <w:tblStyle w:val="TableGrid"/>
        <w:tblW w:type="auto" w:w="0"/>
        <w:tblLook w:firstColumn="1" w:firstRow="1" w:lastColumn="0" w:lastRow="0" w:noHBand="0" w:noVBand="1" w:val="04A0"/>
      </w:tblPr>
      <w:tblGrid>
        <w:gridCol w:w="1757"/>
        <w:gridCol w:w="1757"/>
        <w:gridCol w:w="1757"/>
        <w:gridCol w:w="1757"/>
        <w:gridCol w:w="1757"/>
        <w:gridCol w:w="1757"/>
      </w:tblGrid>
      <w:tr>
        <w:trPr>
          <w:cantSplit/>
          <w:tblHeader/>
        </w:trPr>
        <w:tc>
          <w:tcPr>
            <w:tcW w:type="dxa" w:w="1757"/>
          </w:tcPr>
          <w:p>
            <w:pPr>
              <w:keepNext/>
              <w:keepLines/>
            </w:pPr>
            <w:r>
              <w:rPr>
                <w:b/>
                <w:sz w:val="16"/>
              </w:rPr>
              <w:t>Therapy</w:t>
            </w:r>
          </w:p>
        </w:tc>
        <w:tc>
          <w:tcPr>
            <w:tcW w:type="dxa" w:w="1757"/>
          </w:tcPr>
          <w:p>
            <w:pPr>
              <w:keepNext/>
              <w:keepLines/>
            </w:pPr>
            <w:r>
              <w:rPr>
                <w:b/>
                <w:sz w:val="16"/>
              </w:rPr>
              <w:t>FY2027E</w:t>
            </w:r>
          </w:p>
        </w:tc>
        <w:tc>
          <w:tcPr>
            <w:tcW w:type="dxa" w:w="1757"/>
          </w:tcPr>
          <w:p>
            <w:pPr>
              <w:keepNext/>
              <w:keepLines/>
            </w:pPr>
            <w:r>
              <w:rPr>
                <w:b/>
                <w:sz w:val="16"/>
              </w:rPr>
              <w:t>FY2028E</w:t>
            </w:r>
          </w:p>
        </w:tc>
        <w:tc>
          <w:tcPr>
            <w:tcW w:type="dxa" w:w="1757"/>
          </w:tcPr>
          <w:p>
            <w:pPr>
              <w:keepNext/>
              <w:keepLines/>
            </w:pPr>
            <w:r>
              <w:rPr>
                <w:b/>
                <w:sz w:val="16"/>
              </w:rPr>
              <w:t>FY2029E</w:t>
            </w:r>
          </w:p>
        </w:tc>
        <w:tc>
          <w:tcPr>
            <w:tcW w:type="dxa" w:w="1757"/>
          </w:tcPr>
          <w:p>
            <w:pPr>
              <w:keepNext/>
              <w:keepLines/>
            </w:pPr>
            <w:r>
              <w:rPr>
                <w:b/>
                <w:sz w:val="16"/>
              </w:rPr>
              <w:t>FY2030E</w:t>
            </w:r>
          </w:p>
        </w:tc>
        <w:tc>
          <w:tcPr>
            <w:tcW w:type="dxa" w:w="1757"/>
          </w:tcPr>
          <w:p>
            <w:pPr>
              <w:keepNext/>
              <w:keepLines/>
            </w:pPr>
            <w:r>
              <w:rPr>
                <w:b/>
                <w:sz w:val="16"/>
              </w:rPr>
              <w:t>FY2031E</w:t>
            </w:r>
          </w:p>
        </w:tc>
      </w:tr>
      <w:tr>
        <w:trPr>
          <w:cantSplit/>
        </w:trPr>
        <w:tc>
          <w:tcPr>
            <w:tcW w:type="dxa" w:w="1757"/>
          </w:tcPr>
          <w:p>
            <w:pPr>
              <w:keepNext/>
              <w:keepLines/>
            </w:pPr>
            <w:r>
              <w:rPr>
                <w:sz w:val="16"/>
              </w:rPr>
              <w:t>BRT-DA01</w:t>
            </w:r>
          </w:p>
        </w:tc>
        <w:tc>
          <w:tcPr>
            <w:tcW w:type="dxa" w:w="1757"/>
          </w:tcPr>
          <w:p>
            <w:pPr>
              <w:keepNext/>
              <w:keepLines/>
            </w:pPr>
            <w:r>
              <w:rPr>
                <w:sz w:val="16"/>
              </w:rPr>
              <w:t>–</w:t>
            </w:r>
          </w:p>
        </w:tc>
        <w:tc>
          <w:tcPr>
            <w:tcW w:type="dxa" w:w="1757"/>
          </w:tcPr>
          <w:p>
            <w:pPr>
              <w:keepNext/>
              <w:keepLines/>
            </w:pPr>
            <w:r>
              <w:rPr>
                <w:sz w:val="16"/>
              </w:rPr>
              <w:t>–</w:t>
            </w:r>
          </w:p>
        </w:tc>
        <w:tc>
          <w:tcPr>
            <w:tcW w:type="dxa" w:w="1757"/>
          </w:tcPr>
          <w:p>
            <w:pPr>
              <w:keepNext/>
              <w:keepLines/>
            </w:pPr>
            <w:r>
              <w:rPr>
                <w:sz w:val="16"/>
              </w:rPr>
              <w:t>330</w:t>
            </w:r>
          </w:p>
        </w:tc>
        <w:tc>
          <w:tcPr>
            <w:tcW w:type="dxa" w:w="1757"/>
          </w:tcPr>
          <w:p>
            <w:pPr>
              <w:keepNext/>
              <w:keepLines/>
            </w:pPr>
            <w:r>
              <w:rPr>
                <w:sz w:val="16"/>
              </w:rPr>
              <w:t>2,500</w:t>
            </w:r>
          </w:p>
        </w:tc>
        <w:tc>
          <w:tcPr>
            <w:tcW w:type="dxa" w:w="1757"/>
          </w:tcPr>
          <w:p>
            <w:pPr>
              <w:keepNext/>
              <w:keepLines/>
            </w:pPr>
            <w:r>
              <w:rPr>
                <w:sz w:val="16"/>
              </w:rPr>
              <w:t>4,500</w:t>
            </w:r>
          </w:p>
        </w:tc>
      </w:tr>
      <w:tr>
        <w:trPr>
          <w:cantSplit/>
        </w:trPr>
        <w:tc>
          <w:tcPr>
            <w:tcW w:type="dxa" w:w="1757"/>
          </w:tcPr>
          <w:p>
            <w:pPr>
              <w:keepNext/>
              <w:keepLines/>
            </w:pPr>
            <w:r>
              <w:rPr>
                <w:sz w:val="16"/>
              </w:rPr>
              <w:t>AMT-130</w:t>
            </w:r>
          </w:p>
        </w:tc>
        <w:tc>
          <w:tcPr>
            <w:tcW w:type="dxa" w:w="1757"/>
          </w:tcPr>
          <w:p>
            <w:pPr>
              <w:keepNext/>
              <w:keepLines/>
            </w:pPr>
            <w:r>
              <w:rPr>
                <w:sz w:val="16"/>
              </w:rPr>
              <w:t>330</w:t>
            </w:r>
          </w:p>
        </w:tc>
        <w:tc>
          <w:tcPr>
            <w:tcW w:type="dxa" w:w="1757"/>
          </w:tcPr>
          <w:p>
            <w:pPr>
              <w:keepNext/>
              <w:keepLines/>
            </w:pPr>
            <w:r>
              <w:rPr>
                <w:sz w:val="16"/>
              </w:rPr>
              <w:t>2,500</w:t>
            </w:r>
          </w:p>
        </w:tc>
        <w:tc>
          <w:tcPr>
            <w:tcW w:type="dxa" w:w="1757"/>
          </w:tcPr>
          <w:p>
            <w:pPr>
              <w:keepNext/>
              <w:keepLines/>
            </w:pPr>
            <w:r>
              <w:rPr>
                <w:sz w:val="16"/>
              </w:rPr>
              <w:t>3,170</w:t>
            </w:r>
          </w:p>
        </w:tc>
        <w:tc>
          <w:tcPr>
            <w:tcW w:type="dxa" w:w="1757"/>
          </w:tcPr>
          <w:p>
            <w:pPr>
              <w:keepNext/>
              <w:keepLines/>
            </w:pPr>
            <w:r>
              <w:rPr>
                <w:sz w:val="16"/>
              </w:rPr>
              <w:t>3,000</w:t>
            </w:r>
          </w:p>
        </w:tc>
        <w:tc>
          <w:tcPr>
            <w:tcW w:type="dxa" w:w="1757"/>
          </w:tcPr>
          <w:p>
            <w:pPr>
              <w:keepNext/>
              <w:keepLines/>
            </w:pPr>
            <w:r>
              <w:rPr>
                <w:sz w:val="16"/>
              </w:rPr>
              <w:t>3,000</w:t>
            </w:r>
          </w:p>
        </w:tc>
      </w:tr>
      <w:tr>
        <w:trPr>
          <w:cantSplit/>
        </w:trPr>
        <w:tc>
          <w:tcPr>
            <w:tcW w:type="dxa" w:w="1757"/>
          </w:tcPr>
          <w:p>
            <w:pPr>
              <w:keepNext/>
              <w:keepLines/>
            </w:pPr>
            <w:r>
              <w:rPr>
                <w:sz w:val="16"/>
              </w:rPr>
              <w:t>AB-1005</w:t>
            </w:r>
          </w:p>
        </w:tc>
        <w:tc>
          <w:tcPr>
            <w:tcW w:type="dxa" w:w="1757"/>
          </w:tcPr>
          <w:p>
            <w:pPr>
              <w:keepNext/>
              <w:keepLines/>
            </w:pPr>
            <w:r>
              <w:rPr>
                <w:sz w:val="16"/>
              </w:rPr>
              <w:t>–</w:t>
            </w:r>
          </w:p>
        </w:tc>
        <w:tc>
          <w:tcPr>
            <w:tcW w:type="dxa" w:w="1757"/>
          </w:tcPr>
          <w:p>
            <w:pPr>
              <w:keepNext/>
              <w:keepLines/>
            </w:pPr>
            <w:r>
              <w:rPr>
                <w:sz w:val="16"/>
              </w:rPr>
              <w:t>–</w:t>
            </w:r>
          </w:p>
        </w:tc>
        <w:tc>
          <w:tcPr>
            <w:tcW w:type="dxa" w:w="1757"/>
          </w:tcPr>
          <w:p>
            <w:pPr>
              <w:keepNext/>
              <w:keepLines/>
            </w:pPr>
            <w:r>
              <w:rPr>
                <w:sz w:val="16"/>
              </w:rPr>
              <w:t>–</w:t>
            </w:r>
          </w:p>
        </w:tc>
        <w:tc>
          <w:tcPr>
            <w:tcW w:type="dxa" w:w="1757"/>
          </w:tcPr>
          <w:p>
            <w:pPr>
              <w:keepNext/>
              <w:keepLines/>
            </w:pPr>
            <w:r>
              <w:rPr>
                <w:sz w:val="16"/>
              </w:rPr>
              <w:t>–</w:t>
            </w:r>
          </w:p>
        </w:tc>
        <w:tc>
          <w:tcPr>
            <w:tcW w:type="dxa" w:w="1757"/>
          </w:tcPr>
          <w:p>
            <w:pPr>
              <w:keepNext/>
              <w:keepLines/>
            </w:pPr>
            <w:r>
              <w:rPr>
                <w:sz w:val="16"/>
              </w:rPr>
              <w:t>–</w:t>
            </w:r>
          </w:p>
        </w:tc>
      </w:tr>
      <w:tr>
        <w:trPr>
          <w:cantSplit/>
        </w:trPr>
        <w:tc>
          <w:tcPr>
            <w:tcW w:type="dxa" w:w="1757"/>
          </w:tcPr>
          <w:p>
            <w:pPr>
              <w:keepNext/>
              <w:keepLines/>
            </w:pPr>
            <w:r>
              <w:rPr>
                <w:sz w:val="16"/>
              </w:rPr>
              <w:t>ANPD001</w:t>
            </w:r>
          </w:p>
        </w:tc>
        <w:tc>
          <w:tcPr>
            <w:tcW w:type="dxa" w:w="1757"/>
          </w:tcPr>
          <w:p>
            <w:pPr>
              <w:keepNext/>
              <w:keepLines/>
            </w:pPr>
            <w:r>
              <w:rPr>
                <w:sz w:val="16"/>
              </w:rPr>
              <w:t>–</w:t>
            </w:r>
          </w:p>
        </w:tc>
        <w:tc>
          <w:tcPr>
            <w:tcW w:type="dxa" w:w="1757"/>
          </w:tcPr>
          <w:p>
            <w:pPr>
              <w:keepNext/>
              <w:keepLines/>
            </w:pPr>
            <w:r>
              <w:rPr>
                <w:sz w:val="16"/>
              </w:rPr>
              <w:t>–</w:t>
            </w:r>
          </w:p>
        </w:tc>
        <w:tc>
          <w:tcPr>
            <w:tcW w:type="dxa" w:w="1757"/>
          </w:tcPr>
          <w:p>
            <w:pPr>
              <w:keepNext/>
              <w:keepLines/>
            </w:pPr>
            <w:r>
              <w:rPr>
                <w:sz w:val="16"/>
              </w:rPr>
              <w:t>–</w:t>
            </w:r>
          </w:p>
        </w:tc>
        <w:tc>
          <w:tcPr>
            <w:tcW w:type="dxa" w:w="1757"/>
          </w:tcPr>
          <w:p>
            <w:pPr>
              <w:keepNext/>
              <w:keepLines/>
            </w:pPr>
            <w:r>
              <w:rPr>
                <w:sz w:val="16"/>
              </w:rPr>
              <w:t>–</w:t>
            </w:r>
          </w:p>
        </w:tc>
        <w:tc>
          <w:tcPr>
            <w:tcW w:type="dxa" w:w="1757"/>
          </w:tcPr>
          <w:p>
            <w:pPr>
              <w:keepNext/>
              <w:keepLines/>
            </w:pPr>
            <w:r>
              <w:rPr>
                <w:sz w:val="16"/>
              </w:rPr>
              <w:t>–</w:t>
            </w:r>
          </w:p>
        </w:tc>
      </w:tr>
      <w:tr>
        <w:trPr>
          <w:cantSplit/>
        </w:trPr>
        <w:tc>
          <w:tcPr>
            <w:tcW w:type="dxa" w:w="1757"/>
          </w:tcPr>
          <w:p>
            <w:pPr>
              <w:keepNext/>
              <w:keepLines/>
            </w:pPr>
            <w:r>
              <w:rPr>
                <w:sz w:val="16"/>
              </w:rPr>
              <w:t>RNDP-001</w:t>
            </w:r>
          </w:p>
        </w:tc>
        <w:tc>
          <w:tcPr>
            <w:tcW w:type="dxa" w:w="1757"/>
          </w:tcPr>
          <w:p>
            <w:pPr>
              <w:keepNext/>
              <w:keepLines/>
            </w:pPr>
            <w:r>
              <w:rPr>
                <w:sz w:val="16"/>
              </w:rPr>
              <w:t>–</w:t>
            </w:r>
          </w:p>
        </w:tc>
        <w:tc>
          <w:tcPr>
            <w:tcW w:type="dxa" w:w="1757"/>
          </w:tcPr>
          <w:p>
            <w:pPr>
              <w:keepNext/>
              <w:keepLines/>
            </w:pPr>
            <w:r>
              <w:rPr>
                <w:sz w:val="16"/>
              </w:rPr>
              <w:t>–</w:t>
            </w:r>
          </w:p>
        </w:tc>
        <w:tc>
          <w:tcPr>
            <w:tcW w:type="dxa" w:w="1757"/>
          </w:tcPr>
          <w:p>
            <w:pPr>
              <w:keepNext/>
              <w:keepLines/>
            </w:pPr>
            <w:r>
              <w:rPr>
                <w:sz w:val="16"/>
              </w:rPr>
              <w:t>–</w:t>
            </w:r>
          </w:p>
        </w:tc>
        <w:tc>
          <w:tcPr>
            <w:tcW w:type="dxa" w:w="1757"/>
          </w:tcPr>
          <w:p>
            <w:pPr>
              <w:keepNext/>
              <w:keepLines/>
            </w:pPr>
            <w:r>
              <w:rPr>
                <w:sz w:val="16"/>
              </w:rPr>
              <w:t>–</w:t>
            </w:r>
          </w:p>
        </w:tc>
        <w:tc>
          <w:tcPr>
            <w:tcW w:type="dxa" w:w="1757"/>
          </w:tcPr>
          <w:p>
            <w:pPr>
              <w:keepNext/>
              <w:keepLines/>
            </w:pPr>
            <w:r>
              <w:rPr>
                <w:sz w:val="16"/>
              </w:rPr>
              <w:t>–</w:t>
            </w:r>
          </w:p>
        </w:tc>
      </w:tr>
      <w:tr>
        <w:trPr>
          <w:cantSplit/>
        </w:trPr>
        <w:tc>
          <w:tcPr>
            <w:tcW w:type="dxa" w:w="1757"/>
          </w:tcPr>
          <w:p>
            <w:pPr>
              <w:keepNext/>
              <w:keepLines/>
            </w:pPr>
            <w:r>
              <w:rPr>
                <w:sz w:val="16"/>
              </w:rPr>
              <w:t>NRTX-1001</w:t>
            </w:r>
          </w:p>
        </w:tc>
        <w:tc>
          <w:tcPr>
            <w:tcW w:type="dxa" w:w="1757"/>
          </w:tcPr>
          <w:p>
            <w:pPr>
              <w:keepNext/>
              <w:keepLines/>
            </w:pPr>
            <w:r>
              <w:rPr>
                <w:sz w:val="16"/>
              </w:rPr>
              <w:t>–</w:t>
            </w:r>
          </w:p>
        </w:tc>
        <w:tc>
          <w:tcPr>
            <w:tcW w:type="dxa" w:w="1757"/>
          </w:tcPr>
          <w:p>
            <w:pPr>
              <w:keepNext/>
              <w:keepLines/>
            </w:pPr>
            <w:r>
              <w:rPr>
                <w:sz w:val="16"/>
              </w:rPr>
              <w:t>–</w:t>
            </w:r>
          </w:p>
        </w:tc>
        <w:tc>
          <w:tcPr>
            <w:tcW w:type="dxa" w:w="1757"/>
          </w:tcPr>
          <w:p>
            <w:pPr>
              <w:keepNext/>
              <w:keepLines/>
            </w:pPr>
            <w:r>
              <w:rPr>
                <w:sz w:val="16"/>
              </w:rPr>
              <w:t>–</w:t>
            </w:r>
          </w:p>
        </w:tc>
        <w:tc>
          <w:tcPr>
            <w:tcW w:type="dxa" w:w="1757"/>
          </w:tcPr>
          <w:p>
            <w:pPr>
              <w:keepNext/>
              <w:keepLines/>
            </w:pPr>
            <w:r>
              <w:rPr>
                <w:sz w:val="16"/>
              </w:rPr>
              <w:t>300</w:t>
            </w:r>
          </w:p>
        </w:tc>
        <w:tc>
          <w:tcPr>
            <w:tcW w:type="dxa" w:w="1757"/>
          </w:tcPr>
          <w:p>
            <w:pPr>
              <w:keepNext/>
              <w:keepLines/>
            </w:pPr>
            <w:r>
              <w:rPr>
                <w:sz w:val="16"/>
              </w:rPr>
              <w:t>1,200</w:t>
            </w:r>
          </w:p>
        </w:tc>
      </w:tr>
      <w:tr>
        <w:trPr>
          <w:cantSplit/>
        </w:trPr>
        <w:tc>
          <w:tcPr>
            <w:tcW w:type="dxa" w:w="1757"/>
          </w:tcPr>
          <w:p>
            <w:pPr>
              <w:keepNext/>
              <w:keepLines/>
            </w:pPr>
            <w:r>
              <w:rPr>
                <w:sz w:val="16"/>
              </w:rPr>
              <w:t>AVB-101</w:t>
            </w:r>
          </w:p>
        </w:tc>
        <w:tc>
          <w:tcPr>
            <w:tcW w:type="dxa" w:w="1757"/>
          </w:tcPr>
          <w:p>
            <w:pPr>
              <w:keepNext/>
              <w:keepLines/>
            </w:pPr>
            <w:r>
              <w:rPr>
                <w:sz w:val="16"/>
              </w:rPr>
              <w:t>–</w:t>
            </w:r>
          </w:p>
        </w:tc>
        <w:tc>
          <w:tcPr>
            <w:tcW w:type="dxa" w:w="1757"/>
          </w:tcPr>
          <w:p>
            <w:pPr>
              <w:keepNext/>
              <w:keepLines/>
            </w:pPr>
            <w:r>
              <w:rPr>
                <w:sz w:val="16"/>
              </w:rPr>
              <w:t>–</w:t>
            </w:r>
          </w:p>
        </w:tc>
        <w:tc>
          <w:tcPr>
            <w:tcW w:type="dxa" w:w="1757"/>
          </w:tcPr>
          <w:p>
            <w:pPr>
              <w:keepNext/>
              <w:keepLines/>
            </w:pPr>
            <w:r>
              <w:rPr>
                <w:sz w:val="16"/>
              </w:rPr>
              <w:t>–</w:t>
            </w:r>
          </w:p>
        </w:tc>
        <w:tc>
          <w:tcPr>
            <w:tcW w:type="dxa" w:w="1757"/>
          </w:tcPr>
          <w:p>
            <w:pPr>
              <w:keepNext/>
              <w:keepLines/>
            </w:pPr>
            <w:r>
              <w:rPr>
                <w:sz w:val="16"/>
              </w:rPr>
              <w:t>–</w:t>
            </w:r>
          </w:p>
        </w:tc>
        <w:tc>
          <w:tcPr>
            <w:tcW w:type="dxa" w:w="1757"/>
          </w:tcPr>
          <w:p>
            <w:pPr>
              <w:keepNext/>
              <w:keepLines/>
            </w:pPr>
            <w:r>
              <w:rPr>
                <w:sz w:val="16"/>
              </w:rPr>
              <w:t>10</w:t>
            </w:r>
          </w:p>
        </w:tc>
      </w:tr>
      <w:tr>
        <w:trPr>
          <w:cantSplit/>
        </w:trPr>
        <w:tc>
          <w:tcPr>
            <w:tcW w:type="dxa" w:w="1757"/>
          </w:tcPr>
          <w:p>
            <w:pPr>
              <w:keepNext/>
              <w:keepLines/>
            </w:pPr>
            <w:r>
              <w:rPr>
                <w:sz w:val="16"/>
              </w:rPr>
              <w:t>KEBILIDI</w:t>
            </w:r>
          </w:p>
        </w:tc>
        <w:tc>
          <w:tcPr>
            <w:tcW w:type="dxa" w:w="1757"/>
          </w:tcPr>
          <w:p>
            <w:pPr>
              <w:keepNext/>
              <w:keepLines/>
            </w:pPr>
            <w:r>
              <w:rPr>
                <w:sz w:val="16"/>
              </w:rPr>
              <w:t>12</w:t>
            </w:r>
          </w:p>
        </w:tc>
        <w:tc>
          <w:tcPr>
            <w:tcW w:type="dxa" w:w="1757"/>
          </w:tcPr>
          <w:p>
            <w:pPr>
              <w:keepNext/>
              <w:keepLines/>
            </w:pPr>
            <w:r>
              <w:rPr>
                <w:sz w:val="16"/>
              </w:rPr>
              <w:t>14</w:t>
            </w:r>
          </w:p>
        </w:tc>
        <w:tc>
          <w:tcPr>
            <w:tcW w:type="dxa" w:w="1757"/>
          </w:tcPr>
          <w:p>
            <w:pPr>
              <w:keepNext/>
              <w:keepLines/>
            </w:pPr>
            <w:r>
              <w:rPr>
                <w:sz w:val="16"/>
              </w:rPr>
              <w:t>14</w:t>
            </w:r>
          </w:p>
        </w:tc>
        <w:tc>
          <w:tcPr>
            <w:tcW w:type="dxa" w:w="1757"/>
          </w:tcPr>
          <w:p>
            <w:pPr>
              <w:keepNext/>
              <w:keepLines/>
            </w:pPr>
            <w:r>
              <w:rPr>
                <w:sz w:val="16"/>
              </w:rPr>
              <w:t>14</w:t>
            </w:r>
          </w:p>
        </w:tc>
        <w:tc>
          <w:tcPr>
            <w:tcW w:type="dxa" w:w="1757"/>
          </w:tcPr>
          <w:p>
            <w:pPr>
              <w:keepNext/>
              <w:keepLines/>
            </w:pPr>
            <w:r>
              <w:rPr>
                <w:sz w:val="16"/>
              </w:rPr>
              <w:t>14</w:t>
            </w:r>
          </w:p>
        </w:tc>
      </w:tr>
      <w:tr>
        <w:trPr>
          <w:cantSplit/>
        </w:trPr>
        <w:tc>
          <w:tcPr>
            <w:tcW w:type="dxa" w:w="1757"/>
          </w:tcPr>
          <w:p>
            <w:pPr>
              <w:keepNext/>
              <w:keepLines/>
            </w:pPr>
            <w:r>
              <w:rPr>
                <w:sz w:val="16"/>
              </w:rPr>
              <w:t>RGX-121</w:t>
            </w:r>
          </w:p>
        </w:tc>
        <w:tc>
          <w:tcPr>
            <w:tcW w:type="dxa" w:w="1757"/>
          </w:tcPr>
          <w:p>
            <w:pPr>
              <w:keepNext/>
              <w:keepLines/>
            </w:pPr>
            <w:r>
              <w:rPr>
                <w:sz w:val="16"/>
              </w:rPr>
              <w:t>–</w:t>
            </w:r>
          </w:p>
        </w:tc>
        <w:tc>
          <w:tcPr>
            <w:tcW w:type="dxa" w:w="1757"/>
          </w:tcPr>
          <w:p>
            <w:pPr>
              <w:keepNext/>
              <w:keepLines/>
            </w:pPr>
            <w:r>
              <w:rPr>
                <w:sz w:val="16"/>
              </w:rPr>
              <w:t>–</w:t>
            </w:r>
          </w:p>
        </w:tc>
        <w:tc>
          <w:tcPr>
            <w:tcW w:type="dxa" w:w="1757"/>
          </w:tcPr>
          <w:p>
            <w:pPr>
              <w:keepNext/>
              <w:keepLines/>
            </w:pPr>
            <w:r>
              <w:rPr>
                <w:sz w:val="16"/>
              </w:rPr>
              <w:t>1</w:t>
            </w:r>
          </w:p>
        </w:tc>
        <w:tc>
          <w:tcPr>
            <w:tcW w:type="dxa" w:w="1757"/>
          </w:tcPr>
          <w:p>
            <w:pPr>
              <w:keepNext/>
              <w:keepLines/>
            </w:pPr>
            <w:r>
              <w:rPr>
                <w:sz w:val="16"/>
              </w:rPr>
              <w:t>2</w:t>
            </w:r>
          </w:p>
        </w:tc>
        <w:tc>
          <w:tcPr>
            <w:tcW w:type="dxa" w:w="1757"/>
          </w:tcPr>
          <w:p>
            <w:pPr>
              <w:keepNext/>
              <w:keepLines/>
            </w:pPr>
            <w:r>
              <w:rPr>
                <w:sz w:val="16"/>
              </w:rPr>
              <w:t>2</w:t>
            </w:r>
          </w:p>
        </w:tc>
      </w:tr>
      <w:tr>
        <w:trPr>
          <w:cantSplit/>
        </w:trPr>
        <w:tc>
          <w:tcPr>
            <w:tcW w:type="dxa" w:w="1757"/>
          </w:tcPr>
          <w:p>
            <w:r>
              <w:rPr>
                <w:sz w:val="16"/>
              </w:rPr>
              <w:t>SRN-101</w:t>
            </w:r>
          </w:p>
        </w:tc>
        <w:tc>
          <w:tcPr>
            <w:tcW w:type="dxa" w:w="1757"/>
          </w:tcPr>
          <w:p>
            <w:r>
              <w:rPr>
                <w:sz w:val="16"/>
              </w:rPr>
              <w:t>–</w:t>
            </w:r>
          </w:p>
        </w:tc>
        <w:tc>
          <w:tcPr>
            <w:tcW w:type="dxa" w:w="1757"/>
          </w:tcPr>
          <w:p>
            <w:r>
              <w:rPr>
                <w:sz w:val="16"/>
              </w:rPr>
              <w:t>–</w:t>
            </w:r>
          </w:p>
        </w:tc>
        <w:tc>
          <w:tcPr>
            <w:tcW w:type="dxa" w:w="1757"/>
          </w:tcPr>
          <w:p>
            <w:r>
              <w:rPr>
                <w:sz w:val="16"/>
              </w:rPr>
              <w:t>–</w:t>
            </w:r>
          </w:p>
        </w:tc>
        <w:tc>
          <w:tcPr>
            <w:tcW w:type="dxa" w:w="1757"/>
          </w:tcPr>
          <w:p>
            <w:r>
              <w:rPr>
                <w:sz w:val="16"/>
              </w:rPr>
              <w:t>–</w:t>
            </w:r>
          </w:p>
        </w:tc>
        <w:tc>
          <w:tcPr>
            <w:tcW w:type="dxa" w:w="1757"/>
          </w:tcPr>
          <w:p>
            <w:r>
              <w:rPr>
                <w:sz w:val="16"/>
              </w:rPr>
              <w:t>–</w:t>
            </w:r>
          </w:p>
        </w:tc>
      </w:tr>
    </w:tbl>
    <w:p/>
    <w:p>
      <w:r>
        <w:rPr>
          <w:i/>
        </w:rPr>
        <w:t>Source: S20, S30, S52, S58, C40, C50, C54. In the forecast: AMT-130 and the four PD rows as one class (S62); the PD split is illustrative.</w:t>
      </w:r>
    </w:p>
    <w:p>
      <w:pPr>
        <w:keepNext/>
        <w:keepLines/>
      </w:pPr>
      <w:r>
        <w:t>Figure D4 shows total partner procedure revenue at different average probabilities of approval.</w:t>
      </w:r>
    </w:p>
    <w:p>
      <w:pPr>
        <w:keepNext/>
        <w:keepLines/>
      </w:pPr>
      <w:r>
        <w:rPr>
          <w:b/>
        </w:rPr>
        <w:t>Figure D4 – Total partner procedure revenue (US$M) by average probability of approval</w:t>
      </w:r>
    </w:p>
    <w:tbl>
      <w:tblPr>
        <w:tblStyle w:val="TableGrid"/>
        <w:tblW w:type="auto" w:w="0"/>
        <w:tblLook w:firstColumn="1" w:firstRow="1" w:lastColumn="0" w:lastRow="0" w:noHBand="0" w:noVBand="1" w:val="04A0"/>
      </w:tblPr>
      <w:tblGrid>
        <w:gridCol w:w="1757"/>
        <w:gridCol w:w="1757"/>
        <w:gridCol w:w="1757"/>
        <w:gridCol w:w="1757"/>
        <w:gridCol w:w="1757"/>
        <w:gridCol w:w="1757"/>
      </w:tblGrid>
      <w:tr>
        <w:trPr>
          <w:cantSplit/>
          <w:tblHeader/>
        </w:trPr>
        <w:tc>
          <w:tcPr>
            <w:tcW w:type="dxa" w:w="1757"/>
          </w:tcPr>
          <w:p>
            <w:pPr>
              <w:keepNext/>
              <w:keepLines/>
            </w:pPr>
            <w:r>
              <w:rPr>
                <w:b/>
                <w:sz w:val="16"/>
              </w:rPr>
              <w:t>Probability</w:t>
            </w:r>
          </w:p>
        </w:tc>
        <w:tc>
          <w:tcPr>
            <w:tcW w:type="dxa" w:w="1757"/>
          </w:tcPr>
          <w:p>
            <w:pPr>
              <w:keepNext/>
              <w:keepLines/>
            </w:pPr>
            <w:r>
              <w:rPr>
                <w:b/>
                <w:sz w:val="16"/>
              </w:rPr>
              <w:t>FY2027E</w:t>
            </w:r>
          </w:p>
        </w:tc>
        <w:tc>
          <w:tcPr>
            <w:tcW w:type="dxa" w:w="1757"/>
          </w:tcPr>
          <w:p>
            <w:pPr>
              <w:keepNext/>
              <w:keepLines/>
            </w:pPr>
            <w:r>
              <w:rPr>
                <w:b/>
                <w:sz w:val="16"/>
              </w:rPr>
              <w:t>FY2028E</w:t>
            </w:r>
          </w:p>
        </w:tc>
        <w:tc>
          <w:tcPr>
            <w:tcW w:type="dxa" w:w="1757"/>
          </w:tcPr>
          <w:p>
            <w:pPr>
              <w:keepNext/>
              <w:keepLines/>
            </w:pPr>
            <w:r>
              <w:rPr>
                <w:b/>
                <w:sz w:val="16"/>
              </w:rPr>
              <w:t>FY2029E</w:t>
            </w:r>
          </w:p>
        </w:tc>
        <w:tc>
          <w:tcPr>
            <w:tcW w:type="dxa" w:w="1757"/>
          </w:tcPr>
          <w:p>
            <w:pPr>
              <w:keepNext/>
              <w:keepLines/>
            </w:pPr>
            <w:r>
              <w:rPr>
                <w:b/>
                <w:sz w:val="16"/>
              </w:rPr>
              <w:t>FY2030E</w:t>
            </w:r>
          </w:p>
        </w:tc>
        <w:tc>
          <w:tcPr>
            <w:tcW w:type="dxa" w:w="1757"/>
          </w:tcPr>
          <w:p>
            <w:pPr>
              <w:keepNext/>
              <w:keepLines/>
            </w:pPr>
            <w:r>
              <w:rPr>
                <w:b/>
                <w:sz w:val="16"/>
              </w:rPr>
              <w:t>FY2031E</w:t>
            </w:r>
          </w:p>
        </w:tc>
      </w:tr>
      <w:tr>
        <w:trPr>
          <w:cantSplit/>
        </w:trPr>
        <w:tc>
          <w:tcPr>
            <w:tcW w:type="dxa" w:w="1757"/>
          </w:tcPr>
          <w:p>
            <w:pPr>
              <w:keepNext/>
              <w:keepLines/>
            </w:pPr>
            <w:r>
              <w:rPr>
                <w:sz w:val="16"/>
              </w:rPr>
              <w:t>100%</w:t>
            </w:r>
          </w:p>
        </w:tc>
        <w:tc>
          <w:tcPr>
            <w:tcW w:type="dxa" w:w="1757"/>
          </w:tcPr>
          <w:p>
            <w:pPr>
              <w:keepNext/>
              <w:keepLines/>
            </w:pPr>
            <w:r>
              <w:rPr>
                <w:sz w:val="16"/>
              </w:rPr>
              <w:t>6.8</w:t>
            </w:r>
          </w:p>
        </w:tc>
        <w:tc>
          <w:tcPr>
            <w:tcW w:type="dxa" w:w="1757"/>
          </w:tcPr>
          <w:p>
            <w:pPr>
              <w:keepNext/>
              <w:keepLines/>
            </w:pPr>
            <w:r>
              <w:rPr>
                <w:sz w:val="16"/>
              </w:rPr>
              <w:t>50.3</w:t>
            </w:r>
          </w:p>
        </w:tc>
        <w:tc>
          <w:tcPr>
            <w:tcW w:type="dxa" w:w="1757"/>
          </w:tcPr>
          <w:p>
            <w:pPr>
              <w:keepNext/>
              <w:keepLines/>
            </w:pPr>
            <w:r>
              <w:rPr>
                <w:sz w:val="16"/>
              </w:rPr>
              <w:t>70.3</w:t>
            </w:r>
          </w:p>
        </w:tc>
        <w:tc>
          <w:tcPr>
            <w:tcW w:type="dxa" w:w="1757"/>
          </w:tcPr>
          <w:p>
            <w:pPr>
              <w:keepNext/>
              <w:keepLines/>
            </w:pPr>
            <w:r>
              <w:rPr>
                <w:sz w:val="16"/>
              </w:rPr>
              <w:t>116.3</w:t>
            </w:r>
          </w:p>
        </w:tc>
        <w:tc>
          <w:tcPr>
            <w:tcW w:type="dxa" w:w="1757"/>
          </w:tcPr>
          <w:p>
            <w:pPr>
              <w:keepNext/>
              <w:keepLines/>
            </w:pPr>
            <w:r>
              <w:rPr>
                <w:sz w:val="16"/>
              </w:rPr>
              <w:t>174.5</w:t>
            </w:r>
          </w:p>
        </w:tc>
      </w:tr>
      <w:tr>
        <w:trPr>
          <w:cantSplit/>
        </w:trPr>
        <w:tc>
          <w:tcPr>
            <w:tcW w:type="dxa" w:w="1757"/>
          </w:tcPr>
          <w:p>
            <w:pPr>
              <w:keepNext/>
              <w:keepLines/>
            </w:pPr>
            <w:r>
              <w:rPr>
                <w:sz w:val="16"/>
              </w:rPr>
              <w:t>70%</w:t>
            </w:r>
          </w:p>
        </w:tc>
        <w:tc>
          <w:tcPr>
            <w:tcW w:type="dxa" w:w="1757"/>
          </w:tcPr>
          <w:p>
            <w:pPr>
              <w:keepNext/>
              <w:keepLines/>
            </w:pPr>
            <w:r>
              <w:rPr>
                <w:sz w:val="16"/>
              </w:rPr>
              <w:t>4.9</w:t>
            </w:r>
          </w:p>
        </w:tc>
        <w:tc>
          <w:tcPr>
            <w:tcW w:type="dxa" w:w="1757"/>
          </w:tcPr>
          <w:p>
            <w:pPr>
              <w:keepNext/>
              <w:keepLines/>
            </w:pPr>
            <w:r>
              <w:rPr>
                <w:sz w:val="16"/>
              </w:rPr>
              <w:t>35.3</w:t>
            </w:r>
          </w:p>
        </w:tc>
        <w:tc>
          <w:tcPr>
            <w:tcW w:type="dxa" w:w="1757"/>
          </w:tcPr>
          <w:p>
            <w:pPr>
              <w:keepNext/>
              <w:keepLines/>
            </w:pPr>
            <w:r>
              <w:rPr>
                <w:sz w:val="16"/>
              </w:rPr>
              <w:t>49.3</w:t>
            </w:r>
          </w:p>
        </w:tc>
        <w:tc>
          <w:tcPr>
            <w:tcW w:type="dxa" w:w="1757"/>
          </w:tcPr>
          <w:p>
            <w:pPr>
              <w:keepNext/>
              <w:keepLines/>
            </w:pPr>
            <w:r>
              <w:rPr>
                <w:sz w:val="16"/>
              </w:rPr>
              <w:t>81.5</w:t>
            </w:r>
          </w:p>
        </w:tc>
        <w:tc>
          <w:tcPr>
            <w:tcW w:type="dxa" w:w="1757"/>
          </w:tcPr>
          <w:p>
            <w:pPr>
              <w:keepNext/>
              <w:keepLines/>
            </w:pPr>
            <w:r>
              <w:rPr>
                <w:sz w:val="16"/>
              </w:rPr>
              <w:t>122.2</w:t>
            </w:r>
          </w:p>
        </w:tc>
      </w:tr>
      <w:tr>
        <w:trPr>
          <w:cantSplit/>
        </w:trPr>
        <w:tc>
          <w:tcPr>
            <w:tcW w:type="dxa" w:w="1757"/>
          </w:tcPr>
          <w:p>
            <w:pPr>
              <w:keepNext/>
              <w:keepLines/>
            </w:pPr>
            <w:r>
              <w:rPr>
                <w:sz w:val="16"/>
              </w:rPr>
              <w:t>50%</w:t>
            </w:r>
          </w:p>
        </w:tc>
        <w:tc>
          <w:tcPr>
            <w:tcW w:type="dxa" w:w="1757"/>
          </w:tcPr>
          <w:p>
            <w:pPr>
              <w:keepNext/>
              <w:keepLines/>
            </w:pPr>
            <w:r>
              <w:rPr>
                <w:sz w:val="16"/>
              </w:rPr>
              <w:t>3.5</w:t>
            </w:r>
          </w:p>
        </w:tc>
        <w:tc>
          <w:tcPr>
            <w:tcW w:type="dxa" w:w="1757"/>
          </w:tcPr>
          <w:p>
            <w:pPr>
              <w:keepNext/>
              <w:keepLines/>
            </w:pPr>
            <w:r>
              <w:rPr>
                <w:sz w:val="16"/>
              </w:rPr>
              <w:t>25.3</w:t>
            </w:r>
          </w:p>
        </w:tc>
        <w:tc>
          <w:tcPr>
            <w:tcW w:type="dxa" w:w="1757"/>
          </w:tcPr>
          <w:p>
            <w:pPr>
              <w:keepNext/>
              <w:keepLines/>
            </w:pPr>
            <w:r>
              <w:rPr>
                <w:sz w:val="16"/>
              </w:rPr>
              <w:t>35.3</w:t>
            </w:r>
          </w:p>
        </w:tc>
        <w:tc>
          <w:tcPr>
            <w:tcW w:type="dxa" w:w="1757"/>
          </w:tcPr>
          <w:p>
            <w:pPr>
              <w:keepNext/>
              <w:keepLines/>
            </w:pPr>
            <w:r>
              <w:rPr>
                <w:sz w:val="16"/>
              </w:rPr>
              <w:t>58.3</w:t>
            </w:r>
          </w:p>
        </w:tc>
        <w:tc>
          <w:tcPr>
            <w:tcW w:type="dxa" w:w="1757"/>
          </w:tcPr>
          <w:p>
            <w:pPr>
              <w:keepNext/>
              <w:keepLines/>
            </w:pPr>
            <w:r>
              <w:rPr>
                <w:sz w:val="16"/>
              </w:rPr>
              <w:t>87.4</w:t>
            </w:r>
          </w:p>
        </w:tc>
      </w:tr>
      <w:tr>
        <w:trPr>
          <w:cantSplit/>
        </w:trPr>
        <w:tc>
          <w:tcPr>
            <w:tcW w:type="dxa" w:w="1757"/>
          </w:tcPr>
          <w:p>
            <w:r>
              <w:rPr>
                <w:sz w:val="16"/>
              </w:rPr>
              <w:t>30%</w:t>
            </w:r>
          </w:p>
        </w:tc>
        <w:tc>
          <w:tcPr>
            <w:tcW w:type="dxa" w:w="1757"/>
          </w:tcPr>
          <w:p>
            <w:r>
              <w:rPr>
                <w:sz w:val="16"/>
              </w:rPr>
              <w:t>2.2</w:t>
            </w:r>
          </w:p>
        </w:tc>
        <w:tc>
          <w:tcPr>
            <w:tcW w:type="dxa" w:w="1757"/>
          </w:tcPr>
          <w:p>
            <w:r>
              <w:rPr>
                <w:sz w:val="16"/>
              </w:rPr>
              <w:t>15.3</w:t>
            </w:r>
          </w:p>
        </w:tc>
        <w:tc>
          <w:tcPr>
            <w:tcW w:type="dxa" w:w="1757"/>
          </w:tcPr>
          <w:p>
            <w:r>
              <w:rPr>
                <w:sz w:val="16"/>
              </w:rPr>
              <w:t>21.3</w:t>
            </w:r>
          </w:p>
        </w:tc>
        <w:tc>
          <w:tcPr>
            <w:tcW w:type="dxa" w:w="1757"/>
          </w:tcPr>
          <w:p>
            <w:r>
              <w:rPr>
                <w:sz w:val="16"/>
              </w:rPr>
              <w:t>35.1</w:t>
            </w:r>
          </w:p>
        </w:tc>
        <w:tc>
          <w:tcPr>
            <w:tcW w:type="dxa" w:w="1757"/>
          </w:tcPr>
          <w:p>
            <w:r>
              <w:rPr>
                <w:sz w:val="16"/>
              </w:rPr>
              <w:t>52.6</w:t>
            </w:r>
          </w:p>
        </w:tc>
      </w:tr>
    </w:tbl>
    <w:p/>
    <w:p>
      <w:r>
        <w:rPr>
          <w:i/>
        </w:rPr>
        <w:t>Source: Figure D3 × $20k [P2] × probability. KEBILIDI is already approved and held at 100% in every row. Approval probabilities are applied to each therapy independently, although the four Parkinson's therapies share one pool; if one fails, the others could take more of its demand, so the lower rows probably understate PD revenue.</w:t>
      </w:r>
    </w:p>
    <w:p>
      <w:r>
        <w:drawing>
          <wp:inline xmlns:a="http://schemas.openxmlformats.org/drawingml/2006/main" xmlns:pic="http://schemas.openxmlformats.org/drawingml/2006/picture">
            <wp:extent cx="5688965" cy="3185820"/>
            <wp:docPr id="2" name="Picture 2"/>
            <wp:cNvGraphicFramePr>
              <a:graphicFrameLocks noChangeAspect="1"/>
            </wp:cNvGraphicFramePr>
            <a:graphic>
              <a:graphicData uri="http://schemas.openxmlformats.org/drawingml/2006/picture">
                <pic:pic>
                  <pic:nvPicPr>
                    <pic:cNvPr id="0" name="partners_v4_revenue_chart_to2031.png"/>
                    <pic:cNvPicPr/>
                  </pic:nvPicPr>
                  <pic:blipFill>
                    <a:blip r:embed="rId10"/>
                    <a:stretch>
                      <a:fillRect/>
                    </a:stretch>
                  </pic:blipFill>
                  <pic:spPr>
                    <a:xfrm>
                      <a:off x="0" y="0"/>
                      <a:ext cx="5688965" cy="3185820"/>
                    </a:xfrm>
                    <a:prstGeom prst="rect"/>
                  </pic:spPr>
                </pic:pic>
              </a:graphicData>
            </a:graphic>
          </wp:inline>
        </w:drawing>
      </w:r>
    </w:p>
    <w:p>
      <w:r>
        <w:rPr>
          <w:i/>
        </w:rPr>
        <w:t>Figure D5 – Partner procedure revenue by probability of approval, FY2027E–FY2031E. Source: Figure D4.</w:t>
      </w:r>
    </w:p>
    <w:p>
      <w:r>
        <w:rPr>
          <w:b/>
        </w:rPr>
        <w:t>Limitations.</w:t>
      </w:r>
      <w:r>
        <w:t xml:space="preserve"> Demand that arises before a later Parkinson's product launches is not carried forward, which is simple and on the low side. The 52 / 24 / 24 split of non-BlueRock PD demand is a judgment [S52]. Funnel rates for the other indications are judgments [S53]–[S57]. Three undisclosed programs (two Parkinson's, one Friedreich's ataxia) are not quantified.</w:t>
      </w:r>
    </w:p>
    <w:p>
      <w:pPr>
        <w:pStyle w:val="Heading3"/>
        <w:keepNext/>
        <w:keepLines/>
      </w:pPr>
      <w:r>
        <w:t>Appendix E – Method</w:t>
      </w:r>
    </w:p>
    <w:p>
      <w:r>
        <w:t>We started from FY2025A reported lines and H1 2026A. Because 2026 guidance was revised, totals for FY2026E and the FY2027E core business are set to analyst consensus. Line forecasts come from simple drivers, scaled proportionally to those totals. The core business then grows at assumed rates through FY2030E. A separate procedure line multiplies volume by $20k: AMT-130 follows a centre-capacity ramp built from management's capacity comments, and Parkinson's volume follows the class-demand rule below. AMT-130 is capped by uniQure's treatable-patient estimate, then held at a steady state set as a share of HD incidence (S30). The explicit years run to FY2031E (David, Oct 26, 2026), the first year base and bull Parkinson's volume equals class demand (S32). The underlying line model, forecast.json, still carries FY2032E; that year is not presented, and the valuation uses Finagle's fade from FY2032E. Parkinson's volume is the class of all one-time Parkinson's cell/gene therapy procedures, assumed to be 100% on ClearPoint's platform (S63): in the base and bull a three-year ramp from the FY2029E launch to class demand from the eligible-pool model in Appendix C, then class demand (S31, S44–S47, S62, S64, C40–C45); in the bear a capacity ramp toward 4,500, reaching 2,500 in FY2031E (S22, S43). A CAL preclinical uplift is added to the biologics and drug delivery line (S37, S38). Finagle runs a 20-year horizon so growth fades gradually to its default terminal rate (S29, C29). EBITDA is gross profit (core and procedure margins) less core and procedure operating costs. The forecast was handed to Finagle with the filled inputs listed under S29, for an equity value per share. A separate Finagle rerun values a flat revenue add-on (C43). Bull and bear cases change approval timing, ramp speed, capacity, utilisation, core totals and growth, and costs; the bull also raises the share of the Parkinson's pool treated (S59, C46), and the bear excludes patients who have had DBS from the pool (C55).</w:t>
      </w:r>
    </w:p>
    <w:p>
      <w:pPr>
        <w:pStyle w:val="Heading4"/>
        <w:keepNext/>
        <w:keepLines/>
      </w:pPr>
      <w:r>
        <w:t>Finagle validation warnings and flags (verbatim)</w:t>
      </w:r>
    </w:p>
    <w:p>
      <w:r>
        <w:t>validate_case, all three cases: "forecast evidence mentions acquisitions but the case has none, so MnA stays zero"</w:t>
      </w:r>
    </w:p>
    <w:p>
      <w:r>
        <w:t>validate_case, base case only: "average EBITDA growth is 80.2% and there are no acquisitions. If that growth includes acquired EBITDA, use an organic path and book the purchase price with acquisitions, or MnA stays zero."</w:t>
      </w:r>
    </w:p>
    <w:p>
      <w:r>
        <w:t>Finagle flags: base "negative FCFE after year 1"; bull "negative FCFE after year 1"; bear "negative cash", "negative FCFE after year 1".</w:t>
      </w:r>
    </w:p>
    <w:p>
      <w:r>
        <w:t>The forecast has no acquisitions, and the growth comes from new procedure lines, so MnA is correctly zero.</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