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80" w:after="80"/>
        <w:jc w:val="center"/>
      </w:pPr>
      <w:r>
        <w:rPr>
          <w:rFonts w:ascii="Arial" w:hAnsi="Arial"/>
          <w:b/>
          <w:i w:val="0"/>
          <w:color w:val="0B1220"/>
          <w:sz w:val="64"/>
        </w:rPr>
        <w:t>LEAPMONEY</w:t>
      </w:r>
    </w:p>
    <w:p>
      <w:pPr>
        <w:spacing w:before="40" w:after="40"/>
        <w:jc w:val="center"/>
      </w:pPr>
      <w:r>
        <w:rPr>
          <w:rFonts w:ascii="Arial" w:hAnsi="Arial"/>
          <w:b/>
          <w:i w:val="0"/>
          <w:color w:val="2563EB"/>
          <w:sz w:val="36"/>
        </w:rPr>
        <w:t>INDEPENDENT REVIEW BOARD</w:t>
      </w:r>
    </w:p>
    <w:p>
      <w:pPr>
        <w:spacing w:before="40" w:after="160"/>
        <w:jc w:val="center"/>
      </w:pPr>
      <w:r>
        <w:rPr>
          <w:rFonts w:ascii="Arial" w:hAnsi="Arial"/>
          <w:b/>
          <w:i w:val="0"/>
          <w:color w:val="2563EB"/>
          <w:sz w:val="36"/>
        </w:rPr>
        <w:t>COMPREHENSIVE AUDIT REPORT</w:t>
      </w:r>
    </w:p>
    <w:p>
      <w:pPr>
        <w:pBdr>
          <w:bottom w:val="single" w:sz="4" w:space="1" w:color="E2E8F0"/>
        </w:pBdr>
        <w:spacing w:before="80" w:after="80"/>
      </w:pPr>
    </w:p>
    <w:p>
      <w:pPr>
        <w:spacing w:before="0" w:after="0"/>
      </w:pPr>
      <w:r>
        <w:t xml:space="preserve"> </w:t>
      </w:r>
    </w:p>
    <w:p>
      <w:pPr>
        <w:spacing w:before="60" w:after="60"/>
        <w:jc w:val="center"/>
      </w:pPr>
      <w:r>
        <w:rPr>
          <w:rFonts w:ascii="Arial" w:hAnsi="Arial"/>
          <w:b w:val="0"/>
          <w:i w:val="0"/>
          <w:color w:val="94A3B8"/>
          <w:sz w:val="20"/>
        </w:rPr>
        <w:t>Phase A  ·  Phase B  ·  Phase C  ·  Phase D  ·  Phase E</w:t>
      </w:r>
    </w:p>
    <w:p>
      <w:pPr>
        <w:spacing w:before="60" w:after="60"/>
        <w:jc w:val="center"/>
      </w:pPr>
      <w:r>
        <w:rPr>
          <w:rFonts w:ascii="Arial" w:hAnsi="Arial"/>
          <w:b w:val="0"/>
          <w:i w:val="0"/>
          <w:color w:val="94A3B8"/>
          <w:sz w:val="18"/>
        </w:rPr>
        <w:t>Project Audit  ·  Skill Audit  ·  Website Audit  ·  Competitive Positioning  ·  Recommendations</w:t>
      </w:r>
    </w:p>
    <w:p>
      <w:pPr>
        <w:spacing w:before="0" w:after="0"/>
      </w:pPr>
      <w:r>
        <w:t xml:space="preserve"> </w:t>
      </w:r>
    </w:p>
    <w:p>
      <w:pPr>
        <w:spacing w:before="0" w:after="0"/>
      </w:pPr>
      <w:r>
        <w:t xml:space="preserve"> </w:t>
      </w:r>
    </w:p>
    <w:tbl>
      <w:tblPr>
        <w:jc w:val="center"/>
        <w:tblLook w:firstColumn="1" w:firstRow="1" w:lastColumn="0" w:lastRow="0" w:noHBand="0" w:noVBand="1" w:val="04A0"/>
        <w:tblW w:w="6000" w:type="dxa"/>
      </w:tblPr>
      <w:tblGrid>
        <w:gridCol w:w="3000"/>
        <w:gridCol w:w="3000"/>
      </w:tblGrid>
      <w:tr>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60" w:type="dxa"/>
              <w:right w:w="160" w:type="dxa"/>
            </w:tcMar>
          </w:tcPr>
          <w:p>
            <w:r>
              <w:rPr>
                <w:rFonts w:ascii="Arial" w:hAnsi="Arial"/>
                <w:b/>
                <w:color w:val="94A3B8"/>
                <w:sz w:val="17"/>
              </w:rPr>
              <w:t>Date</w:t>
            </w:r>
          </w:p>
          <w:p>
            <w:r>
              <w:rPr>
                <w:rFonts w:ascii="Arial" w:hAnsi="Arial"/>
                <w:b w:val="0"/>
                <w:color w:val="0B1220"/>
                <w:sz w:val="18"/>
              </w:rPr>
              <w:t>June 15, 2026</w:t>
            </w:r>
          </w:p>
        </w:tc>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60" w:type="dxa"/>
              <w:right w:w="160" w:type="dxa"/>
            </w:tcMar>
          </w:tcPr>
          <w:p>
            <w:r>
              <w:rPr>
                <w:rFonts w:ascii="Arial" w:hAnsi="Arial"/>
                <w:b/>
                <w:color w:val="94A3B8"/>
                <w:sz w:val="17"/>
              </w:rPr>
              <w:t>Classification</w:t>
            </w:r>
          </w:p>
          <w:p>
            <w:r>
              <w:rPr>
                <w:rFonts w:ascii="Arial" w:hAnsi="Arial"/>
                <w:b w:val="0"/>
                <w:color w:val="DC2626"/>
                <w:sz w:val="18"/>
              </w:rPr>
              <w:t>CONFIDENTIAL</w:t>
            </w:r>
          </w:p>
        </w:tc>
      </w:tr>
      <w:tr>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60" w:type="dxa"/>
              <w:right w:w="160" w:type="dxa"/>
            </w:tcMar>
          </w:tcPr>
          <w:p>
            <w:r>
              <w:rPr>
                <w:rFonts w:ascii="Arial" w:hAnsi="Arial"/>
                <w:b/>
                <w:color w:val="94A3B8"/>
                <w:sz w:val="17"/>
              </w:rPr>
              <w:t>Prepared by</w:t>
            </w:r>
          </w:p>
          <w:p>
            <w:r>
              <w:rPr>
                <w:rFonts w:ascii="Arial" w:hAnsi="Arial"/>
                <w:b w:val="0"/>
                <w:color w:val="0B1220"/>
                <w:sz w:val="18"/>
              </w:rPr>
              <w:t>Independent Review Board</w:t>
            </w:r>
          </w:p>
        </w:tc>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60" w:type="dxa"/>
              <w:right w:w="160" w:type="dxa"/>
            </w:tcMar>
          </w:tcPr>
          <w:p>
            <w:r>
              <w:rPr>
                <w:rFonts w:ascii="Arial" w:hAnsi="Arial"/>
                <w:b/>
                <w:color w:val="94A3B8"/>
                <w:sz w:val="17"/>
              </w:rPr>
              <w:t>Version</w:t>
            </w:r>
          </w:p>
          <w:p>
            <w:r>
              <w:rPr>
                <w:rFonts w:ascii="Arial" w:hAnsi="Arial"/>
                <w:b w:val="0"/>
                <w:color w:val="0B1220"/>
                <w:sz w:val="18"/>
              </w:rPr>
              <w:t>1.0 — Pre-Implementation</w:t>
            </w:r>
          </w:p>
        </w:tc>
      </w:tr>
      <w:tr>
        <w:tc>
          <w:tcPr>
            <w:tcW w:w="30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60" w:type="dxa"/>
              <w:right w:w="160" w:type="dxa"/>
            </w:tcMar>
          </w:tcPr>
          <w:p>
            <w:r>
              <w:rPr>
                <w:rFonts w:ascii="Arial" w:hAnsi="Arial"/>
                <w:b/>
                <w:color w:val="94A3B8"/>
                <w:sz w:val="17"/>
              </w:rPr>
              <w:t>Participants</w:t>
            </w:r>
          </w:p>
          <w:p>
            <w:r>
              <w:rPr>
                <w:rFonts w:ascii="Arial" w:hAnsi="Arial"/>
                <w:b w:val="0"/>
                <w:color w:val="0B1220"/>
                <w:sz w:val="18"/>
              </w:rPr>
              <w:t>Founder  ·  CTO  ·  Product Manager  ·  Fintech Architect  ·  CRM Architect  ·  UI/UX Designer  ·  Growth Strategist  ·  SEO Strategist  ·  AI Architect</w:t>
            </w:r>
          </w:p>
        </w:tc>
        <w:tc>
          <w:tcPr>
            <w:tcW w:w="3000" w:type="dxa"/>
          </w:tcPr>
          <w:p/>
        </w:tc>
      </w:tr>
    </w:tbl>
    <w:p>
      <w:pPr>
        <w:spacing w:before="0" w:after="0"/>
      </w:pPr>
      <w:r>
        <w:t xml:space="preserve"> </w:t>
      </w:r>
    </w:p>
    <w:p>
      <w:pPr>
        <w:spacing w:before="0" w:after="0"/>
      </w:pPr>
      <w:r>
        <w:t xml:space="preserve"> </w:t>
      </w:r>
    </w:p>
    <w:p>
      <w:pPr>
        <w:spacing w:before="60" w:after="60"/>
        <w:jc w:val="center"/>
      </w:pPr>
      <w:r>
        <w:rPr>
          <w:rFonts w:ascii="Arial" w:hAnsi="Arial"/>
          <w:b/>
          <w:i w:val="0"/>
          <w:color w:val="D97706"/>
          <w:sz w:val="20"/>
        </w:rPr>
        <w:t>⚠  FOR FOUNDER REVIEW ONLY — NO IMPLEMENTATION UNTIL APPROVED  ⚠</w:t>
      </w:r>
    </w:p>
    <w:p>
      <w:pPr>
        <w:spacing w:before="0" w:after="0"/>
      </w:pPr>
      <w:r>
        <w:br w:type="page"/>
      </w:r>
    </w:p>
    <w:p>
      <w:pPr>
        <w:pBdr>
          <w:bottom w:val="single" w:sz="6" w:space="2" w:color="2563EB"/>
        </w:pBdr>
        <w:spacing w:before="360" w:after="160"/>
      </w:pPr>
      <w:r>
        <w:rPr>
          <w:rFonts w:ascii="Arial" w:hAnsi="Arial"/>
          <w:b/>
          <w:color w:val="0B1220"/>
          <w:sz w:val="40"/>
        </w:rPr>
        <w:t>Executive Summary</w:t>
      </w:r>
    </w:p>
    <w:p>
      <w:pPr>
        <w:spacing w:before="40" w:after="40"/>
      </w:pPr>
      <w:r>
        <w:rPr>
          <w:rFonts w:ascii="Arial" w:hAnsi="Arial"/>
          <w:b w:val="0"/>
          <w:color w:val="000000"/>
          <w:sz w:val="20"/>
        </w:rPr>
        <w:t>This audit was conducted by an independent review board across five dimensions: project architecture, AI skill definitions, live website performance, competitive positioning, and strategic recommendations. The audit covers all materials available as of June 15, 2026 — including all eight custom skill files, the live website at leapmoney.net, prior session outputs, and publicly available competitive intelligence.</w:t>
      </w:r>
    </w:p>
    <w:p>
      <w:pPr>
        <w:spacing w:before="0" w:after="0"/>
      </w:pPr>
      <w:r>
        <w:t xml:space="preserve"> </w:t>
      </w:r>
    </w:p>
    <w:p>
      <w:pPr>
        <w:spacing w:before="40" w:after="40"/>
      </w:pPr>
      <w:r>
        <w:rPr>
          <w:rFonts w:ascii="Arial" w:hAnsi="Arial"/>
          <w:b w:val="0"/>
          <w:color w:val="000000"/>
          <w:sz w:val="20"/>
        </w:rPr>
        <w:t>LeapMoney is positioned as an AI-powered Indian loan marketplace targeting borrowers, DSAs (Direct Selling Agents), and lenders. The platform's proposed differentiator — LeapMatch AI — has the potential to be a genuine competitive moat. However, this audit finds that the platform currently operates on weak technical foundations, under-specified skill definitions, an SEO-invisible website, and an incomplete compliance framework. None of these are fatal at this stage; all are addressable before the first line of production code is written.</w:t>
      </w:r>
    </w:p>
    <w:p>
      <w:pPr>
        <w:spacing w:before="0" w:after="0"/>
      </w:pPr>
      <w:r>
        <w:t xml:space="preserve"> </w:t>
      </w:r>
    </w:p>
    <w:p>
      <w:pPr>
        <w:spacing w:before="280" w:after="120"/>
      </w:pPr>
      <w:r>
        <w:rPr>
          <w:rFonts w:ascii="Arial" w:hAnsi="Arial"/>
          <w:b/>
          <w:color w:val="2563EB"/>
          <w:sz w:val="28"/>
        </w:rPr>
        <w:t>Issue Summary</w:t>
      </w:r>
    </w:p>
    <w:tbl>
      <w:tblPr>
        <w:jc w:val="left"/>
        <w:tblLook w:firstColumn="1" w:firstRow="1" w:lastColumn="0" w:lastRow="0" w:noHBand="0" w:noVBand="1" w:val="04A0"/>
        <w:tblW w:w="9360" w:type="dxa"/>
      </w:tblPr>
      <w:tblGrid>
        <w:gridCol w:w="900"/>
        <w:gridCol w:w="5160"/>
        <w:gridCol w:w="1700"/>
        <w:gridCol w:w="1600"/>
      </w:tblGrid>
      <w:tr>
        <w:tc>
          <w:tcPr>
            <w:tcW w:w="9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tcPr>
          <w:p>
            <w:pPr>
              <w:jc w:val="center"/>
            </w:pPr>
            <w:r>
              <w:rPr>
                <w:rFonts w:ascii="Arial" w:hAnsi="Arial"/>
                <w:b/>
                <w:color w:val="FFFFFF"/>
                <w:sz w:val="17"/>
              </w:rPr>
              <w:t>ID</w:t>
            </w:r>
          </w:p>
        </w:tc>
        <w:tc>
          <w:tcPr>
            <w:tcW w:w="5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tcPr>
          <w:p>
            <w:pPr>
              <w:jc w:val="center"/>
            </w:pPr>
            <w:r>
              <w:rPr>
                <w:rFonts w:ascii="Arial" w:hAnsi="Arial"/>
                <w:b/>
                <w:color w:val="FFFFFF"/>
                <w:sz w:val="17"/>
              </w:rPr>
              <w:t>Finding</w:t>
            </w:r>
          </w:p>
        </w:tc>
        <w:tc>
          <w:tcPr>
            <w:tcW w:w="17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tcPr>
          <w:p>
            <w:pPr>
              <w:jc w:val="center"/>
            </w:pPr>
            <w:r>
              <w:rPr>
                <w:rFonts w:ascii="Arial" w:hAnsi="Arial"/>
                <w:b/>
                <w:color w:val="FFFFFF"/>
                <w:sz w:val="17"/>
              </w:rPr>
              <w:t>Severity</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tcPr>
          <w:p>
            <w:pPr>
              <w:jc w:val="center"/>
            </w:pPr>
            <w:r>
              <w:rPr>
                <w:rFonts w:ascii="Arial" w:hAnsi="Arial"/>
                <w:b/>
                <w:color w:val="FFFFFF"/>
                <w:sz w:val="17"/>
              </w:rPr>
              <w:t>Phase</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A-01</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LeapMatch technical specification</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A-02</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compliance / regulatory framework</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A-03</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data / analytics architecture</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A-04</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BRD not persisted — continuity risk</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A-05</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lender onboarding / API framework</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A-06</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fraud detection design</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A-07</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mobile app strategy</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A-08</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Revenue model not formally defined</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A-09</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DevOps / infrastructure plan</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A-10</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grievance redressal design</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A-11</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testing / QA strategy</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A-12</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Customer support workflow missing</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A</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B-01</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leapmoney-ui-ux-designer is a duplicate skill</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B-02</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leapmoney-fintech-architect is critically thin</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B-03</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LeapMatch AI skill exists</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B-04</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compliance skill exists</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B-05</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data / analytics skill exists</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B-06</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mobile development skill exists</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B-07</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CTO skill has no LeapMoney-specific content</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B-08</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SEO skill has no keyword targets embedded</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B</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C-01</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OG image points to Lovable CDN — branding failure</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C-02</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Website is a client-rendered SPA — zero organic SEO</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C-03</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Identical meta-description on every page</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C-04</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Powered by LEAPSYS in title tag — brand dilution</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C-05</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Schema.org / structured data</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C-06</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crawlable content on any page</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C-07</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trust signals visible in metadata</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C-08</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canonical tag strategy</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C</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D-01</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LeapMatch has no proprietary data moat yet</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D</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D-02</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Andromeda outscales LeapMoney 1000x in DSA network</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C2626"/>
                <w:sz w:val="16"/>
              </w:rPr>
              <w:t>Critical</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D</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D-03</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Paisabazaar has 15-year data and trust advantage</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D</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D-04</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No documented lender coverage vs. competitors</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D</w:t>
            </w:r>
          </w:p>
        </w:tc>
      </w:tr>
      <w:tr>
        <w:tc>
          <w:tcPr>
            <w:tcW w:type="dxa" w:w="9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0B1220"/>
                <w:sz w:val="16"/>
              </w:rPr>
              <w:t>D-05</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left"/>
            </w:pPr>
            <w:r>
              <w:rPr>
                <w:rFonts w:ascii="Arial" w:hAnsi="Arial"/>
                <w:b w:val="0"/>
                <w:color w:val="000000"/>
                <w:sz w:val="16"/>
              </w:rPr>
              <w:t>No differentiated positioning statement</w:t>
            </w:r>
          </w:p>
        </w:tc>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color w:val="D97706"/>
                <w:sz w:val="16"/>
              </w:rPr>
              <w:t>High</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tcPr>
          <w:p>
            <w:pPr>
              <w:jc w:val="center"/>
            </w:pPr>
            <w:r>
              <w:rPr>
                <w:rFonts w:ascii="Arial" w:hAnsi="Arial"/>
                <w:b w:val="0"/>
                <w:color w:val="334155"/>
                <w:sz w:val="16"/>
              </w:rPr>
              <w:t>D</w:t>
            </w:r>
          </w:p>
        </w:tc>
      </w:tr>
      <w:tr>
        <w:tc>
          <w:tcPr>
            <w:tcW w:type="dxa" w:w="9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0B1220"/>
                <w:sz w:val="16"/>
              </w:rPr>
              <w:t>D-06</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left"/>
            </w:pPr>
            <w:r>
              <w:rPr>
                <w:rFonts w:ascii="Arial" w:hAnsi="Arial"/>
                <w:b w:val="0"/>
                <w:color w:val="000000"/>
                <w:sz w:val="16"/>
              </w:rPr>
              <w:t>DSA commission structure not benchmarked vs. market</w:t>
            </w:r>
          </w:p>
        </w:tc>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color w:val="2563EB"/>
                <w:sz w:val="16"/>
              </w:rPr>
              <w:t>Medium</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tcPr>
          <w:p>
            <w:pPr>
              <w:jc w:val="center"/>
            </w:pPr>
            <w:r>
              <w:rPr>
                <w:rFonts w:ascii="Arial" w:hAnsi="Arial"/>
                <w:b w:val="0"/>
                <w:color w:val="334155"/>
                <w:sz w:val="16"/>
              </w:rPr>
              <w:t>D</w:t>
            </w:r>
          </w:p>
        </w:tc>
      </w:tr>
    </w:tbl>
    <w:p>
      <w:pPr>
        <w:spacing w:before="0" w:after="0"/>
      </w:pPr>
      <w:r>
        <w:t xml:space="preserve"> </w:t>
      </w:r>
    </w:p>
    <w:p>
      <w:pPr>
        <w:spacing w:before="0" w:after="0"/>
      </w:pPr>
      <w:r>
        <w:br w:type="page"/>
      </w:r>
    </w:p>
    <w:p>
      <w:pPr>
        <w:pBdr>
          <w:bottom w:val="single" w:sz="6" w:space="2" w:color="2563EB"/>
        </w:pBdr>
        <w:spacing w:before="360" w:after="160"/>
      </w:pPr>
      <w:r>
        <w:rPr>
          <w:rFonts w:ascii="Arial" w:hAnsi="Arial"/>
          <w:b/>
          <w:color w:val="0B1220"/>
          <w:sz w:val="40"/>
        </w:rPr>
        <w:t>Phase A — Project Audit</w:t>
      </w:r>
    </w:p>
    <w:p>
      <w:pPr>
        <w:spacing w:before="40" w:after="40"/>
      </w:pPr>
      <w:r>
        <w:rPr>
          <w:rFonts w:ascii="Arial" w:hAnsi="Arial"/>
          <w:b w:val="0"/>
          <w:color w:val="000000"/>
          <w:sz w:val="20"/>
        </w:rPr>
        <w:t>Scope: All project artifacts including skill files, session transcripts, and the described BRD (v1.0, 102 pages). Issues are evaluated for missing requirements, weak assumptions, strategic gaps, technical risks, compliance risks, and scalability risks.</w:t>
      </w:r>
    </w:p>
    <w:p>
      <w:pPr>
        <w:pBdr>
          <w:bottom w:val="single" w:sz="4" w:space="1" w:color="E2E8F0"/>
        </w:pBdr>
        <w:spacing w:before="80" w:after="80"/>
      </w:pP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A-01  </w:t>
            </w:r>
            <w:r>
              <w:rPr>
                <w:rFonts w:ascii="Arial" w:hAnsi="Arial"/>
                <w:b/>
                <w:color w:val="0B1220"/>
                <w:sz w:val="20"/>
              </w:rPr>
              <w:t>No LeapMatch Technical Specification</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LeapMatch — described as the core AI differentiator of LeapMoney — has no technical specification, data model, algorithm design, or implementation blueprint in any project document or skill file. The uiux-direction skill mentions "LeapMatch AI Experience" and "LeapMatch Score" as design components, but there is no engineering document describing what LeapMatch actually computes, what inputs it uses, or how it produces an output.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LeapMatch is being designed as a UI before it exists as a product. Without a technical spec, the engineering team cannot build it, the data team cannot design for it, the lender partnerships team cannot promise it, and the marketing team is making claims that may not be deliverable. The entire competitive differentiation of LeapMoney rests on a feature that has not been specified.</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Immediately produce a LeapMatch PRD and Technical Architecture Document covering: (1) Input signals — bureau data, FOIR, income, employment, city, loan purpose; (2) Scoring methodology — weightings, normalisation, confidence intervals; (3) Approval probability model — lender-specific policy mapping; (4) Bureau integrations — CIBIL, Experian, CRIF; (5) Output schema — match score, rejection reasons, recommended amount; (6) Feedback loop — approval/rejection data feeding model retraining. Create a dedicated LeapMatch skill.</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A-02  </w:t>
            </w:r>
            <w:r>
              <w:rPr>
                <w:rFonts w:ascii="Arial" w:hAnsi="Arial"/>
                <w:b/>
                <w:color w:val="0B1220"/>
                <w:sz w:val="20"/>
              </w:rPr>
              <w:t>No Compliance / Regulatory Framework</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project document defines LeapMoney's regulatory obligations. The fintech-architect skill notes "RBI compliance awareness" as a single bullet point. There is no analysis of the RBI Digital Lending Guidelines 2022, DPDP Act 2023, FAIR Practices Code, KYC norms, co-lending regulations, or IRDAI requirements for insurance cross-sell.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Operating a digital lending marketplace in India without a documented compliance framework is an existential risk. RBI has been actively cancelling NBFCs and issuing show-cause notices to aggregators. Non-compliance with digital lending guidelines can result in platform shutdown. The DPDP Act creates personal liability for data principals. Failure to document grievance redressal will prevent lender partnerships from being formalised.</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Commission a Regulatory Compliance Blueprint covering: RBI Digital Lending Guidelines 2022 applicability matrix; DPDP Act consent and data minimisation framework; KYC/Video KYC obligations; Grievance Redressal Officer appointment; FAIR Practices Code implementation; Co-lending agreement templates; Privacy Policy aligned to DPDP; Annual compliance calendar. Create a dedicated Compliance &amp; Risk Officer skill.</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A-03  </w:t>
            </w:r>
            <w:r>
              <w:rPr>
                <w:rFonts w:ascii="Arial" w:hAnsi="Arial"/>
                <w:b/>
                <w:color w:val="0B1220"/>
                <w:sz w:val="20"/>
              </w:rPr>
              <w:t>No Data / Analytics Architecture</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LeapMoney's business model is fundamentally data-driven, yet no project document defines: what data is collected, how it is structured for analytics, what KPIs are tracked, what BI tool is used, or how the team will measure platform health. No event tracking framework, data warehouse design, or analytics dashboard specification exists.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Without an analytics foundation, the team cannot measure lead conversion, identify drop-off points, optimise lender mix, calculate LTV, or prove ROI to lenders and investors. LeapMatch's AI engine requires historical approval/rejection data to improve — without structured data collection from day one, this training data will never exist.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Define a Data Architecture covering: Event taxonomy (page views, lead submissions, bureau pulls, matches, applications, approvals, disbursals); Data warehouse schema; BI tool selection (Metabase, Superset, or Looker); KPI dashboard design (daily leads, conversion funnel, ARPU, DSA performance); LeapMatch training data pipeline. Create a dedicated Data &amp; Analytics Architect skill.</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A-04  </w:t>
            </w:r>
            <w:r>
              <w:rPr>
                <w:rFonts w:ascii="Arial" w:hAnsi="Arial"/>
                <w:b/>
                <w:color w:val="0B1220"/>
                <w:sz w:val="20"/>
              </w:rPr>
              <w:t>BRD Not Persisted — Continuity Risk</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102-page LeapMoney BRD v1.0 was generated in a prior session and shared with the founder. However, the file is no longer accessible in the current workspace. If the founder has not retained this document, the foundational business requirements may be lost.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Loss of the BRD means re-doing weeks of work. Without version-controlled, persistently stored documents, knowledge created in AI sessions will be repeatedly lost — creating a pattern of circular re-work and inconsistent specifications.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Immediately: (1) Confirm the founder has a copy of the BRD; (2) Create a Google Drive or Notion folder for all LeapMoney documents; (3) Establish a document naming convention; (4) All future session outputs must be saved to a connected persistent folder. Add a Document Management Protocol to the project plan.</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A-05  </w:t>
            </w:r>
            <w:r>
              <w:rPr>
                <w:rFonts w:ascii="Arial" w:hAnsi="Arial"/>
                <w:b/>
                <w:color w:val="0B1220"/>
                <w:sz w:val="20"/>
              </w:rPr>
              <w:t>No Lender Onboarding / API Framework</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platform claims partnerships with "50+ banks and NBFCs" on the live website. However, no document defines the lender onboarding process, commercial agreements, data sharing SLAs, API integration specifications, or lender dashboard functionality. It is unclear whether these 50+ lenders are formally contracted or aspirational.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Without formal lender agreements, LeapMoney cannot legally refer customers. Without API integrations, matching is manual and unscalable. Competitors like Paisabazaar have 65+ formal lender API integrations. A marketplace without confirmed supply-side partnerships is a lead generation form, not a marketplace.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Produce a Lender Partnership Framework covering: Lender onboarding checklist; API integration specification (eligibility check, application submission, status webhook); Commercial agreement template; Lender portal wireframes; Priority lender list (top 10 for Phase 1: HDFC Bank, SBI, ICICI Bank, Axis Bank, Bajaj Finserv, IDFC First, Kotak, IndusInd, Tata Capital, Fullerton).</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A-06  </w:t>
            </w:r>
            <w:r>
              <w:rPr>
                <w:rFonts w:ascii="Arial" w:hAnsi="Arial"/>
                <w:b/>
                <w:color w:val="0B1220"/>
                <w:sz w:val="20"/>
              </w:rPr>
              <w:t>No Fraud Detection Design</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project document addresses fraud prevention. Specific risks include: synthetic identity fraud (fake PAN/Aadhaar), lead fraud (DSAs generating fake leads for commission), form stuffing (bots filling applications), and document fraud (altered income proofs).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Lenders will not continue partnerships if lead quality deteriorates due to fraud. DSA commission fraud is a common and costly problem. Regulators hold platforms responsible for KYC failures.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Design a Fraud Prevention Framework covering: PAN/Aadhaar deduplication; Device fingerprinting; Velocity checks; DSA lead quality scoring; Document AI for income proof validation; Bureau consent verification. Partner with a fraud detection vendor (Seon, Sardine, or Signzy) for Phase 1.</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A-07  </w:t>
            </w:r>
            <w:r>
              <w:rPr>
                <w:rFonts w:ascii="Arial" w:hAnsi="Arial"/>
                <w:b/>
                <w:color w:val="0B1220"/>
                <w:sz w:val="20"/>
              </w:rPr>
              <w:t>No Mobile App Strategy</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UI/UX skill mentions "Mobile App UX" but no document defines whether LeapMoney will have a native mobile app, PWA, or mobile-optimised web app. No mobile tech stack has been chosen. No timeline exists.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In India, over 75% of financial product searches happen on mobile. Competitors have native apps with millions of downloads. Without a mobile app strategy, LeapMoney will be at a structural disadvantage in customer acquisition and engagement.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Define a Mobile Strategy covering: Decision framework (PWA vs. React Native vs. Flutter); Feature parity with web; App store strategy; Push notification strategy for loan status updates. Given the Next.js stack, React Native is the natural choice with maximum code sharing.</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A-08  </w:t>
            </w:r>
            <w:r>
              <w:rPr>
                <w:rFonts w:ascii="Arial" w:hAnsi="Arial"/>
                <w:b/>
                <w:color w:val="0B1220"/>
                <w:sz w:val="20"/>
              </w:rPr>
              <w:t>Revenue Model Not Formally Defined</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skill file or accessible document codifies LeapMoney's revenue streams — commission rates by product type, DSA payout structure, lender commercial terms, or unit economics per lead.</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Without a formal revenue model, the CTO cannot prioritise features, the CRM architect cannot design payout workflows, the lender team cannot negotiate, and the founder cannot prepare investor materials.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Produce a Revenue Model Document covering: Commission matrix by loan type and lender; DSA payout schedule; Break-even analysis by lead volume; Optional SaaS revenue (CRM white-label for small DSAs); Insurance cross-sell revenue potential; Unit economics — revenue per lead, cost per lead, gross margin.</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A-09  </w:t>
            </w:r>
            <w:r>
              <w:rPr>
                <w:rFonts w:ascii="Arial" w:hAnsi="Arial"/>
                <w:b/>
                <w:color w:val="0B1220"/>
                <w:sz w:val="20"/>
              </w:rPr>
              <w:t>No DevOps / Infrastructure Plan</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document specifies the cloud provider and regions, CI/CD pipeline, environment structure (dev/staging/production), disaster recovery plan, database backup strategy, or security hardening baseline.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A fintech platform handling PAN, Aadhaar (masked), and credit bureau data has specific data residency requirements (RBI mandates Indian data storage). Without an infrastructure plan, the team will make inconsistent choices and security will be bolted on after the fact.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Produce an Infrastructure Architecture Document: AWS Mumbai region (RBI compliance); CI/CD pipeline (GitHub Actions); PostgreSQL on RDS with read replicas; Secret management (AWS Secrets Manager); WAF and DDoS protection; VAPT schedule; Backup and DR plan (define RPO/RTO targets).</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DBEAFE"/>
            <w:tcMar>
              <w:top w:w="80" w:type="dxa"/>
              <w:bottom w:w="80" w:type="dxa"/>
              <w:left w:w="160" w:type="dxa"/>
              <w:right w:w="160" w:type="dxa"/>
            </w:tcMar>
          </w:tcPr>
          <w:p>
            <w:pPr>
              <w:spacing w:before="20" w:after="20"/>
            </w:pPr>
            <w:r>
              <w:rPr>
                <w:rFonts w:ascii="Arial" w:hAnsi="Arial"/>
                <w:b/>
                <w:color w:val="2563EB"/>
                <w:sz w:val="20"/>
              </w:rPr>
              <w:t xml:space="preserve">A-10  </w:t>
            </w:r>
            <w:r>
              <w:rPr>
                <w:rFonts w:ascii="Arial" w:hAnsi="Arial"/>
                <w:b/>
                <w:color w:val="0B1220"/>
                <w:sz w:val="20"/>
              </w:rPr>
              <w:t>No Grievance Redressal Design</w:t>
            </w:r>
            <w:r>
              <w:rPr>
                <w:rFonts w:ascii="Arial" w:hAnsi="Arial"/>
                <w:b/>
                <w:color w:val="2563EB"/>
                <w:sz w:val="18"/>
              </w:rPr>
              <w:t xml:space="preserve">    ● MEDIUM</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RBI's Digital Lending Guidelines (2022) require a Grievance Redressal Mechanism with a named Grievance Redressal Officer (GRO), published resolution timeline (30 days), and escalation path to RBI Ombudsman.</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Absence of a grievance mechanism is a regulatory violation that can prevent lender registration and trigger RBI notices. Lenders will not partner with non-compliant platforms.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Design a Grievance Redressal CRM module covering: Complaint intake; GRO assignment workflow; 30-day resolution SLA with escalation triggers; RBI Ombudsman escalation path; Complaints dashboard. Publish GRO name and contact on the website as mandated.</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DBEAFE"/>
            <w:tcMar>
              <w:top w:w="80" w:type="dxa"/>
              <w:bottom w:w="80" w:type="dxa"/>
              <w:left w:w="160" w:type="dxa"/>
              <w:right w:w="160" w:type="dxa"/>
            </w:tcMar>
          </w:tcPr>
          <w:p>
            <w:pPr>
              <w:spacing w:before="20" w:after="20"/>
            </w:pPr>
            <w:r>
              <w:rPr>
                <w:rFonts w:ascii="Arial" w:hAnsi="Arial"/>
                <w:b/>
                <w:color w:val="2563EB"/>
                <w:sz w:val="20"/>
              </w:rPr>
              <w:t xml:space="preserve">A-11  </w:t>
            </w:r>
            <w:r>
              <w:rPr>
                <w:rFonts w:ascii="Arial" w:hAnsi="Arial"/>
                <w:b/>
                <w:color w:val="0B1220"/>
                <w:sz w:val="20"/>
              </w:rPr>
              <w:t>No Testing / QA Strategy</w:t>
            </w:r>
            <w:r>
              <w:rPr>
                <w:rFonts w:ascii="Arial" w:hAnsi="Arial"/>
                <w:b/>
                <w:color w:val="2563EB"/>
                <w:sz w:val="18"/>
              </w:rPr>
              <w:t xml:space="preserve">    ● MEDIUM</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project document defines the testing approach. A financial platform requires unit testing, integration testing (bureau APIs, lender APIs), E2E testing, performance testing, and security testing (VAPT).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Bugs in the loan eligibility engine, commission calculations, or bureau integrations will reach production. A commission calculation bug creates financial liability. An eligibility engine bug misleads borrowers.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Define a QA Strategy: Test pyramid ratios; Frameworks (Jest for unit, Playwright for E2E); Bureau API sandbox environment; Commission calculation test suite; Performance targets (1000 concurrent users, &lt;2s P95); Pre-production release checklist.</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DBEAFE"/>
            <w:tcMar>
              <w:top w:w="80" w:type="dxa"/>
              <w:bottom w:w="80" w:type="dxa"/>
              <w:left w:w="160" w:type="dxa"/>
              <w:right w:w="160" w:type="dxa"/>
            </w:tcMar>
          </w:tcPr>
          <w:p>
            <w:pPr>
              <w:spacing w:before="20" w:after="20"/>
            </w:pPr>
            <w:r>
              <w:rPr>
                <w:rFonts w:ascii="Arial" w:hAnsi="Arial"/>
                <w:b/>
                <w:color w:val="2563EB"/>
                <w:sz w:val="20"/>
              </w:rPr>
              <w:t xml:space="preserve">A-12  </w:t>
            </w:r>
            <w:r>
              <w:rPr>
                <w:rFonts w:ascii="Arial" w:hAnsi="Arial"/>
                <w:b/>
                <w:color w:val="0B1220"/>
                <w:sz w:val="20"/>
              </w:rPr>
              <w:t>Customer Support Workflow Missing</w:t>
            </w:r>
            <w:r>
              <w:rPr>
                <w:rFonts w:ascii="Arial" w:hAnsi="Arial"/>
                <w:b/>
                <w:color w:val="2563EB"/>
                <w:sz w:val="18"/>
              </w:rPr>
              <w:t xml:space="preserve">    ● MEDIUM</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project document defines support channels, SLAs, how support team accesses loan application data, or what CRM module handles support tickets.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Poor support in financial services drives churn and negative reviews. Google Maps reviews and consumer complaints on social media have disproportionate influence on fintech brand perception in India.</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Design a Customer Support Framework: Support channel matrix (chat, WhatsApp Business API, email, phone) by customer tier; SLA by channel and query type; Integration with CRM loan tracking; Escalation workflow from L1 to L2 to GRO; Support team hiring plan.</w:t>
            </w:r>
          </w:p>
        </w:tc>
      </w:tr>
    </w:tbl>
    <w:p>
      <w:pPr>
        <w:spacing w:before="0" w:after="0"/>
      </w:pPr>
      <w:r>
        <w:t xml:space="preserve"> </w:t>
      </w:r>
    </w:p>
    <w:p>
      <w:pPr>
        <w:spacing w:before="0" w:after="0"/>
      </w:pPr>
      <w:r>
        <w:br w:type="page"/>
      </w:r>
    </w:p>
    <w:p>
      <w:pPr>
        <w:pBdr>
          <w:bottom w:val="single" w:sz="6" w:space="2" w:color="2563EB"/>
        </w:pBdr>
        <w:spacing w:before="360" w:after="160"/>
      </w:pPr>
      <w:r>
        <w:rPr>
          <w:rFonts w:ascii="Arial" w:hAnsi="Arial"/>
          <w:b/>
          <w:color w:val="0B1220"/>
          <w:sz w:val="40"/>
        </w:rPr>
        <w:t>Phase B — Skill Audit</w:t>
      </w:r>
    </w:p>
    <w:p>
      <w:pPr>
        <w:spacing w:before="40" w:after="40"/>
      </w:pPr>
      <w:r>
        <w:rPr>
          <w:rFonts w:ascii="Arial" w:hAnsi="Arial"/>
          <w:b w:val="0"/>
          <w:color w:val="000000"/>
          <w:sz w:val="20"/>
        </w:rPr>
        <w:t>Scope: All 8 custom AI skill files installed in the LeapMoney Cowork environment, evaluated for completeness, uniqueness, relevance, and coverage gaps.</w:t>
      </w:r>
    </w:p>
    <w:p>
      <w:pPr>
        <w:pBdr>
          <w:bottom w:val="single" w:sz="4" w:space="1" w:color="E2E8F0"/>
        </w:pBdr>
        <w:spacing w:before="80" w:after="80"/>
      </w:pPr>
    </w:p>
    <w:p>
      <w:pPr>
        <w:spacing w:before="280" w:after="120"/>
      </w:pPr>
      <w:r>
        <w:rPr>
          <w:rFonts w:ascii="Arial" w:hAnsi="Arial"/>
          <w:b/>
          <w:color w:val="2563EB"/>
          <w:sz w:val="28"/>
        </w:rPr>
        <w:t>Existing Skill Assessment</w:t>
      </w:r>
    </w:p>
    <w:tbl>
      <w:tblPr>
        <w:jc w:val="left"/>
        <w:tblLook w:firstColumn="1" w:firstRow="1" w:lastColumn="0" w:lastRow="0" w:noHBand="0" w:noVBand="1" w:val="04A0"/>
        <w:tblW w:w="9360" w:type="dxa"/>
      </w:tblPr>
      <w:tblGrid>
        <w:gridCol w:w="2800"/>
        <w:gridCol w:w="1560"/>
        <w:gridCol w:w="5000"/>
      </w:tblGrid>
      <w:tr>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Skill Name</w:t>
            </w:r>
          </w:p>
        </w:tc>
        <w:tc>
          <w:tcPr>
            <w:tcW w:w="156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Assessment</w:t>
            </w:r>
          </w:p>
        </w:tc>
        <w:tc>
          <w:tcPr>
            <w:tcW w:w="500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Notes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leapmoney-fintech-architect</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D97706"/>
                <w:sz w:val="17"/>
              </w:rPr>
              <w:t>Weak</w:t>
            </w:r>
          </w:p>
        </w:tc>
        <w:tc>
          <w:tcPr>
            <w:tcW w:type="dxa" w:w="50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8 lines of instructions. No market context, no regulatory framework, no revenue model, no Indian lending specifics embedded.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leapmoney-crm-architect</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2563EB"/>
                <w:sz w:val="17"/>
              </w:rPr>
              <w:t>Adequate</w:t>
            </w:r>
          </w:p>
        </w:tc>
        <w:tc>
          <w:tcPr>
            <w:tcW w:type="dxa" w:w="50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Good module list. Missing business rules, approval workflows, status machine definitions, and data dictionary.</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leapmoney-cto</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D97706"/>
                <w:sz w:val="17"/>
              </w:rPr>
              <w:t>Weak</w:t>
            </w:r>
          </w:p>
        </w:tc>
        <w:tc>
          <w:tcPr>
            <w:tcW w:type="dxa" w:w="50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Generic CTO description. No LeapMoney-specific stack decisions, no infrastructure preferences, no security framework.</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leapmoney-full-stack-engineer</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2563EB"/>
                <w:sz w:val="17"/>
              </w:rPr>
              <w:t>Adequate</w:t>
            </w:r>
          </w:p>
        </w:tc>
        <w:tc>
          <w:tcPr>
            <w:tcW w:type="dxa" w:w="50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Tech stack defined. Missing: folder structure conventions, API naming conventions, error handling standards.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leapmoney-ai-automation-expert</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2563EB"/>
                <w:sz w:val="17"/>
              </w:rPr>
              <w:t>Adequate</w:t>
            </w:r>
          </w:p>
        </w:tc>
        <w:tc>
          <w:tcPr>
            <w:tcW w:type="dxa" w:w="50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Good automation categories. Missing: tool stack (n8n? Zapier?), WhatsApp API provider (Gupshup? Wati?), integration priorities.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leapmoney-seo-growth-strategist</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D97706"/>
                <w:sz w:val="17"/>
              </w:rPr>
              <w:t>Weak</w:t>
            </w:r>
          </w:p>
        </w:tc>
        <w:tc>
          <w:tcPr>
            <w:tcW w:type="dxa" w:w="50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Generic SEO focus. No Indian fintech keyword clusters, no competitor domain analysis, no target DR/traffic goals embedded.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leapmoney-ui-ux-designer</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DC2626"/>
                <w:sz w:val="17"/>
              </w:rPr>
              <w:t>Duplicate</w:t>
            </w:r>
          </w:p>
        </w:tc>
        <w:tc>
          <w:tcPr>
            <w:tcW w:type="dxa" w:w="50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Overlaps 80%+ with uiux-direction. Nearly identical design DNA. One must be removed — causing contradictions.</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uiux-direction</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16A34A"/>
                <w:sz w:val="17"/>
              </w:rPr>
              <w:t>Strong</w:t>
            </w:r>
          </w:p>
        </w:tc>
        <w:tc>
          <w:tcPr>
            <w:tcW w:type="dxa" w:w="50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Best-specified skill. Has color palette, design DNA, reference brands, and specific deliverables. Should be the canonical UI skill.</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B-03  </w:t>
            </w:r>
            <w:r>
              <w:rPr>
                <w:rFonts w:ascii="Arial" w:hAnsi="Arial"/>
                <w:b/>
                <w:color w:val="0B1220"/>
                <w:sz w:val="20"/>
              </w:rPr>
              <w:t>No LeapMatch AI Engine Skill — Critical Gap</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LeapMatch is the platform's primary differentiator but has no corresponding skill to guide its design and implementation. Every conversation about eligibility scoring, FOIR calculation, bank matching, or credit intelligence will produce inconsistent outputs without a canonical skill.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LeapMatch will be designed differently in every session — the UI team will build a UI for a product the engineering team has not specified, and the lender team will promise capabilities that engineering has not scoped.</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Create a leapmoney-leapmatch skill covering: LeapMatch Score definition; FOIR engine inputs and calculation; Approval Probability Engine methodology; Bank Matching Engine lender policy matrix; Credit Intelligence Framework; Bureau integration design; Training data strategy; Model versioning; Feedback loop design.</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B-04  </w:t>
            </w:r>
            <w:r>
              <w:rPr>
                <w:rFonts w:ascii="Arial" w:hAnsi="Arial"/>
                <w:b/>
                <w:color w:val="0B1220"/>
                <w:sz w:val="20"/>
              </w:rPr>
              <w:t>No Compliance &amp; Risk Officer Skill — Critical Gap</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skill exists to guide compliance decisions. Every product, engineering, or marketing decision that has a regulatory dimension will be answered inconsistently or incorrectly.</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RBI, SEBI, and DPDP Act implications will be missed in product decisions. Marketing copy may violate advertising standards. Data collection may violate DPDP consent requirements.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Create a leapmoney-compliance-risk skill covering: RBI Digital Lending Guidelines 2022; DPDP Act 2023 obligations; KYC/AML requirements; FAIR Practices Code; Grievance Redressal requirements; Advertising standards for financial products; Red flags and prohibited practices.</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B-05  </w:t>
            </w:r>
            <w:r>
              <w:rPr>
                <w:rFonts w:ascii="Arial" w:hAnsi="Arial"/>
                <w:b/>
                <w:color w:val="0B1220"/>
                <w:sz w:val="20"/>
              </w:rPr>
              <w:t>No Data &amp; Analytics Skill</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skill exists for data architecture, analytics, or business intelligence. The platform is inherently data-driven but has no guide for data decisions.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Data schemas will be designed for application needs, not analytics needs. Event tracking will be inconsistent. LeapMatch training data will not be structured correctly from launch.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Create a leapmoney-data-analytics skill covering: Event taxonomy; Data warehouse schema; KPI definitions; Dashboard designs; ML data pipeline requirements; Analytics tool stack; Data governance for DPDP compliance.</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B-06  </w:t>
            </w:r>
            <w:r>
              <w:rPr>
                <w:rFonts w:ascii="Arial" w:hAnsi="Arial"/>
                <w:b/>
                <w:color w:val="0B1220"/>
                <w:sz w:val="20"/>
              </w:rPr>
              <w:t>No Mobile Development Skill</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skill exists to guide mobile app development. The UI/UX skill mentions mobile-first design but there is no mobile engineering counterpart.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If a mobile developer is engaged, they will have no guidance on platform conventions, state management, API consumption patterns, or deep linking strategy. The mobile app will diverge from the web platform in architecture and UX.</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Create a leapmoney-mobile-engineer skill covering: Framework (React Native); Shared component library with web; State management (Redux or Zustand); Biometric authentication; Push notification architecture; App Store submission checklist.</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B-01  </w:t>
            </w:r>
            <w:r>
              <w:rPr>
                <w:rFonts w:ascii="Arial" w:hAnsi="Arial"/>
                <w:b/>
                <w:color w:val="0B1220"/>
                <w:sz w:val="20"/>
              </w:rPr>
              <w:t>Duplicate Skill: leapmoney-ui-ux-designer vs. uiux-direction</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Two skills cover the same domain with near-identical content but contradictory instructions. leapmoney-ui-ux-designer says "Never copy Paisabazaar, BankBazaar..." while uiux-direction says "First analyze: Paisabazaar, BankBazaar..." — a direct contradiction.</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Two active skills for the same role will produce different outputs depending on which is invoked. Design decisions made with one skill will conflict with decisions made with the other.</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Deprecate leapmoney-ui-ux-designer. Consolidate all useful content into uiux-direction (the stronger skill). Resolve the contradiction: LeapMoney should study competitors deeply to differentiate, not avoid looking at them.</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B-02  </w:t>
            </w:r>
            <w:r>
              <w:rPr>
                <w:rFonts w:ascii="Arial" w:hAnsi="Arial"/>
                <w:b/>
                <w:color w:val="0B1220"/>
                <w:sz w:val="20"/>
              </w:rPr>
              <w:t>leapmoney-fintech-architect Is Critically Thin</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skill is 8 lines long with no LeapMoney-specific context. "Focus on Indian lending industry" is an instruction any off-the-shelf prompt could include.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The fintech architect role is responsible for BRDs and PRDs — the foundational documents of the platform. Without specific context in the skill, every document produced will require extensive re-briefing and will be inconsistent across sessions.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Rewrite the skill to include: LeapMoney's mission; Target customer segments (salaried, self-employed, MSME, NRI, Tier 2/3); Loan products in scope; Competitors and differentiation strategy; Revenue model summary; Regulatory context; LeapMatch as core differentiator; Current phase (pre-launch); Priority markets.</w:t>
            </w:r>
          </w:p>
        </w:tc>
      </w:tr>
    </w:tbl>
    <w:p>
      <w:pPr>
        <w:spacing w:before="0" w:after="0"/>
      </w:pPr>
      <w:r>
        <w:t xml:space="preserve"> </w:t>
      </w:r>
    </w:p>
    <w:p>
      <w:pPr>
        <w:spacing w:before="0" w:after="0"/>
      </w:pPr>
      <w:r>
        <w:br w:type="page"/>
      </w:r>
    </w:p>
    <w:p>
      <w:pPr>
        <w:pBdr>
          <w:bottom w:val="single" w:sz="6" w:space="2" w:color="2563EB"/>
        </w:pBdr>
        <w:spacing w:before="360" w:after="160"/>
      </w:pPr>
      <w:r>
        <w:rPr>
          <w:rFonts w:ascii="Arial" w:hAnsi="Arial"/>
          <w:b/>
          <w:color w:val="0B1220"/>
          <w:sz w:val="40"/>
        </w:rPr>
        <w:t>Phase C — Website Audit</w:t>
      </w:r>
    </w:p>
    <w:p>
      <w:pPr>
        <w:spacing w:before="40" w:after="40"/>
      </w:pPr>
      <w:r>
        <w:rPr>
          <w:rFonts w:ascii="Arial" w:hAnsi="Arial"/>
          <w:b w:val="0"/>
          <w:color w:val="000000"/>
          <w:sz w:val="20"/>
        </w:rPr>
        <w:t>Scope: leapmoney.net, evaluated as of June 15, 2026. The site is a client-side rendered SPA built on Lovable (a no-code React builder). Direct content could not be crawled beyond meta-tags; however, the infrastructure findings alone reveal multiple critical issues.</w:t>
      </w:r>
    </w:p>
    <w:p>
      <w:pPr>
        <w:pBdr>
          <w:bottom w:val="single" w:sz="4" w:space="1" w:color="E2E8F0"/>
        </w:pBdr>
        <w:spacing w:before="80" w:after="80"/>
      </w:pPr>
    </w:p>
    <w:p>
      <w:pPr>
        <w:spacing w:before="280" w:after="120"/>
      </w:pPr>
      <w:r>
        <w:rPr>
          <w:rFonts w:ascii="Arial" w:hAnsi="Arial"/>
          <w:b/>
          <w:color w:val="2563EB"/>
          <w:sz w:val="28"/>
        </w:rPr>
        <w:t>Technical Infrastructure</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C-02  </w:t>
            </w:r>
            <w:r>
              <w:rPr>
                <w:rFonts w:ascii="Arial" w:hAnsi="Arial"/>
                <w:b/>
                <w:color w:val="0B1220"/>
                <w:sz w:val="20"/>
              </w:rPr>
              <w:t>Website Is a Client-Rendered SPA — Zero Organic SEO</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leapmoney.net is built on Lovable, a client-side React SPA builder. All pages — /, /about, /personal-loan — return identical HTML shells with no rendered content. The same meta-description, title pattern, and empty body appear on every route. Google's crawler sees an empty page on every URL.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A loan marketplace lives and dies by organic search. Keywords like "personal loan comparison India" generate millions of monthly searches. Paisabazaar, BankBazaar, and CreditMantri rank on page 1 through years of SEO-optimised content. LeapMoney is currently invisible to Google. No SEO authority will accumulate on this domain as long as it remains a client-side SPA.</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Migration to the production Next.js stack (already chosen) is non-negotiable before launch. The Lovable prototype is useful for design prototyping only. The production site must use Next.js with SSG for loan product pages, SSR for personalised content, dynamic sitemap generation, and next-seo for per-page meta. Do not invest further in the Lovable instance.</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C-01  </w:t>
            </w:r>
            <w:r>
              <w:rPr>
                <w:rFonts w:ascii="Arial" w:hAnsi="Arial"/>
                <w:b/>
                <w:color w:val="0B1220"/>
                <w:sz w:val="20"/>
              </w:rPr>
              <w:t>OG Image Points to Lovable CDN — Branding Failure</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open graph image — used when the URL is shared on WhatsApp, LinkedIn, and Twitter — is: https://lovable.dev/opengraph-image-p98pqg.png. This is Lovable's generic branded image, not LeapMoney's. Every share of leapmoney.net shows the Lovable branding.</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Every WhatsApp message, LinkedIn post, or Twitter share that includes leapmoney.net shows a third-party brand image. This communicates the website was built with a no-code tool, undermining the "premium AI-powered financial marketplace" positioning.</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Immediately replace the OG image with a LeapMoney branded image (1200x630px). This is a single change achievable on the current Lovable instance within minutes. It should be treated as a P0 fix regardless of any other website decisions.</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C-04  </w:t>
            </w:r>
            <w:r>
              <w:rPr>
                <w:rFonts w:ascii="Arial" w:hAnsi="Arial"/>
                <w:b/>
                <w:color w:val="0B1220"/>
                <w:sz w:val="20"/>
              </w:rPr>
              <w:t>"Powered by LEAPSYS" in Page Title — Brand Dilution</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page title is "LEAPMONEY - Compare Loan Offers from 50+ Banks | Powered by LEAPSYS". Including the parent company name creates brand confusion — is the brand LeapMoney or LeapSys? The title tag with LEAPSYS takes up valuable keyword real estate.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Users searching for "LeapMoney" may see different branding in Google results. Institutional lenders evaluating the platform may be confused about which entity they are partnering with.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Remove "Powered by LEAPSYS" from the page title. Use: "LeapMoney — Compare Loan Offers from 50+ Banks &amp; NBFCs in India". Reserve LEAPSYS attribution to the footer only. Ensure brand hierarchy is clear in all legal documents.</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C-03  </w:t>
            </w:r>
            <w:r>
              <w:rPr>
                <w:rFonts w:ascii="Arial" w:hAnsi="Arial"/>
                <w:b/>
                <w:color w:val="0B1220"/>
                <w:sz w:val="20"/>
              </w:rPr>
              <w:t>Identical Meta-Description Across All Pages</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Every page — homepage, /about, /personal-loan — returns the same meta-description. This is the site-wide default with no page-level customisation. Google ignores duplicate meta-descriptions and generates its own snippets from page content — which, for a client-rendered SPA, is empty.</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LeapMoney has zero control over its Google search appearance. Each loan product page should have a unique description targeting specific keywords.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Implement page-level meta-description management in the production Next.js site. Each loan product should have a unique meta-description targeting intent-specific keywords. Example: /personal-loan → "Compare personal loan rates from HDFC, SBI, ICICI, Axis and 50+ banks. Check eligibility and apply online. Rates from 10.5% p.a."</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C-05  </w:t>
            </w:r>
            <w:r>
              <w:rPr>
                <w:rFonts w:ascii="Arial" w:hAnsi="Arial"/>
                <w:b/>
                <w:color w:val="0B1220"/>
                <w:sz w:val="20"/>
              </w:rPr>
              <w:t>No Schema.org Structured Data</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No Schema.org markup is present on any page. For a financial services comparison platform, structured data is a significant organic traffic driver. Relevant schemas: FinancialProduct (loan products), FAQPage, BreadcrumbList, Organization, Review.</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Competitors who implement structured data appear in Google rich results — FAQ accordions, featured snippets, knowledge panels — consuming significantly more SERP real estate. Without structured data, LeapMoney will always appear as a plain blue link.</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Implement Schema.org for: All loan product pages (FinancialProduct schema with APR range, min/max amount, tenure); FAQ sections (FAQPage schema); Company info (Organization schema); Customer reviews (Review schema); Breadcrumb navigation (BreadcrumbList).</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C-06  </w:t>
            </w:r>
            <w:r>
              <w:rPr>
                <w:rFonts w:ascii="Arial" w:hAnsi="Arial"/>
                <w:b/>
                <w:color w:val="0B1220"/>
                <w:sz w:val="20"/>
              </w:rPr>
              <w:t>No Crawlable Content on Any Page</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Because the site is a client-rendered SPA, no loan product descriptions, interest rate comparisons, eligibility information, or any other content is present in the HTML returned to search engine crawlers. The site has essentially zero indexed content.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Without crawlable content, the site cannot rank for any keyword. All paid acquisition must compensate for this organic gap, dramatically increasing CAC. Google Search Console will show zero impressions for all loan-related keywords.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The production Next.js site must statically generate: At minimum one page per loan product (personal loan, home loan, business loan, loan against property, education loan); City-specific landing pages for top 20 cities; Lender-specific comparison pages; Blog/content hub for informational keywords. This content must exist at launch — not as Phase 2.</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DBEAFE"/>
            <w:tcMar>
              <w:top w:w="80" w:type="dxa"/>
              <w:bottom w:w="80" w:type="dxa"/>
              <w:left w:w="160" w:type="dxa"/>
              <w:right w:w="160" w:type="dxa"/>
            </w:tcMar>
          </w:tcPr>
          <w:p>
            <w:pPr>
              <w:spacing w:before="20" w:after="20"/>
            </w:pPr>
            <w:r>
              <w:rPr>
                <w:rFonts w:ascii="Arial" w:hAnsi="Arial"/>
                <w:b/>
                <w:color w:val="2563EB"/>
                <w:sz w:val="20"/>
              </w:rPr>
              <w:t xml:space="preserve">C-07  </w:t>
            </w:r>
            <w:r>
              <w:rPr>
                <w:rFonts w:ascii="Arial" w:hAnsi="Arial"/>
                <w:b/>
                <w:color w:val="0B1220"/>
                <w:sz w:val="20"/>
              </w:rPr>
              <w:t>No Trust Signals in Discoverable Metadata</w:t>
            </w:r>
            <w:r>
              <w:rPr>
                <w:rFonts w:ascii="Arial" w:hAnsi="Arial"/>
                <w:b/>
                <w:color w:val="2563EB"/>
                <w:sz w:val="18"/>
              </w:rPr>
              <w:t xml:space="preserve">    ● MEDIUM</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The only trust signal visible in meta-tags is "50+ banks and NBFCs" — a claim that is unverifiable without content. No lender logos, RBI compliance statements, data security certifications, customer testimonials, or press mentions are surfaced.</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In Indian fintech, trust is the primary barrier to conversion. Borrowers sharing PAN numbers and income documents need visible trust signals. Without them, many users will abandon the application form.</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Design a trust signal architecture: Lender logo strip (HDFC, SBI, ICICI, Bajaj, Axis — top 10 recognisable logos); Data security badges; Customer testimonials with verified loan amounts; Press mentions; RBI Digital Lending compliance statement; Disbursed amount counter (enable at ₹1 crore milestone).</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DBEAFE"/>
            <w:tcMar>
              <w:top w:w="80" w:type="dxa"/>
              <w:bottom w:w="80" w:type="dxa"/>
              <w:left w:w="160" w:type="dxa"/>
              <w:right w:w="160" w:type="dxa"/>
            </w:tcMar>
          </w:tcPr>
          <w:p>
            <w:pPr>
              <w:spacing w:before="20" w:after="20"/>
            </w:pPr>
            <w:r>
              <w:rPr>
                <w:rFonts w:ascii="Arial" w:hAnsi="Arial"/>
                <w:b/>
                <w:color w:val="2563EB"/>
                <w:sz w:val="20"/>
              </w:rPr>
              <w:t xml:space="preserve">C-08  </w:t>
            </w:r>
            <w:r>
              <w:rPr>
                <w:rFonts w:ascii="Arial" w:hAnsi="Arial"/>
                <w:b/>
                <w:color w:val="0B1220"/>
                <w:sz w:val="20"/>
              </w:rPr>
              <w:t>No Canonical Tag Strategy</w:t>
            </w:r>
            <w:r>
              <w:rPr>
                <w:rFonts w:ascii="Arial" w:hAnsi="Arial"/>
                <w:b/>
                <w:color w:val="2563EB"/>
                <w:sz w:val="18"/>
              </w:rPr>
              <w:t xml:space="preserve">    ● MEDIUM</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A client-side SPA with URL-based routing creates canonicalisation problems. Filter URLs (/personal-loan?amount=500000&amp;tenure=36) may be treated as separate pages, creating duplicate content issues.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Without canonical tags, Google may split link equity across URL variants, reducing rankings. Filter and parameter URLs may be indexed as thin pages, triggering Google's quality algorithms.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In the Next.js implementation, implement canonical URL management using next-seo: Each product page has a self-referencing canonical; Filter/parameter URLs use canonical pointing to the base product page; Pagination uses rel=prev/next plus canonical.</w:t>
            </w:r>
          </w:p>
        </w:tc>
      </w:tr>
    </w:tbl>
    <w:p>
      <w:pPr>
        <w:spacing w:before="0" w:after="0"/>
      </w:pPr>
      <w:r>
        <w:t xml:space="preserve"> </w:t>
      </w:r>
    </w:p>
    <w:p>
      <w:pPr>
        <w:spacing w:before="0" w:after="0"/>
      </w:pPr>
      <w:r>
        <w:br w:type="page"/>
      </w:r>
    </w:p>
    <w:p>
      <w:pPr>
        <w:pBdr>
          <w:bottom w:val="single" w:sz="6" w:space="2" w:color="2563EB"/>
        </w:pBdr>
        <w:spacing w:before="360" w:after="160"/>
      </w:pPr>
      <w:r>
        <w:rPr>
          <w:rFonts w:ascii="Arial" w:hAnsi="Arial"/>
          <w:b/>
          <w:color w:val="0B1220"/>
          <w:sz w:val="40"/>
        </w:rPr>
        <w:t>Phase D — Competitive Positioning Audit</w:t>
      </w:r>
    </w:p>
    <w:p>
      <w:pPr>
        <w:spacing w:before="40" w:after="40"/>
      </w:pPr>
      <w:r>
        <w:rPr>
          <w:rFonts w:ascii="Arial" w:hAnsi="Arial"/>
          <w:b w:val="0"/>
          <w:color w:val="000000"/>
          <w:sz w:val="20"/>
        </w:rPr>
        <w:t>Scope: LeapMoney's positioning against Paisabazaar, BankBazaar, CreditMantri, Andromeda, and Urban Money, with specific evaluation of whether LeapMatch can become a defensible competitive moat.</w:t>
      </w:r>
    </w:p>
    <w:p>
      <w:pPr>
        <w:pBdr>
          <w:bottom w:val="single" w:sz="4" w:space="1" w:color="E2E8F0"/>
        </w:pBdr>
        <w:spacing w:before="80" w:after="80"/>
      </w:pPr>
    </w:p>
    <w:p>
      <w:pPr>
        <w:spacing w:before="280" w:after="120"/>
      </w:pPr>
      <w:r>
        <w:rPr>
          <w:rFonts w:ascii="Arial" w:hAnsi="Arial"/>
          <w:b/>
          <w:color w:val="2563EB"/>
          <w:sz w:val="28"/>
        </w:rPr>
        <w:t>Competitor Landscape Overview</w:t>
      </w:r>
    </w:p>
    <w:tbl>
      <w:tblPr>
        <w:jc w:val="left"/>
        <w:tblLook w:firstColumn="1" w:firstRow="1" w:lastColumn="0" w:lastRow="0" w:noHBand="0" w:noVBand="1" w:val="04A0"/>
        <w:tblW w:w="9360" w:type="dxa"/>
      </w:tblPr>
      <w:tblGrid>
        <w:gridCol w:w="2000"/>
        <w:gridCol w:w="1500"/>
        <w:gridCol w:w="1500"/>
        <w:gridCol w:w="1500"/>
        <w:gridCol w:w="1430"/>
        <w:gridCol w:w="143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80" w:type="dxa"/>
              <w:right w:w="80" w:type="dxa"/>
            </w:tcMar>
          </w:tcPr>
          <w:p>
            <w:r>
              <w:rPr>
                <w:rFonts w:ascii="Arial" w:hAnsi="Arial"/>
                <w:b/>
                <w:color w:val="FFFFFF"/>
                <w:sz w:val="17"/>
              </w:rPr>
              <w:t>Dimension</w:t>
            </w:r>
          </w:p>
        </w:tc>
        <w:tc>
          <w:tcPr>
            <w:tcW w:w="15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80" w:type="dxa"/>
              <w:right w:w="80" w:type="dxa"/>
            </w:tcMar>
          </w:tcPr>
          <w:p>
            <w:r>
              <w:rPr>
                <w:rFonts w:ascii="Arial" w:hAnsi="Arial"/>
                <w:b/>
                <w:color w:val="FFFFFF"/>
                <w:sz w:val="17"/>
              </w:rPr>
              <w:t>Paisabazaar</w:t>
            </w:r>
          </w:p>
        </w:tc>
        <w:tc>
          <w:tcPr>
            <w:tcW w:w="15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80" w:type="dxa"/>
              <w:right w:w="80" w:type="dxa"/>
            </w:tcMar>
          </w:tcPr>
          <w:p>
            <w:r>
              <w:rPr>
                <w:rFonts w:ascii="Arial" w:hAnsi="Arial"/>
                <w:b/>
                <w:color w:val="FFFFFF"/>
                <w:sz w:val="17"/>
              </w:rPr>
              <w:t>BankBazaar</w:t>
            </w:r>
          </w:p>
        </w:tc>
        <w:tc>
          <w:tcPr>
            <w:tcW w:w="15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80" w:type="dxa"/>
              <w:right w:w="80" w:type="dxa"/>
            </w:tcMar>
          </w:tcPr>
          <w:p>
            <w:r>
              <w:rPr>
                <w:rFonts w:ascii="Arial" w:hAnsi="Arial"/>
                <w:b/>
                <w:color w:val="FFFFFF"/>
                <w:sz w:val="17"/>
              </w:rPr>
              <w:t>Andromeda</w:t>
            </w:r>
          </w:p>
        </w:tc>
        <w:tc>
          <w:tcPr>
            <w:tcW w:w="143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80" w:type="dxa"/>
              <w:right w:w="80" w:type="dxa"/>
            </w:tcMar>
          </w:tcPr>
          <w:p>
            <w:r>
              <w:rPr>
                <w:rFonts w:ascii="Arial" w:hAnsi="Arial"/>
                <w:b/>
                <w:color w:val="FFFFFF"/>
                <w:sz w:val="17"/>
              </w:rPr>
              <w:t>Urban Money</w:t>
            </w:r>
          </w:p>
        </w:tc>
        <w:tc>
          <w:tcPr>
            <w:tcW w:w="143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80" w:type="dxa"/>
              <w:right w:w="80" w:type="dxa"/>
            </w:tcMar>
          </w:tcPr>
          <w:p>
            <w:r>
              <w:rPr>
                <w:rFonts w:ascii="Arial" w:hAnsi="Arial"/>
                <w:b/>
                <w:color w:val="FFFFFF"/>
                <w:sz w:val="17"/>
              </w:rPr>
              <w:t>LeapMoney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6"/>
              </w:rPr>
              <w:t>Monthly Traffic</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150M+ visits</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20M+ visits</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N/A (offline)</w:t>
            </w:r>
          </w:p>
        </w:tc>
        <w:tc>
          <w:tcPr>
            <w:tcW w:type="dxa" w:w="143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5M+ visits</w:t>
            </w:r>
          </w:p>
        </w:tc>
        <w:tc>
          <w:tcPr>
            <w:tcW w:type="dxa" w:w="1430"/>
            <w:tcBorders>
              <w:top w:val="single" w:sz="4" w:space="0" w:color="CCCCCC"/>
              <w:left w:val="single" w:sz="4" w:space="0" w:color="CCCCCC"/>
              <w:bottom w:val="single" w:sz="4" w:space="0" w:color="CCCCCC"/>
              <w:right w:val="single" w:sz="4" w:space="0" w:color="CCCCCC"/>
            </w:tcBorders>
            <w:shd w:val="clear" w:color="auto" w:fill="EFF6FF"/>
            <w:tcMar>
              <w:top w:w="50" w:type="dxa"/>
              <w:bottom w:w="50" w:type="dxa"/>
              <w:left w:w="80" w:type="dxa"/>
              <w:right w:w="80" w:type="dxa"/>
            </w:tcMar>
          </w:tcPr>
          <w:p>
            <w:r>
              <w:rPr>
                <w:rFonts w:ascii="Arial" w:hAnsi="Arial"/>
                <w:b/>
                <w:color w:val="2563EB"/>
                <w:sz w:val="16"/>
              </w:rPr>
              <w:t>Pre-launch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color w:val="0B1220"/>
                <w:sz w:val="16"/>
              </w:rPr>
              <w:t>Lender Partnerships</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65+ formal API</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50+ formal</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300+ informal</w:t>
            </w:r>
          </w:p>
        </w:tc>
        <w:tc>
          <w:tcPr>
            <w:tcW w:type="dxa" w:w="143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30+</w:t>
            </w:r>
          </w:p>
        </w:tc>
        <w:tc>
          <w:tcPr>
            <w:tcW w:type="dxa" w:w="1430"/>
            <w:tcBorders>
              <w:top w:val="single" w:sz="4" w:space="0" w:color="CCCCCC"/>
              <w:left w:val="single" w:sz="4" w:space="0" w:color="CCCCCC"/>
              <w:bottom w:val="single" w:sz="4" w:space="0" w:color="CCCCCC"/>
              <w:right w:val="single" w:sz="4" w:space="0" w:color="CCCCCC"/>
            </w:tcBorders>
            <w:shd w:val="clear" w:color="auto" w:fill="DBEAFE"/>
            <w:tcMar>
              <w:top w:w="50" w:type="dxa"/>
              <w:bottom w:w="50" w:type="dxa"/>
              <w:left w:w="80" w:type="dxa"/>
              <w:right w:w="80" w:type="dxa"/>
            </w:tcMar>
          </w:tcPr>
          <w:p>
            <w:r>
              <w:rPr>
                <w:rFonts w:ascii="Arial" w:hAnsi="Arial"/>
                <w:b/>
                <w:color w:val="2563EB"/>
                <w:sz w:val="16"/>
              </w:rPr>
              <w:t>50+ (status unclear)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6"/>
              </w:rPr>
              <w:t>DSA Network</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~8,000</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~5,000</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25,000+ partners</w:t>
            </w:r>
          </w:p>
        </w:tc>
        <w:tc>
          <w:tcPr>
            <w:tcW w:type="dxa" w:w="143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Growing</w:t>
            </w:r>
          </w:p>
        </w:tc>
        <w:tc>
          <w:tcPr>
            <w:tcW w:type="dxa" w:w="1430"/>
            <w:tcBorders>
              <w:top w:val="single" w:sz="4" w:space="0" w:color="CCCCCC"/>
              <w:left w:val="single" w:sz="4" w:space="0" w:color="CCCCCC"/>
              <w:bottom w:val="single" w:sz="4" w:space="0" w:color="CCCCCC"/>
              <w:right w:val="single" w:sz="4" w:space="0" w:color="CCCCCC"/>
            </w:tcBorders>
            <w:shd w:val="clear" w:color="auto" w:fill="EFF6FF"/>
            <w:tcMar>
              <w:top w:w="50" w:type="dxa"/>
              <w:bottom w:w="50" w:type="dxa"/>
              <w:left w:w="80" w:type="dxa"/>
              <w:right w:w="80" w:type="dxa"/>
            </w:tcMar>
          </w:tcPr>
          <w:p>
            <w:r>
              <w:rPr>
                <w:rFonts w:ascii="Arial" w:hAnsi="Arial"/>
                <w:b/>
                <w:color w:val="2563EB"/>
                <w:sz w:val="16"/>
              </w:rPr>
              <w:t>TBD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color w:val="0B1220"/>
                <w:sz w:val="16"/>
              </w:rPr>
              <w:t>Bureau Integration</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Experian (live)</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CIBIL (live)</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Manual KYC</w:t>
            </w:r>
          </w:p>
        </w:tc>
        <w:tc>
          <w:tcPr>
            <w:tcW w:type="dxa" w:w="143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Limited</w:t>
            </w:r>
          </w:p>
        </w:tc>
        <w:tc>
          <w:tcPr>
            <w:tcW w:type="dxa" w:w="1430"/>
            <w:tcBorders>
              <w:top w:val="single" w:sz="4" w:space="0" w:color="CCCCCC"/>
              <w:left w:val="single" w:sz="4" w:space="0" w:color="CCCCCC"/>
              <w:bottom w:val="single" w:sz="4" w:space="0" w:color="CCCCCC"/>
              <w:right w:val="single" w:sz="4" w:space="0" w:color="CCCCCC"/>
            </w:tcBorders>
            <w:shd w:val="clear" w:color="auto" w:fill="DBEAFE"/>
            <w:tcMar>
              <w:top w:w="50" w:type="dxa"/>
              <w:bottom w:w="50" w:type="dxa"/>
              <w:left w:w="80" w:type="dxa"/>
              <w:right w:w="80" w:type="dxa"/>
            </w:tcMar>
          </w:tcPr>
          <w:p>
            <w:r>
              <w:rPr>
                <w:rFonts w:ascii="Arial" w:hAnsi="Arial"/>
                <w:b/>
                <w:color w:val="2563EB"/>
                <w:sz w:val="16"/>
              </w:rPr>
              <w:t>Not built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6"/>
              </w:rPr>
              <w:t>AI/ML Matching</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Production</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Production</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None</w:t>
            </w:r>
          </w:p>
        </w:tc>
        <w:tc>
          <w:tcPr>
            <w:tcW w:type="dxa" w:w="143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Basic</w:t>
            </w:r>
          </w:p>
        </w:tc>
        <w:tc>
          <w:tcPr>
            <w:tcW w:type="dxa" w:w="1430"/>
            <w:tcBorders>
              <w:top w:val="single" w:sz="4" w:space="0" w:color="CCCCCC"/>
              <w:left w:val="single" w:sz="4" w:space="0" w:color="CCCCCC"/>
              <w:bottom w:val="single" w:sz="4" w:space="0" w:color="CCCCCC"/>
              <w:right w:val="single" w:sz="4" w:space="0" w:color="CCCCCC"/>
            </w:tcBorders>
            <w:shd w:val="clear" w:color="auto" w:fill="EFF6FF"/>
            <w:tcMar>
              <w:top w:w="50" w:type="dxa"/>
              <w:bottom w:w="50" w:type="dxa"/>
              <w:left w:w="80" w:type="dxa"/>
              <w:right w:w="80" w:type="dxa"/>
            </w:tcMar>
          </w:tcPr>
          <w:p>
            <w:r>
              <w:rPr>
                <w:rFonts w:ascii="Arial" w:hAnsi="Arial"/>
                <w:b/>
                <w:color w:val="2563EB"/>
                <w:sz w:val="16"/>
              </w:rPr>
              <w:t>Planned only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color w:val="0B1220"/>
                <w:sz w:val="16"/>
              </w:rPr>
              <w:t>Mobile App</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iOS + Android</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iOS + Android</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App available</w:t>
            </w:r>
          </w:p>
        </w:tc>
        <w:tc>
          <w:tcPr>
            <w:tcW w:type="dxa" w:w="143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App available</w:t>
            </w:r>
          </w:p>
        </w:tc>
        <w:tc>
          <w:tcPr>
            <w:tcW w:type="dxa" w:w="1430"/>
            <w:tcBorders>
              <w:top w:val="single" w:sz="4" w:space="0" w:color="CCCCCC"/>
              <w:left w:val="single" w:sz="4" w:space="0" w:color="CCCCCC"/>
              <w:bottom w:val="single" w:sz="4" w:space="0" w:color="CCCCCC"/>
              <w:right w:val="single" w:sz="4" w:space="0" w:color="CCCCCC"/>
            </w:tcBorders>
            <w:shd w:val="clear" w:color="auto" w:fill="DBEAFE"/>
            <w:tcMar>
              <w:top w:w="50" w:type="dxa"/>
              <w:bottom w:w="50" w:type="dxa"/>
              <w:left w:w="80" w:type="dxa"/>
              <w:right w:w="80" w:type="dxa"/>
            </w:tcMar>
          </w:tcPr>
          <w:p>
            <w:r>
              <w:rPr>
                <w:rFonts w:ascii="Arial" w:hAnsi="Arial"/>
                <w:b/>
                <w:color w:val="2563EB"/>
                <w:sz w:val="16"/>
              </w:rPr>
              <w:t>Not built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6"/>
              </w:rPr>
              <w:t>Years Operating</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12+ years</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17+ years</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20+ years</w:t>
            </w:r>
          </w:p>
        </w:tc>
        <w:tc>
          <w:tcPr>
            <w:tcW w:type="dxa" w:w="143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8+ years</w:t>
            </w:r>
          </w:p>
        </w:tc>
        <w:tc>
          <w:tcPr>
            <w:tcW w:type="dxa" w:w="1430"/>
            <w:tcBorders>
              <w:top w:val="single" w:sz="4" w:space="0" w:color="CCCCCC"/>
              <w:left w:val="single" w:sz="4" w:space="0" w:color="CCCCCC"/>
              <w:bottom w:val="single" w:sz="4" w:space="0" w:color="CCCCCC"/>
              <w:right w:val="single" w:sz="4" w:space="0" w:color="CCCCCC"/>
            </w:tcBorders>
            <w:shd w:val="clear" w:color="auto" w:fill="EFF6FF"/>
            <w:tcMar>
              <w:top w:w="50" w:type="dxa"/>
              <w:bottom w:w="50" w:type="dxa"/>
              <w:left w:w="80" w:type="dxa"/>
              <w:right w:w="80" w:type="dxa"/>
            </w:tcMar>
          </w:tcPr>
          <w:p>
            <w:r>
              <w:rPr>
                <w:rFonts w:ascii="Arial" w:hAnsi="Arial"/>
                <w:b/>
                <w:color w:val="2563EB"/>
                <w:sz w:val="16"/>
              </w:rPr>
              <w:t>Pre-launch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color w:val="0B1220"/>
                <w:sz w:val="16"/>
              </w:rPr>
              <w:t>Funding</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Listed (PBFintech)</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Private, funded</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Private, profitable</w:t>
            </w:r>
          </w:p>
        </w:tc>
        <w:tc>
          <w:tcPr>
            <w:tcW w:type="dxa" w:w="143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Private</w:t>
            </w:r>
          </w:p>
        </w:tc>
        <w:tc>
          <w:tcPr>
            <w:tcW w:type="dxa" w:w="1430"/>
            <w:tcBorders>
              <w:top w:val="single" w:sz="4" w:space="0" w:color="CCCCCC"/>
              <w:left w:val="single" w:sz="4" w:space="0" w:color="CCCCCC"/>
              <w:bottom w:val="single" w:sz="4" w:space="0" w:color="CCCCCC"/>
              <w:right w:val="single" w:sz="4" w:space="0" w:color="CCCCCC"/>
            </w:tcBorders>
            <w:shd w:val="clear" w:color="auto" w:fill="DBEAFE"/>
            <w:tcMar>
              <w:top w:w="50" w:type="dxa"/>
              <w:bottom w:w="50" w:type="dxa"/>
              <w:left w:w="80" w:type="dxa"/>
              <w:right w:w="80" w:type="dxa"/>
            </w:tcMar>
          </w:tcPr>
          <w:p>
            <w:r>
              <w:rPr>
                <w:rFonts w:ascii="Arial" w:hAnsi="Arial"/>
                <w:b/>
                <w:color w:val="2563EB"/>
                <w:sz w:val="16"/>
              </w:rPr>
              <w:t>Bootstrapped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6"/>
              </w:rPr>
              <w:t>Annual Disbursals</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N/A (referral)</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N/A (referral)</w:t>
            </w:r>
          </w:p>
        </w:tc>
        <w:tc>
          <w:tcPr>
            <w:tcW w:type="dxa" w:w="15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Rs 1.08 lakh crore</w:t>
            </w:r>
          </w:p>
        </w:tc>
        <w:tc>
          <w:tcPr>
            <w:tcW w:type="dxa" w:w="143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6"/>
              </w:rPr>
              <w:t>Rs 8,000 crore</w:t>
            </w:r>
          </w:p>
        </w:tc>
        <w:tc>
          <w:tcPr>
            <w:tcW w:type="dxa" w:w="1430"/>
            <w:tcBorders>
              <w:top w:val="single" w:sz="4" w:space="0" w:color="CCCCCC"/>
              <w:left w:val="single" w:sz="4" w:space="0" w:color="CCCCCC"/>
              <w:bottom w:val="single" w:sz="4" w:space="0" w:color="CCCCCC"/>
              <w:right w:val="single" w:sz="4" w:space="0" w:color="CCCCCC"/>
            </w:tcBorders>
            <w:shd w:val="clear" w:color="auto" w:fill="EFF6FF"/>
            <w:tcMar>
              <w:top w:w="50" w:type="dxa"/>
              <w:bottom w:w="50" w:type="dxa"/>
              <w:left w:w="80" w:type="dxa"/>
              <w:right w:w="80" w:type="dxa"/>
            </w:tcMar>
          </w:tcPr>
          <w:p>
            <w:r>
              <w:rPr>
                <w:rFonts w:ascii="Arial" w:hAnsi="Arial"/>
                <w:b/>
                <w:color w:val="2563EB"/>
                <w:sz w:val="16"/>
              </w:rPr>
              <w:t>Rs 0</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color w:val="0B1220"/>
                <w:sz w:val="16"/>
              </w:rPr>
              <w:t>Key Differentiator</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Credit score + scale</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Breadth + OG brand</w:t>
            </w:r>
          </w:p>
        </w:tc>
        <w:tc>
          <w:tcPr>
            <w:tcW w:type="dxa" w:w="15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Offline DSA dominance</w:t>
            </w:r>
          </w:p>
        </w:tc>
        <w:tc>
          <w:tcPr>
            <w:tcW w:type="dxa" w:w="143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80" w:type="dxa"/>
              <w:right w:w="80" w:type="dxa"/>
            </w:tcMar>
          </w:tcPr>
          <w:p>
            <w:r>
              <w:rPr>
                <w:rFonts w:ascii="Arial" w:hAnsi="Arial"/>
                <w:b w:val="0"/>
                <w:color w:val="000000"/>
                <w:sz w:val="16"/>
              </w:rPr>
              <w:t>DSA commissions</w:t>
            </w:r>
          </w:p>
        </w:tc>
        <w:tc>
          <w:tcPr>
            <w:tcW w:type="dxa" w:w="1430"/>
            <w:tcBorders>
              <w:top w:val="single" w:sz="4" w:space="0" w:color="CCCCCC"/>
              <w:left w:val="single" w:sz="4" w:space="0" w:color="CCCCCC"/>
              <w:bottom w:val="single" w:sz="4" w:space="0" w:color="CCCCCC"/>
              <w:right w:val="single" w:sz="4" w:space="0" w:color="CCCCCC"/>
            </w:tcBorders>
            <w:shd w:val="clear" w:color="auto" w:fill="DBEAFE"/>
            <w:tcMar>
              <w:top w:w="50" w:type="dxa"/>
              <w:bottom w:w="50" w:type="dxa"/>
              <w:left w:w="80" w:type="dxa"/>
              <w:right w:w="80" w:type="dxa"/>
            </w:tcMar>
          </w:tcPr>
          <w:p>
            <w:r>
              <w:rPr>
                <w:rFonts w:ascii="Arial" w:hAnsi="Arial"/>
                <w:b/>
                <w:color w:val="2563EB"/>
                <w:sz w:val="16"/>
              </w:rPr>
              <w:t>AI matching (planned)</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D-01  </w:t>
            </w:r>
            <w:r>
              <w:rPr>
                <w:rFonts w:ascii="Arial" w:hAnsi="Arial"/>
                <w:b/>
                <w:color w:val="0B1220"/>
                <w:sz w:val="20"/>
              </w:rPr>
              <w:t>LeapMatch Has No Proprietary Data Moat</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LeapMatch is positioned as LeapMoney's AI-powered matching engine. However, an AI engine is only as good as the data it is trained on. Paisabazaar has 12+ years of approval and rejection data from 65+ lenders across 50M customers. LeapMoney has zero historical data. On day one, LeapMatch will necessarily be a rules-based system — not a true ML model — because no training data exists.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The "AI matching" claim will be hollow for the first 12-18 months of operation. Lenders who evaluate LeapMatch against Paisabazaar's eligibility engine will find it inferior. Marketing LeapMatch as AI before it genuinely is risks regulatory scrutiny under RBI guidelines on algorithmic accountability.</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Reframe the LeapMatch roadmap in three phases: Phase 1 (0-6 months): Rules-based matching using lender-published eligibility criteria — faster and more transparent than manual comparison; Phase 2 (6-18 months): ML-assisted matching using actual approval/rejection feedback data; Phase 3 (18+ months): Predictive AI with 100,000+ data points. Do not market Phase 1 as "AI" — market it as "intelligent matching" or "smart eligibility check".</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E2E2"/>
            <w:tcMar>
              <w:top w:w="80" w:type="dxa"/>
              <w:bottom w:w="80" w:type="dxa"/>
              <w:left w:w="160" w:type="dxa"/>
              <w:right w:w="160" w:type="dxa"/>
            </w:tcMar>
          </w:tcPr>
          <w:p>
            <w:pPr>
              <w:spacing w:before="20" w:after="20"/>
            </w:pPr>
            <w:r>
              <w:rPr>
                <w:rFonts w:ascii="Arial" w:hAnsi="Arial"/>
                <w:b/>
                <w:color w:val="DC2626"/>
                <w:sz w:val="20"/>
              </w:rPr>
              <w:t xml:space="preserve">D-02  </w:t>
            </w:r>
            <w:r>
              <w:rPr>
                <w:rFonts w:ascii="Arial" w:hAnsi="Arial"/>
                <w:b/>
                <w:color w:val="0B1220"/>
                <w:sz w:val="20"/>
              </w:rPr>
              <w:t>Andromeda Outscales LeapMoney by 1000x in DSA Network</w:t>
            </w:r>
            <w:r>
              <w:rPr>
                <w:rFonts w:ascii="Arial" w:hAnsi="Arial"/>
                <w:b/>
                <w:color w:val="DC2626"/>
                <w:sz w:val="18"/>
              </w:rPr>
              <w:t xml:space="preserve">    ● CRITICAL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Andromeda has 25,000+ DSA partners, 500+ branches, 1500+ cities, and Rs 1.08 lakh crore in annual disbursals (FY2024-25). DSAs will choose the platform with the most lenders, fastest disbursals, and highest commissions — all of which Andromeda offers at far greater scale.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Competing for the same DSA pool on commission percentage alone is a losing strategy against Andromeda's distribution advantage. Without a compelling reason to join LeapMoney over Andromeda, DSA acquisition will be slow, expensive, and yield second-tier agents.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Adopt a differentiated DSA strategy: (1) Target first-generation DSAs new to the industry — not yet locked into Andromeda; (2) Offer a LeapMoney DSA app with features Andromeda lacks: real-time tracking, digital document collection, commission transparency, instant eligibility check; (3) Focus on Tier 2/3 city DSAs underserved by Andromeda's branch-heavy model; (4) Offer a DSA SaaS CRM tool that increases DSA productivity, creating platform stickiness independent of commission rates.</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D-03  </w:t>
            </w:r>
            <w:r>
              <w:rPr>
                <w:rFonts w:ascii="Arial" w:hAnsi="Arial"/>
                <w:b/>
                <w:color w:val="0B1220"/>
                <w:sz w:val="20"/>
              </w:rPr>
              <w:t>Paisabazaar Has a 15-Year Data and Trust Advantage</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Paisabazaar commands 51.4% of India's digital loan marketplace disbursals. It is backed by PB Fintech (publicly listed). It has 50M+ registered users, free credit score monitoring (Experian partnership), and 65+ lender API integrations. Trying to out-compete Paisabazaar on its core value proposition is a multi-year journey requiring hundreds of crores of capital.</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Attempting to be a better Paisabazaar is the wrong strategy. LeapMoney does not have the capital, data, or brand recognition to dislodge Paisabazaar. Frontal competition will result in customer acquisition costs exceeding revenue.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Adopt a niche-first strategy: (1) Win Tier 2/3 cities where Paisabazaar's digital model is less effective; (2) Win the self-employed and MSME segment — underserved by Paisabazaar's salaried-optimised model; (3) Win the DSA channel — Paisabazaar primarily serves direct borrowers; (4) Win on speed — if LeapMoney can confirm eligibility in 60 seconds vs. 5 minutes on Paisabazaar, the experience moat compensates for data disadvantage in early stages.</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D-04  </w:t>
            </w:r>
            <w:r>
              <w:rPr>
                <w:rFonts w:ascii="Arial" w:hAnsi="Arial"/>
                <w:b/>
                <w:color w:val="0B1220"/>
                <w:sz w:val="20"/>
              </w:rPr>
              <w:t>No Documented Lender Coverage vs. Competitors</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LeapMoney claims "50+ banks and NBFCs". It is unclear whether these are: (a) formally contracted, (b) referral-only, (c) API-integrated, or (d) aspirational. Competitors are specific: Paisabazaar names its 65 lenders, BankBazaar names its 50 partners.</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If the "50+ banks" claim is aspirational and lenders are not formally contracted, LeapMoney risks false advertising claims, inability to track application status from non-integrated lenders, and breaking the core user experience.</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Immediately audit the lender list: Categorise as (1) API-integrated, (2) formal referral agreement, (3) informal relationship, (4) aspirational. Only claim formally contracted lenders on the website. Develop a lender integration roadmap with 10 anchor lenders for Phase 1.</w:t>
            </w:r>
          </w:p>
        </w:tc>
      </w:tr>
    </w:tbl>
    <w:p>
      <w:pPr>
        <w:spacing w:before="0" w:after="0"/>
      </w:pPr>
      <w:r>
        <w:t xml:space="preserve"> </w:t>
      </w:r>
    </w:p>
    <w:tbl>
      <w:tblPr>
        <w:tblStyle w:val="TableGrid"/>
        <w:jc w:val="left"/>
        <w:tblLook w:firstColumn="1" w:firstRow="1" w:lastColumn="0" w:lastRow="0" w:noHBand="0" w:noVBand="1" w:val="04A0"/>
        <w:tblW w:w="9360" w:type="dxa"/>
      </w:tblPr>
      <w:tblGrid>
        <w:gridCol w:w="9972"/>
      </w:tblGrid>
      <w:tr>
        <w:tc>
          <w:tcPr>
            <w:tcW w:type="dxa" w:w="9972"/>
            <w:tcBorders>
              <w:top w:val="single" w:sz="4" w:space="0" w:color="E2E8F0"/>
              <w:left w:val="single" w:sz="4" w:space="0" w:color="E2E8F0"/>
              <w:bottom w:val="single" w:sz="4" w:space="0" w:color="E2E8F0"/>
              <w:right w:val="single" w:sz="4" w:space="0" w:color="E2E8F0"/>
            </w:tcBorders>
            <w:shd w:val="clear" w:color="auto" w:fill="FEF3C7"/>
            <w:tcMar>
              <w:top w:w="80" w:type="dxa"/>
              <w:bottom w:w="80" w:type="dxa"/>
              <w:left w:w="160" w:type="dxa"/>
              <w:right w:w="160" w:type="dxa"/>
            </w:tcMar>
          </w:tcPr>
          <w:p>
            <w:pPr>
              <w:spacing w:before="20" w:after="20"/>
            </w:pPr>
            <w:r>
              <w:rPr>
                <w:rFonts w:ascii="Arial" w:hAnsi="Arial"/>
                <w:b/>
                <w:color w:val="D97706"/>
                <w:sz w:val="20"/>
              </w:rPr>
              <w:t xml:space="preserve">D-05  </w:t>
            </w:r>
            <w:r>
              <w:rPr>
                <w:rFonts w:ascii="Arial" w:hAnsi="Arial"/>
                <w:b/>
                <w:color w:val="0B1220"/>
                <w:sz w:val="20"/>
              </w:rPr>
              <w:t>No Differentiated Positioning Statement</w:t>
            </w:r>
            <w:r>
              <w:rPr>
                <w:rFonts w:ascii="Arial" w:hAnsi="Arial"/>
                <w:b/>
                <w:color w:val="D97706"/>
                <w:sz w:val="18"/>
              </w:rPr>
              <w:t xml:space="preserve">    ● HIGH</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334155"/>
                <w:sz w:val="18"/>
              </w:rPr>
              <w:t xml:space="preserve">Issue: </w:t>
            </w:r>
            <w:r>
              <w:rPr>
                <w:rFonts w:ascii="Arial" w:hAnsi="Arial"/>
                <w:b w:val="0"/>
                <w:color w:val="000000"/>
                <w:sz w:val="18"/>
              </w:rPr>
              <w:t>LeapMoney's current positioning — "Compare Loan Offers from 50+ Banks" — is structurally identical to Paisabazaar ("Compare Loans from 65+ Lenders") and BankBazaar ("Compare Loans from 50+ Banks"). There is no differentiated value proposition.</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8FAFC"/>
            <w:tcMar>
              <w:top w:w="80" w:type="dxa"/>
              <w:bottom w:w="80" w:type="dxa"/>
              <w:left w:w="160" w:type="dxa"/>
              <w:right w:w="160" w:type="dxa"/>
            </w:tcMar>
          </w:tcPr>
          <w:p>
            <w:pPr>
              <w:spacing w:before="20" w:after="20"/>
            </w:pPr>
            <w:r>
              <w:rPr>
                <w:rFonts w:ascii="Arial" w:hAnsi="Arial"/>
                <w:b/>
                <w:color w:val="334155"/>
                <w:sz w:val="18"/>
              </w:rPr>
              <w:t xml:space="preserve">Impact: </w:t>
            </w:r>
            <w:r>
              <w:rPr>
                <w:rFonts w:ascii="Arial" w:hAnsi="Arial"/>
                <w:b w:val="0"/>
                <w:color w:val="000000"/>
                <w:sz w:val="18"/>
              </w:rPr>
              <w:t>Without differentiation, LeapMoney must compete on paid acquisition against well-funded incumbents. Without a clear reason to choose LeapMoney, the default choice will be Paisabazaar. Undifferentiated positioning makes all marketing spend inefficient.</w:t>
            </w:r>
          </w:p>
        </w:tc>
      </w:tr>
      <w:tr>
        <w:tc>
          <w:tcPr>
            <w:tcW w:type="dxa" w:w="9972"/>
            <w:tcBorders>
              <w:top w:val="single" w:sz="4" w:space="0" w:color="E2E8F0"/>
              <w:left w:val="single" w:sz="4" w:space="0" w:color="E2E8F0"/>
              <w:bottom w:val="single" w:sz="4" w:space="0" w:color="E2E8F0"/>
              <w:right w:val="single" w:sz="4" w:space="0" w:color="E2E8F0"/>
            </w:tcBorders>
            <w:shd w:val="clear" w:color="auto" w:fill="FFFFFF"/>
            <w:tcMar>
              <w:top w:w="80" w:type="dxa"/>
              <w:bottom w:w="80" w:type="dxa"/>
              <w:left w:w="160" w:type="dxa"/>
              <w:right w:w="160" w:type="dxa"/>
            </w:tcMar>
          </w:tcPr>
          <w:p>
            <w:pPr>
              <w:spacing w:before="20" w:after="20"/>
            </w:pPr>
            <w:r>
              <w:rPr>
                <w:rFonts w:ascii="Arial" w:hAnsi="Arial"/>
                <w:b/>
                <w:color w:val="2563EB"/>
                <w:sz w:val="18"/>
              </w:rPr>
              <w:t xml:space="preserve">Recommendation: </w:t>
            </w:r>
            <w:r>
              <w:rPr>
                <w:rFonts w:ascii="Arial" w:hAnsi="Arial"/>
                <w:b w:val="0"/>
                <w:color w:val="000000"/>
                <w:sz w:val="18"/>
              </w:rPr>
              <w:t>Define LeapMoney's differentiated positioning for three audiences: Borrower: "Get your best loan offer in 60 seconds — no spam, no cold calls, instant result"; DSA: "The smartest DSA app in India — track every application, collect documents digitally, get paid on time"; Lender: "Qualified borrower pipeline with AI-pre-screened applicants — lower rejection rates, lower processing costs". Test in paid campaigns before brand investment.</w:t>
            </w:r>
          </w:p>
        </w:tc>
      </w:tr>
    </w:tbl>
    <w:p>
      <w:pPr>
        <w:spacing w:before="0" w:after="0"/>
      </w:pPr>
      <w:r>
        <w:t xml:space="preserve"> </w:t>
      </w:r>
    </w:p>
    <w:p>
      <w:pPr>
        <w:spacing w:before="280" w:after="120"/>
      </w:pPr>
      <w:r>
        <w:rPr>
          <w:rFonts w:ascii="Arial" w:hAnsi="Arial"/>
          <w:b/>
          <w:color w:val="2563EB"/>
          <w:sz w:val="28"/>
        </w:rPr>
        <w:t>Can LeapMatch Become a Defensible Moat?</w:t>
      </w:r>
    </w:p>
    <w:p>
      <w:pPr>
        <w:spacing w:before="40" w:after="40"/>
      </w:pPr>
      <w:r>
        <w:rPr>
          <w:rFonts w:ascii="Arial" w:hAnsi="Arial"/>
          <w:b/>
          <w:color w:val="0B1220"/>
          <w:sz w:val="20"/>
        </w:rPr>
        <w:t>Verdict: Yes — but only if the following 7 conditions are met in sequence. Meeting 1-4 is sufficient for a genuine Phase 2 moat. Skipping any condition reduces LeapMatch to a UI feature, not a product moat.</w:t>
      </w:r>
    </w:p>
    <w:p>
      <w:pPr>
        <w:spacing w:before="0" w:after="0"/>
      </w:pPr>
      <w:r>
        <w:t xml:space="preserve"> </w:t>
      </w:r>
    </w:p>
    <w:tbl>
      <w:tblPr>
        <w:jc w:val="left"/>
        <w:tblLook w:firstColumn="1" w:firstRow="1" w:lastColumn="0" w:lastRow="0" w:noHBand="0" w:noVBand="1" w:val="04A0"/>
        <w:tblW w:w="9360" w:type="dxa"/>
      </w:tblPr>
      <w:tblGrid>
        <w:gridCol w:w="400"/>
        <w:gridCol w:w="2880"/>
        <w:gridCol w:w="6080"/>
      </w:tblGrid>
      <w:tr>
        <w:tc>
          <w:tcPr>
            <w:tcW w:w="40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w:t>
            </w:r>
          </w:p>
        </w:tc>
        <w:tc>
          <w:tcPr>
            <w:tcW w:w="288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Condition</w:t>
            </w:r>
          </w:p>
        </w:tc>
        <w:tc>
          <w:tcPr>
            <w:tcW w:w="608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Why It Matters</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pPr>
              <w:jc w:val="center"/>
            </w:pPr>
            <w:r>
              <w:rPr>
                <w:rFonts w:ascii="Arial" w:hAnsi="Arial"/>
                <w:b/>
                <w:color w:val="2563EB"/>
                <w:sz w:val="17"/>
              </w:rPr>
              <w:t>1</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7"/>
              </w:rPr>
              <w:t>Bureau integrations — CIBIL, Experian, CRIF</w:t>
            </w:r>
          </w:p>
        </w:tc>
        <w:tc>
          <w:tcPr>
            <w:tcW w:type="dxa" w:w="60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7"/>
              </w:rPr>
              <w:t>Without real credit data, LeapMatch is guessing. Bureau API integration is the non-negotiable foundation.</w:t>
            </w:r>
          </w:p>
        </w:tc>
      </w:tr>
      <w:tr>
        <w:tc>
          <w:tcPr>
            <w:tcW w:type="dxa" w:w="40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pPr>
              <w:jc w:val="center"/>
            </w:pPr>
            <w:r>
              <w:rPr>
                <w:rFonts w:ascii="Arial" w:hAnsi="Arial"/>
                <w:b/>
                <w:color w:val="2563EB"/>
                <w:sz w:val="17"/>
              </w:rPr>
              <w:t>2</w:t>
            </w:r>
          </w:p>
        </w:tc>
        <w:tc>
          <w:tcPr>
            <w:tcW w:type="dxa" w:w="288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r>
              <w:rPr>
                <w:rFonts w:ascii="Arial" w:hAnsi="Arial"/>
                <w:b/>
                <w:color w:val="0B1220"/>
                <w:sz w:val="17"/>
              </w:rPr>
              <w:t>Lender policy engine — encoded per lender</w:t>
            </w:r>
          </w:p>
        </w:tc>
        <w:tc>
          <w:tcPr>
            <w:tcW w:type="dxa" w:w="608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r>
              <w:rPr>
                <w:rFonts w:ascii="Arial" w:hAnsi="Arial"/>
                <w:b w:val="0"/>
                <w:color w:val="000000"/>
                <w:sz w:val="17"/>
              </w:rPr>
              <w:t>Each lender has different eligibility criteria. LeapMatch must encode each lender's actual policy, not generic rules.</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pPr>
              <w:jc w:val="center"/>
            </w:pPr>
            <w:r>
              <w:rPr>
                <w:rFonts w:ascii="Arial" w:hAnsi="Arial"/>
                <w:b/>
                <w:color w:val="2563EB"/>
                <w:sz w:val="17"/>
              </w:rPr>
              <w:t>3</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7"/>
              </w:rPr>
              <w:t>Feedback loop — capture approval/rejection outcomes</w:t>
            </w:r>
          </w:p>
        </w:tc>
        <w:tc>
          <w:tcPr>
            <w:tcW w:type="dxa" w:w="60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7"/>
              </w:rPr>
              <w:t>ML models improve with labelled data. Every application outcome must feed back into the model from day one.</w:t>
            </w:r>
          </w:p>
        </w:tc>
      </w:tr>
      <w:tr>
        <w:tc>
          <w:tcPr>
            <w:tcW w:type="dxa" w:w="40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pPr>
              <w:jc w:val="center"/>
            </w:pPr>
            <w:r>
              <w:rPr>
                <w:rFonts w:ascii="Arial" w:hAnsi="Arial"/>
                <w:b/>
                <w:color w:val="2563EB"/>
                <w:sz w:val="17"/>
              </w:rPr>
              <w:t>4</w:t>
            </w:r>
          </w:p>
        </w:tc>
        <w:tc>
          <w:tcPr>
            <w:tcW w:type="dxa" w:w="288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r>
              <w:rPr>
                <w:rFonts w:ascii="Arial" w:hAnsi="Arial"/>
                <w:b/>
                <w:color w:val="0B1220"/>
                <w:sz w:val="17"/>
              </w:rPr>
              <w:t>Soft data signals — bank statements, GST data</w:t>
            </w:r>
          </w:p>
        </w:tc>
        <w:tc>
          <w:tcPr>
            <w:tcW w:type="dxa" w:w="608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r>
              <w:rPr>
                <w:rFonts w:ascii="Arial" w:hAnsi="Arial"/>
                <w:b w:val="0"/>
                <w:color w:val="000000"/>
                <w:sz w:val="17"/>
              </w:rPr>
              <w:t>Bureau data tells you the past. Soft data (cash flows, business turnover) predicts the future — and differentiates from Paisabazaar.</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pPr>
              <w:jc w:val="center"/>
            </w:pPr>
            <w:r>
              <w:rPr>
                <w:rFonts w:ascii="Arial" w:hAnsi="Arial"/>
                <w:b/>
                <w:color w:val="2563EB"/>
                <w:sz w:val="17"/>
              </w:rPr>
              <w:t>5</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7"/>
              </w:rPr>
              <w:t>Speed — sub-60-second eligibility result</w:t>
            </w:r>
          </w:p>
        </w:tc>
        <w:tc>
          <w:tcPr>
            <w:tcW w:type="dxa" w:w="60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7"/>
              </w:rPr>
              <w:t>Speed is a moat until competitors match it. If LeapMoney is faster, UX compensates for early data disadvantage.</w:t>
            </w:r>
          </w:p>
        </w:tc>
      </w:tr>
      <w:tr>
        <w:tc>
          <w:tcPr>
            <w:tcW w:type="dxa" w:w="40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pPr>
              <w:jc w:val="center"/>
            </w:pPr>
            <w:r>
              <w:rPr>
                <w:rFonts w:ascii="Arial" w:hAnsi="Arial"/>
                <w:b/>
                <w:color w:val="2563EB"/>
                <w:sz w:val="17"/>
              </w:rPr>
              <w:t>6</w:t>
            </w:r>
          </w:p>
        </w:tc>
        <w:tc>
          <w:tcPr>
            <w:tcW w:type="dxa" w:w="288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r>
              <w:rPr>
                <w:rFonts w:ascii="Arial" w:hAnsi="Arial"/>
                <w:b/>
                <w:color w:val="0B1220"/>
                <w:sz w:val="17"/>
              </w:rPr>
              <w:t>Pre-approval letters — formal lender commitment</w:t>
            </w:r>
          </w:p>
        </w:tc>
        <w:tc>
          <w:tcPr>
            <w:tcW w:type="dxa" w:w="6080"/>
            <w:tcBorders>
              <w:top w:val="single" w:sz="4" w:space="0" w:color="CCCCCC"/>
              <w:left w:val="single" w:sz="4" w:space="0" w:color="CCCCCC"/>
              <w:bottom w:val="single" w:sz="4" w:space="0" w:color="CCCCCC"/>
              <w:right w:val="single" w:sz="4" w:space="0" w:color="CCCCCC"/>
            </w:tcBorders>
            <w:shd w:val="clear" w:color="auto" w:fill="F0F9FF"/>
            <w:tcMar>
              <w:top w:w="50" w:type="dxa"/>
              <w:bottom w:w="50" w:type="dxa"/>
              <w:left w:w="80" w:type="dxa"/>
              <w:right w:w="80" w:type="dxa"/>
            </w:tcMar>
          </w:tcPr>
          <w:p>
            <w:r>
              <w:rPr>
                <w:rFonts w:ascii="Arial" w:hAnsi="Arial"/>
                <w:b w:val="0"/>
                <w:color w:val="000000"/>
                <w:sz w:val="17"/>
              </w:rPr>
              <w:t>A lender-backed pre-approval creates a unique conversion tool for DSAs that competitors do not offer.</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pPr>
              <w:jc w:val="center"/>
            </w:pPr>
            <w:r>
              <w:rPr>
                <w:rFonts w:ascii="Arial" w:hAnsi="Arial"/>
                <w:b/>
                <w:color w:val="2563EB"/>
                <w:sz w:val="17"/>
              </w:rPr>
              <w:t>7</w:t>
            </w:r>
          </w:p>
        </w:tc>
        <w:tc>
          <w:tcPr>
            <w:tcW w:type="dxa" w:w="28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color w:val="0B1220"/>
                <w:sz w:val="17"/>
              </w:rPr>
              <w:t>Model explainability — why you were matched</w:t>
            </w:r>
          </w:p>
        </w:tc>
        <w:tc>
          <w:tcPr>
            <w:tcW w:type="dxa" w:w="608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80" w:type="dxa"/>
              <w:right w:w="80" w:type="dxa"/>
            </w:tcMar>
          </w:tcPr>
          <w:p>
            <w:r>
              <w:rPr>
                <w:rFonts w:ascii="Arial" w:hAnsi="Arial"/>
                <w:b w:val="0"/>
                <w:color w:val="000000"/>
                <w:sz w:val="17"/>
              </w:rPr>
              <w:t>RBI's algorithmic fairness guidance will require explainability. Building it in from the start creates regulatory trust and differentiation.</w:t>
            </w:r>
          </w:p>
        </w:tc>
      </w:tr>
    </w:tbl>
    <w:p>
      <w:pPr>
        <w:spacing w:before="0" w:after="0"/>
      </w:pPr>
      <w:r>
        <w:t xml:space="preserve"> </w:t>
      </w:r>
    </w:p>
    <w:p>
      <w:pPr>
        <w:spacing w:before="0" w:after="0"/>
      </w:pPr>
      <w:r>
        <w:br w:type="page"/>
      </w:r>
    </w:p>
    <w:p>
      <w:pPr>
        <w:pBdr>
          <w:bottom w:val="single" w:sz="6" w:space="2" w:color="2563EB"/>
        </w:pBdr>
        <w:spacing w:before="360" w:after="160"/>
      </w:pPr>
      <w:r>
        <w:rPr>
          <w:rFonts w:ascii="Arial" w:hAnsi="Arial"/>
          <w:b/>
          <w:color w:val="0B1220"/>
          <w:sz w:val="40"/>
        </w:rPr>
        <w:t>Phase E — Recommendations</w:t>
      </w:r>
    </w:p>
    <w:p>
      <w:pPr>
        <w:spacing w:before="40" w:after="40"/>
      </w:pPr>
      <w:r>
        <w:rPr>
          <w:rFonts w:ascii="Arial" w:hAnsi="Arial"/>
          <w:b w:val="0"/>
          <w:color w:val="000000"/>
          <w:sz w:val="20"/>
        </w:rPr>
        <w:t>The following recommendations are prioritised for founder review. No implementation should begin until the founder approves this audit. Recommendations are sequenced by dependency and urgency.</w:t>
      </w:r>
    </w:p>
    <w:p>
      <w:pPr>
        <w:pBdr>
          <w:bottom w:val="single" w:sz="4" w:space="1" w:color="E2E8F0"/>
        </w:pBdr>
        <w:spacing w:before="80" w:after="80"/>
      </w:pPr>
    </w:p>
    <w:p>
      <w:pPr>
        <w:spacing w:before="280" w:after="120"/>
      </w:pPr>
      <w:r>
        <w:rPr>
          <w:rFonts w:ascii="Arial" w:hAnsi="Arial"/>
          <w:b/>
          <w:color w:val="2563EB"/>
          <w:sz w:val="28"/>
        </w:rPr>
        <w:t>Tier 1 — Immediate Actions (Before Any Development)</w:t>
      </w:r>
    </w:p>
    <w:p>
      <w:pPr>
        <w:spacing w:before="40" w:after="40"/>
      </w:pPr>
      <w:r>
        <w:rPr>
          <w:rFonts w:ascii="Arial" w:hAnsi="Arial"/>
          <w:b/>
          <w:color w:val="DC2626"/>
          <w:sz w:val="20"/>
        </w:rPr>
        <w:t>These must be completed before a single line of production code is written:</w:t>
      </w:r>
    </w:p>
    <w:p>
      <w:pPr>
        <w:spacing w:before="0" w:after="0"/>
      </w:pPr>
      <w:r>
        <w:t xml:space="preserve"> </w:t>
      </w:r>
    </w:p>
    <w:p>
      <w:pPr>
        <w:pStyle w:val="ListNumber"/>
        <w:spacing w:before="40" w:after="40"/>
      </w:pPr>
      <w:r>
        <w:rPr>
          <w:rFonts w:ascii="Arial" w:hAnsi="Arial"/>
          <w:color w:val="000000"/>
          <w:sz w:val="20"/>
        </w:rPr>
        <w:t>Fix the OG image on leapmoney.net immediately. This is a 10-minute change. Replace the Lovable CDN image with a branded LeapMoney image (1200x630px). This is a P0 fix with zero dependencies.</w:t>
      </w:r>
    </w:p>
    <w:p>
      <w:pPr>
        <w:pStyle w:val="ListNumber"/>
        <w:spacing w:before="40" w:after="40"/>
      </w:pPr>
      <w:r>
        <w:rPr>
          <w:rFonts w:ascii="Arial" w:hAnsi="Arial"/>
          <w:color w:val="000000"/>
          <w:sz w:val="20"/>
        </w:rPr>
        <w:t>Save and version-control the BRD. Confirm the founder has the 102-page BRD. Establish persistent document storage (Google Drive or Notion). All future session outputs must be saved to a connected folder.</w:t>
      </w:r>
    </w:p>
    <w:p>
      <w:pPr>
        <w:pStyle w:val="ListNumber"/>
        <w:spacing w:before="40" w:after="40"/>
      </w:pPr>
      <w:r>
        <w:rPr>
          <w:rFonts w:ascii="Arial" w:hAnsi="Arial"/>
          <w:color w:val="000000"/>
          <w:sz w:val="20"/>
        </w:rPr>
        <w:t>Produce the LeapMatch Technical Specification. Before any UI is designed for LeapMatch, the PRD, algorithm design, input/output schema, and bureau integration requirements must exist.</w:t>
      </w:r>
    </w:p>
    <w:p>
      <w:pPr>
        <w:pStyle w:val="ListNumber"/>
        <w:spacing w:before="40" w:after="40"/>
      </w:pPr>
      <w:r>
        <w:rPr>
          <w:rFonts w:ascii="Arial" w:hAnsi="Arial"/>
          <w:color w:val="000000"/>
          <w:sz w:val="20"/>
        </w:rPr>
        <w:t>Produce the Regulatory Compliance Blueprint. Engage a fintech compliance advisor to validate RBI, DPDP, and FAIR Practices requirements before any data collection begins.</w:t>
      </w:r>
    </w:p>
    <w:p>
      <w:pPr>
        <w:pStyle w:val="ListNumber"/>
        <w:spacing w:before="40" w:after="40"/>
      </w:pPr>
      <w:r>
        <w:rPr>
          <w:rFonts w:ascii="Arial" w:hAnsi="Arial"/>
          <w:color w:val="000000"/>
          <w:sz w:val="20"/>
        </w:rPr>
        <w:t>Audit and confirm the lender list. Remove "50+ banks" from the website unless 50+ formal agreements are signed. Replace with accurate count or a qualitative claim.</w:t>
      </w:r>
    </w:p>
    <w:p>
      <w:pPr>
        <w:spacing w:before="0" w:after="0"/>
      </w:pPr>
      <w:r>
        <w:t xml:space="preserve"> </w:t>
      </w:r>
    </w:p>
    <w:p>
      <w:pPr>
        <w:spacing w:before="280" w:after="120"/>
      </w:pPr>
      <w:r>
        <w:rPr>
          <w:rFonts w:ascii="Arial" w:hAnsi="Arial"/>
          <w:b/>
          <w:color w:val="2563EB"/>
          <w:sz w:val="28"/>
        </w:rPr>
        <w:t>Tier 2 — Pre-Launch Essentials (Sprint 0, Weeks 1-4)</w:t>
      </w:r>
    </w:p>
    <w:p>
      <w:pPr>
        <w:spacing w:before="40" w:after="40"/>
      </w:pPr>
      <w:r>
        <w:rPr>
          <w:rFonts w:ascii="Arial" w:hAnsi="Arial"/>
          <w:b/>
          <w:color w:val="D97706"/>
          <w:sz w:val="20"/>
        </w:rPr>
        <w:t>These must be completed before the MVP launches to any external users:</w:t>
      </w:r>
    </w:p>
    <w:p>
      <w:pPr>
        <w:spacing w:before="0" w:after="0"/>
      </w:pPr>
      <w:r>
        <w:t xml:space="preserve"> </w:t>
      </w:r>
    </w:p>
    <w:p>
      <w:pPr>
        <w:pStyle w:val="ListNumber"/>
        <w:spacing w:before="40" w:after="40"/>
      </w:pPr>
      <w:r>
        <w:rPr>
          <w:rFonts w:ascii="Arial" w:hAnsi="Arial"/>
          <w:color w:val="000000"/>
          <w:sz w:val="20"/>
        </w:rPr>
        <w:t>Migrate the production website to Next.js with SSR/SSG. The Lovable prototype must not be the production website. This is a prerequisite for all SEO investment.</w:t>
      </w:r>
    </w:p>
    <w:p>
      <w:pPr>
        <w:pStyle w:val="ListNumber"/>
        <w:spacing w:before="40" w:after="40"/>
      </w:pPr>
      <w:r>
        <w:rPr>
          <w:rFonts w:ascii="Arial" w:hAnsi="Arial"/>
          <w:color w:val="000000"/>
          <w:sz w:val="20"/>
        </w:rPr>
        <w:t>Implement page-level SEO on the Next.js site. Unique meta-titles and descriptions per loan product page, Schema.org structured data, XML sitemap, canonical tags.</w:t>
      </w:r>
    </w:p>
    <w:p>
      <w:pPr>
        <w:pStyle w:val="ListNumber"/>
        <w:spacing w:before="40" w:after="40"/>
      </w:pPr>
      <w:r>
        <w:rPr>
          <w:rFonts w:ascii="Arial" w:hAnsi="Arial"/>
          <w:color w:val="000000"/>
          <w:sz w:val="20"/>
        </w:rPr>
        <w:t>Build the data architecture. Event taxonomy, data warehouse schema, and analytics dashboard must be in place before launch to capture the data LeapMatch will need.</w:t>
      </w:r>
    </w:p>
    <w:p>
      <w:pPr>
        <w:pStyle w:val="ListNumber"/>
        <w:spacing w:before="40" w:after="40"/>
      </w:pPr>
      <w:r>
        <w:rPr>
          <w:rFonts w:ascii="Arial" w:hAnsi="Arial"/>
          <w:color w:val="000000"/>
          <w:sz w:val="20"/>
        </w:rPr>
        <w:t>Create the 4 missing skills: leapmoney-leapmatch, leapmoney-compliance-risk, leapmoney-data-analytics, leapmoney-mobile-engineer.</w:t>
      </w:r>
    </w:p>
    <w:p>
      <w:pPr>
        <w:pStyle w:val="ListNumber"/>
        <w:spacing w:before="40" w:after="40"/>
      </w:pPr>
      <w:r>
        <w:rPr>
          <w:rFonts w:ascii="Arial" w:hAnsi="Arial"/>
          <w:color w:val="000000"/>
          <w:sz w:val="20"/>
        </w:rPr>
        <w:t>Deprecate leapmoney-ui-ux-designer. Consolidate into uiux-direction. Rewrite leapmoney-fintech-architect, leapmoney-cto, and leapmoney-seo-growth-strategist with LeapMoney-specific context.</w:t>
      </w:r>
    </w:p>
    <w:p>
      <w:pPr>
        <w:pStyle w:val="ListNumber"/>
        <w:spacing w:before="40" w:after="40"/>
      </w:pPr>
      <w:r>
        <w:rPr>
          <w:rFonts w:ascii="Arial" w:hAnsi="Arial"/>
          <w:color w:val="000000"/>
          <w:sz w:val="20"/>
        </w:rPr>
        <w:t>Design the Grievance Redressal mechanism and appoint a GRO. This is an RBI requirement and must be published on the website before accepting any user data.</w:t>
      </w:r>
    </w:p>
    <w:p>
      <w:pPr>
        <w:spacing w:before="0" w:after="0"/>
      </w:pPr>
      <w:r>
        <w:t xml:space="preserve"> </w:t>
      </w:r>
    </w:p>
    <w:p>
      <w:pPr>
        <w:spacing w:before="280" w:after="120"/>
      </w:pPr>
      <w:r>
        <w:rPr>
          <w:rFonts w:ascii="Arial" w:hAnsi="Arial"/>
          <w:b/>
          <w:color w:val="2563EB"/>
          <w:sz w:val="28"/>
        </w:rPr>
        <w:t>Tier 3 — Strategic Positioning (Months 1-3)</w:t>
      </w:r>
    </w:p>
    <w:p>
      <w:pPr>
        <w:spacing w:before="40" w:after="40"/>
      </w:pPr>
      <w:r>
        <w:rPr>
          <w:rFonts w:ascii="Arial" w:hAnsi="Arial"/>
          <w:b/>
          <w:color w:val="2563EB"/>
          <w:sz w:val="20"/>
        </w:rPr>
        <w:t>These are strategic decisions that will define LeapMoney's trajectory:</w:t>
      </w:r>
    </w:p>
    <w:p>
      <w:pPr>
        <w:spacing w:before="0" w:after="0"/>
      </w:pPr>
      <w:r>
        <w:t xml:space="preserve"> </w:t>
      </w:r>
    </w:p>
    <w:p>
      <w:pPr>
        <w:pStyle w:val="ListNumber"/>
        <w:spacing w:before="40" w:after="40"/>
      </w:pPr>
      <w:r>
        <w:rPr>
          <w:rFonts w:ascii="Arial" w:hAnsi="Arial"/>
          <w:color w:val="000000"/>
          <w:sz w:val="20"/>
        </w:rPr>
        <w:t>Define and test LeapMoney's differentiated positioning statement for each audience (borrower, DSA, lender). Do not finalise brand investment until a position is validated in paid campaigns.</w:t>
      </w:r>
    </w:p>
    <w:p>
      <w:pPr>
        <w:pStyle w:val="ListNumber"/>
        <w:spacing w:before="40" w:after="40"/>
      </w:pPr>
      <w:r>
        <w:rPr>
          <w:rFonts w:ascii="Arial" w:hAnsi="Arial"/>
          <w:color w:val="000000"/>
          <w:sz w:val="20"/>
        </w:rPr>
        <w:t>Adopt a niche-first competitive strategy. Win Tier 2/3 cities and the self-employed/MSME segment first. Do not attempt to out-compete Paisabazaar on their home turf in Phase 1.</w:t>
      </w:r>
    </w:p>
    <w:p>
      <w:pPr>
        <w:pStyle w:val="ListNumber"/>
        <w:spacing w:before="40" w:after="40"/>
      </w:pPr>
      <w:r>
        <w:rPr>
          <w:rFonts w:ascii="Arial" w:hAnsi="Arial"/>
          <w:color w:val="000000"/>
          <w:sz w:val="20"/>
        </w:rPr>
        <w:t>Build the DSA differentiation strategy. The LeapMoney DSA app must offer features Andromeda cannot: real-time tracking, digital document collection, commission transparency. This is the DSA acquisition moat.</w:t>
      </w:r>
    </w:p>
    <w:p>
      <w:pPr>
        <w:pStyle w:val="ListNumber"/>
        <w:spacing w:before="40" w:after="40"/>
      </w:pPr>
      <w:r>
        <w:rPr>
          <w:rFonts w:ascii="Arial" w:hAnsi="Arial"/>
          <w:color w:val="000000"/>
          <w:sz w:val="20"/>
        </w:rPr>
        <w:t>Define the LeapMatch phased roadmap: Phase 1 rules-based (not marketed as AI), Phase 2 ML-assisted after 6 months of data, Phase 3 predictive AI at 18 months.</w:t>
      </w:r>
    </w:p>
    <w:p>
      <w:pPr>
        <w:pStyle w:val="ListNumber"/>
        <w:spacing w:before="40" w:after="40"/>
      </w:pPr>
      <w:r>
        <w:rPr>
          <w:rFonts w:ascii="Arial" w:hAnsi="Arial"/>
          <w:color w:val="000000"/>
          <w:sz w:val="20"/>
        </w:rPr>
        <w:t>Initiate bureau integration negotiations (CIBIL, Experian, CRIF) immediately — API agreements take 3-6 months to finalise.</w:t>
      </w:r>
    </w:p>
    <w:p>
      <w:pPr>
        <w:pStyle w:val="ListNumber"/>
        <w:spacing w:before="40" w:after="40"/>
      </w:pPr>
      <w:r>
        <w:rPr>
          <w:rFonts w:ascii="Arial" w:hAnsi="Arial"/>
          <w:color w:val="000000"/>
          <w:sz w:val="20"/>
        </w:rPr>
        <w:t>Define the Revenue Model document before the CRM commission module is designed.</w:t>
      </w:r>
    </w:p>
    <w:p>
      <w:pPr>
        <w:spacing w:before="0" w:after="0"/>
      </w:pPr>
      <w:r>
        <w:t xml:space="preserve"> </w:t>
      </w:r>
    </w:p>
    <w:p>
      <w:pPr>
        <w:spacing w:before="280" w:after="120"/>
      </w:pPr>
      <w:r>
        <w:rPr>
          <w:rFonts w:ascii="Arial" w:hAnsi="Arial"/>
          <w:b/>
          <w:color w:val="2563EB"/>
          <w:sz w:val="28"/>
        </w:rPr>
        <w:t>Tier 4 — Infrastructure &amp; Quality (Ongoing)</w:t>
      </w:r>
    </w:p>
    <w:p>
      <w:pPr>
        <w:spacing w:before="0" w:after="0"/>
      </w:pPr>
      <w:r>
        <w:t xml:space="preserve"> </w:t>
      </w:r>
    </w:p>
    <w:p>
      <w:pPr>
        <w:pStyle w:val="ListNumber"/>
        <w:spacing w:before="40" w:after="40"/>
      </w:pPr>
      <w:r>
        <w:rPr>
          <w:rFonts w:ascii="Arial" w:hAnsi="Arial"/>
          <w:color w:val="000000"/>
          <w:sz w:val="20"/>
        </w:rPr>
        <w:t>Produce the Infrastructure Architecture Document and define the DevOps strategy before any cloud resources are provisioned.</w:t>
      </w:r>
    </w:p>
    <w:p>
      <w:pPr>
        <w:pStyle w:val="ListNumber"/>
        <w:spacing w:before="40" w:after="40"/>
      </w:pPr>
      <w:r>
        <w:rPr>
          <w:rFonts w:ascii="Arial" w:hAnsi="Arial"/>
          <w:color w:val="000000"/>
          <w:sz w:val="20"/>
        </w:rPr>
        <w:t>Define the QA Strategy before the engineering team writes the first test. Choose frameworks and set quality gates.</w:t>
      </w:r>
    </w:p>
    <w:p>
      <w:pPr>
        <w:pStyle w:val="ListNumber"/>
        <w:spacing w:before="40" w:after="40"/>
      </w:pPr>
      <w:r>
        <w:rPr>
          <w:rFonts w:ascii="Arial" w:hAnsi="Arial"/>
          <w:color w:val="000000"/>
          <w:sz w:val="20"/>
        </w:rPr>
        <w:t>Design the Fraud Prevention Framework before the first borrower submits a PAN number.</w:t>
      </w:r>
    </w:p>
    <w:p>
      <w:pPr>
        <w:pStyle w:val="ListNumber"/>
        <w:spacing w:before="40" w:after="40"/>
      </w:pPr>
      <w:r>
        <w:rPr>
          <w:rFonts w:ascii="Arial" w:hAnsi="Arial"/>
          <w:color w:val="000000"/>
          <w:sz w:val="20"/>
        </w:rPr>
        <w:t>Define the Mobile App Strategy and timeline. If a native app is planned for Phase 2, engineering must make architectural decisions in Phase 1 to support it.</w:t>
      </w:r>
    </w:p>
    <w:p>
      <w:pPr>
        <w:pStyle w:val="ListNumber"/>
        <w:spacing w:before="40" w:after="40"/>
      </w:pPr>
      <w:r>
        <w:rPr>
          <w:rFonts w:ascii="Arial" w:hAnsi="Arial"/>
          <w:color w:val="000000"/>
          <w:sz w:val="20"/>
        </w:rPr>
        <w:t>Design the Customer Support Framework with SLAs, channels, and CRM integration before any external users are onboarded.</w:t>
      </w:r>
    </w:p>
    <w:p>
      <w:pPr>
        <w:spacing w:before="0" w:after="0"/>
      </w:pPr>
      <w:r>
        <w:t xml:space="preserve"> </w:t>
      </w:r>
    </w:p>
    <w:p>
      <w:pPr>
        <w:spacing w:before="280" w:after="120"/>
      </w:pPr>
      <w:r>
        <w:rPr>
          <w:rFonts w:ascii="Arial" w:hAnsi="Arial"/>
          <w:b/>
          <w:color w:val="2563EB"/>
          <w:sz w:val="28"/>
        </w:rPr>
        <w:t>Founder Decision Points</w:t>
      </w:r>
    </w:p>
    <w:p>
      <w:pPr>
        <w:spacing w:before="40" w:after="40"/>
      </w:pPr>
      <w:r>
        <w:rPr>
          <w:rFonts w:ascii="Arial" w:hAnsi="Arial"/>
          <w:b/>
          <w:color w:val="0B1220"/>
          <w:sz w:val="20"/>
        </w:rPr>
        <w:t>The following decisions require founder input before the team can proceed:</w:t>
      </w:r>
    </w:p>
    <w:p>
      <w:pPr>
        <w:spacing w:before="0" w:after="0"/>
      </w:pPr>
      <w:r>
        <w:t xml:space="preserve"> </w:t>
      </w:r>
    </w:p>
    <w:tbl>
      <w:tblPr>
        <w:jc w:val="left"/>
        <w:tblLook w:firstColumn="1" w:firstRow="1" w:lastColumn="0" w:lastRow="0" w:noHBand="0" w:noVBand="1" w:val="04A0"/>
        <w:tblW w:w="9360" w:type="dxa"/>
      </w:tblPr>
      <w:tblGrid>
        <w:gridCol w:w="400"/>
        <w:gridCol w:w="4480"/>
        <w:gridCol w:w="4480"/>
      </w:tblGrid>
      <w:tr>
        <w:tc>
          <w:tcPr>
            <w:tcW w:w="40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w:t>
            </w:r>
          </w:p>
        </w:tc>
        <w:tc>
          <w:tcPr>
            <w:tcW w:w="448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Decision</w:t>
            </w:r>
          </w:p>
        </w:tc>
        <w:tc>
          <w:tcPr>
            <w:tcW w:w="4480" w:type="dxa"/>
            <w:tcBorders>
              <w:top w:val="single" w:sz="4" w:space="0" w:color="CCCCCC"/>
              <w:left w:val="single" w:sz="4" w:space="0" w:color="CCCCCC"/>
              <w:bottom w:val="single" w:sz="4" w:space="0" w:color="CCCCCC"/>
              <w:right w:val="single" w:sz="4" w:space="0" w:color="CCCCCC"/>
            </w:tcBorders>
            <w:shd w:val="clear" w:color="auto" w:fill="0B1220"/>
            <w:tcMar>
              <w:top w:w="80" w:type="dxa"/>
              <w:bottom w:w="80" w:type="dxa"/>
              <w:left w:w="120" w:type="dxa"/>
              <w:right w:w="120" w:type="dxa"/>
            </w:tcMar>
          </w:tcPr>
          <w:p>
            <w:r>
              <w:rPr>
                <w:rFonts w:ascii="Arial" w:hAnsi="Arial"/>
                <w:b/>
                <w:color w:val="FFFFFF"/>
                <w:sz w:val="18"/>
              </w:rPr>
              <w:t>Options</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2563EB"/>
                <w:sz w:val="17"/>
              </w:rPr>
              <w:t>1</w:t>
            </w:r>
          </w:p>
        </w:tc>
        <w:tc>
          <w:tcPr>
            <w:tcW w:type="dxa" w:w="448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LeapMatch Phase 1 positioning</w:t>
            </w:r>
          </w:p>
        </w:tc>
        <w:tc>
          <w:tcPr>
            <w:tcW w:type="dxa" w:w="448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Market as "rules-based intelligent matching" vs. "AI matching" — regulatory and credibility implications differ significantly.</w:t>
            </w:r>
          </w:p>
        </w:tc>
      </w:tr>
      <w:tr>
        <w:tc>
          <w:tcPr>
            <w:tcW w:type="dxa" w:w="4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2563EB"/>
                <w:sz w:val="17"/>
              </w:rPr>
              <w:t>2</w:t>
            </w:r>
          </w:p>
        </w:tc>
        <w:tc>
          <w:tcPr>
            <w:tcW w:type="dxa" w:w="448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DSA-first vs. borrower-first GTM</w:t>
            </w:r>
          </w:p>
        </w:tc>
        <w:tc>
          <w:tcPr>
            <w:tcW w:type="dxa" w:w="448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Acquire DSAs first (B2B2C) or go direct-to-borrower (B2C). Capital requirements and timeline differ by 2-3x.</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2563EB"/>
                <w:sz w:val="17"/>
              </w:rPr>
              <w:t>3</w:t>
            </w:r>
          </w:p>
        </w:tc>
        <w:tc>
          <w:tcPr>
            <w:tcW w:type="dxa" w:w="448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Build vs. buy for fraud detection</w:t>
            </w:r>
          </w:p>
        </w:tc>
        <w:tc>
          <w:tcPr>
            <w:tcW w:type="dxa" w:w="448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Build in-house vs. integrate Signzy, Seon, or Sardine. Cost, speed, and accuracy tradeoffs.</w:t>
            </w:r>
          </w:p>
        </w:tc>
      </w:tr>
      <w:tr>
        <w:tc>
          <w:tcPr>
            <w:tcW w:type="dxa" w:w="4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2563EB"/>
                <w:sz w:val="17"/>
              </w:rPr>
              <w:t>4</w:t>
            </w:r>
          </w:p>
        </w:tc>
        <w:tc>
          <w:tcPr>
            <w:tcW w:type="dxa" w:w="448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Mobile app timeline</w:t>
            </w:r>
          </w:p>
        </w:tc>
        <w:tc>
          <w:tcPr>
            <w:tcW w:type="dxa" w:w="448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Phase 1 (at launch) vs. Phase 2 (6 months post-launch). Affects engineering team composition and budget.</w:t>
            </w:r>
          </w:p>
        </w:tc>
      </w:tr>
      <w:tr>
        <w:tc>
          <w:tcPr>
            <w:tcW w:type="dxa" w:w="40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pPr>
              <w:jc w:val="center"/>
            </w:pPr>
            <w:r>
              <w:rPr>
                <w:rFonts w:ascii="Arial" w:hAnsi="Arial"/>
                <w:b/>
                <w:color w:val="2563EB"/>
                <w:sz w:val="17"/>
              </w:rPr>
              <w:t>5</w:t>
            </w:r>
          </w:p>
        </w:tc>
        <w:tc>
          <w:tcPr>
            <w:tcW w:type="dxa" w:w="448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color w:val="0B1220"/>
                <w:sz w:val="17"/>
              </w:rPr>
              <w:t>Lender partnership strategy</w:t>
            </w:r>
          </w:p>
        </w:tc>
        <w:tc>
          <w:tcPr>
            <w:tcW w:type="dxa" w:w="4480"/>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left w:w="120" w:type="dxa"/>
              <w:right w:w="120" w:type="dxa"/>
            </w:tcMar>
          </w:tcPr>
          <w:p>
            <w:r>
              <w:rPr>
                <w:rFonts w:ascii="Arial" w:hAnsi="Arial"/>
                <w:b w:val="0"/>
                <w:color w:val="000000"/>
                <w:sz w:val="17"/>
              </w:rPr>
              <w:t>API-first (higher cost, better UX) vs. referral-first (lower cost, lower UX) for initial lender onboarding.</w:t>
            </w:r>
          </w:p>
        </w:tc>
      </w:tr>
      <w:tr>
        <w:tc>
          <w:tcPr>
            <w:tcW w:type="dxa" w:w="40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pPr>
              <w:jc w:val="center"/>
            </w:pPr>
            <w:r>
              <w:rPr>
                <w:rFonts w:ascii="Arial" w:hAnsi="Arial"/>
                <w:b/>
                <w:color w:val="2563EB"/>
                <w:sz w:val="17"/>
              </w:rPr>
              <w:t>6</w:t>
            </w:r>
          </w:p>
        </w:tc>
        <w:tc>
          <w:tcPr>
            <w:tcW w:type="dxa" w:w="448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color w:val="0B1220"/>
                <w:sz w:val="17"/>
              </w:rPr>
              <w:t>Geographic focus at launch</w:t>
            </w:r>
          </w:p>
        </w:tc>
        <w:tc>
          <w:tcPr>
            <w:tcW w:type="dxa" w:w="4480"/>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20" w:type="dxa"/>
              <w:right w:w="120" w:type="dxa"/>
            </w:tcMar>
          </w:tcPr>
          <w:p>
            <w:r>
              <w:rPr>
                <w:rFonts w:ascii="Arial" w:hAnsi="Arial"/>
                <w:b w:val="0"/>
                <w:color w:val="000000"/>
                <w:sz w:val="17"/>
              </w:rPr>
              <w:t>Pan-India vs. starting with 5-10 cities and expanding. Affects marketing budget and DSA onboarding strategy.</w:t>
            </w:r>
          </w:p>
        </w:tc>
      </w:tr>
    </w:tbl>
    <w:p>
      <w:pPr>
        <w:spacing w:before="0" w:after="0"/>
      </w:pPr>
      <w:r>
        <w:t xml:space="preserve"> </w:t>
      </w:r>
    </w:p>
    <w:p>
      <w:pPr>
        <w:spacing w:before="0" w:after="0"/>
      </w:pPr>
      <w:r>
        <w:t xml:space="preserve"> </w:t>
      </w:r>
    </w:p>
    <w:p>
      <w:pPr>
        <w:spacing w:before="0" w:after="0"/>
      </w:pPr>
      <w:r>
        <w:t xml:space="preserve"> </w:t>
      </w:r>
    </w:p>
    <w:p>
      <w:pPr>
        <w:pBdr>
          <w:bottom w:val="single" w:sz="4" w:space="1" w:color="E2E8F0"/>
        </w:pBdr>
        <w:spacing w:before="80" w:after="80"/>
      </w:pPr>
    </w:p>
    <w:p>
      <w:pPr>
        <w:spacing w:before="0" w:after="0"/>
      </w:pPr>
      <w:r>
        <w:t xml:space="preserve"> </w:t>
      </w:r>
    </w:p>
    <w:p>
      <w:pPr>
        <w:spacing w:before="60" w:after="60"/>
        <w:jc w:val="left"/>
      </w:pPr>
      <w:r>
        <w:rPr>
          <w:rFonts w:ascii="Arial" w:hAnsi="Arial"/>
          <w:b/>
          <w:i/>
          <w:color w:val="DC2626"/>
          <w:sz w:val="28"/>
        </w:rPr>
        <w:t>AWAITING FOUNDER APPROVAL BEFORE ANY IMPLEMENTATION</w:t>
      </w:r>
    </w:p>
    <w:p>
      <w:pPr>
        <w:spacing w:before="60" w:after="60"/>
        <w:jc w:val="center"/>
      </w:pPr>
      <w:r>
        <w:rPr>
          <w:rFonts w:ascii="Arial" w:hAnsi="Arial"/>
          <w:b w:val="0"/>
          <w:i w:val="0"/>
          <w:color w:val="94A3B8"/>
          <w:sz w:val="20"/>
        </w:rPr>
        <w:t>No code. No redesign. No modifications. This document is for review only.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