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t xml:space="preserve"> </w:t>
      </w:r>
    </w:p>
    <w:p>
      <w:pPr>
        <w:spacing w:before="0" w:after="0"/>
      </w:pPr>
      <w:r>
        <w:t xml:space="preserve"> </w:t>
      </w:r>
    </w:p>
    <w:p>
      <w:pPr>
        <w:spacing w:before="0" w:after="0"/>
      </w:pPr>
      <w:r>
        <w:t xml:space="preserve"> </w:t>
      </w:r>
    </w:p>
    <w:p>
      <w:pPr>
        <w:jc w:val="center"/>
      </w:pPr>
      <w:r>
        <w:rPr>
          <w:rFonts w:ascii="Arial" w:hAnsi="Arial"/>
          <w:b/>
          <w:color w:val="0B1220"/>
          <w:sz w:val="72"/>
        </w:rPr>
        <w:t>LeapMatch™</w:t>
      </w:r>
    </w:p>
    <w:p>
      <w:pPr>
        <w:jc w:val="center"/>
      </w:pPr>
      <w:r>
        <w:rPr>
          <w:rFonts w:ascii="Arial" w:hAnsi="Arial"/>
          <w:b/>
          <w:color w:val="2563EB"/>
          <w:sz w:val="32"/>
        </w:rPr>
        <w:t>AI-Powered Loan Matching Engine</w:t>
      </w:r>
    </w:p>
    <w:p>
      <w:pPr>
        <w:jc w:val="center"/>
      </w:pPr>
      <w:r>
        <w:rPr>
          <w:rFonts w:ascii="Arial" w:hAnsi="Arial"/>
          <w:b w:val="0"/>
          <w:color w:val="94A3B8"/>
          <w:sz w:val="22"/>
        </w:rPr>
        <w:t>Phase 1  ·  Vision &amp; Positioning  ·  Version 1.1</w:t>
      </w:r>
    </w:p>
    <w:p>
      <w:pPr>
        <w:spacing w:before="0" w:after="0"/>
      </w:pPr>
      <w:r>
        <w:t xml:space="preserve"> </w:t>
      </w:r>
    </w:p>
    <w:p>
      <w:pPr>
        <w:spacing w:before="60" w:after="60"/>
        <w:pBdr>
          <w:bottom w:val="single" w:sz="4" w:space="1" w:color="E2E8F0"/>
        </w:pBdr>
      </w:pPr>
    </w:p>
    <w:p>
      <w:pPr>
        <w:spacing w:before="0" w:after="0"/>
      </w:pPr>
      <w:r>
        <w:t xml:space="preserve"> </w:t>
      </w:r>
    </w:p>
    <w:p>
      <w:pPr>
        <w:jc w:val="center"/>
      </w:pPr>
      <w:r>
        <w:rPr>
          <w:rFonts w:ascii="Arial" w:hAnsi="Arial"/>
          <w:color w:val="94A3B8"/>
          <w:sz w:val="18"/>
        </w:rPr>
        <w:t>v1.1  ·  June 2026  ·  CONFIDENTIAL  ·  FOUNDER APPROVED — UPDATED</w:t>
      </w:r>
    </w:p>
    <w:p>
      <w:pPr>
        <w:spacing w:before="0" w:after="0"/>
      </w:pPr>
      <w:r>
        <w:t xml:space="preserve"> </w:t>
      </w:r>
    </w:p>
    <w:p>
      <w:pPr>
        <w:spacing w:before="0" w:after="0"/>
      </w:pPr>
      <w:r>
        <w:t xml:space="preserve"> </w:t>
      </w:r>
    </w:p>
    <w:tbl>
      <w:tblPr>
        <w:jc w:val="center"/>
        <w:tblLook w:firstColumn="1" w:firstRow="1" w:lastColumn="0" w:lastRow="0" w:noHBand="0" w:noVBand="1" w:val="04A0"/>
        <w:tblW w:w="8100" w:type="dxa"/>
      </w:tblPr>
      <w:tblGrid>
        <w:gridCol w:w="2700"/>
        <w:gridCol w:w="2700"/>
        <w:gridCol w:w="2700"/>
      </w:tblGrid>
      <w:tr>
        <w:tc>
          <w:tcPr>
            <w:tcW w:w="27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40" w:type="dxa"/>
              <w:right w:w="140" w:type="dxa"/>
            </w:tcMar>
          </w:tcPr>
          <w:p>
            <w:r>
              <w:rPr>
                <w:rFonts w:ascii="Arial" w:hAnsi="Arial"/>
                <w:b/>
                <w:color w:val="94A3B8"/>
                <w:sz w:val="16"/>
              </w:rPr>
              <w:t>Document</w:t>
              <w:br/>
            </w:r>
            <w:r>
              <w:rPr>
                <w:rFonts w:ascii="Arial" w:hAnsi="Arial"/>
                <w:color w:val="0B1220"/>
                <w:sz w:val="18"/>
              </w:rPr>
              <w:t>LeapMatch™</w:t>
            </w:r>
          </w:p>
        </w:tc>
        <w:tc>
          <w:tcPr>
            <w:tcW w:w="27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40" w:type="dxa"/>
              <w:right w:w="140" w:type="dxa"/>
            </w:tcMar>
          </w:tcPr>
          <w:p>
            <w:r>
              <w:rPr>
                <w:rFonts w:ascii="Arial" w:hAnsi="Arial"/>
                <w:b/>
                <w:color w:val="94A3B8"/>
                <w:sz w:val="16"/>
              </w:rPr>
              <w:t>Owner</w:t>
              <w:br/>
            </w:r>
            <w:r>
              <w:rPr>
                <w:rFonts w:ascii="Arial" w:hAnsi="Arial"/>
                <w:color w:val="0B1220"/>
                <w:sz w:val="18"/>
              </w:rPr>
              <w:t>LeapMoney Founding Team</w:t>
            </w:r>
          </w:p>
        </w:tc>
        <w:tc>
          <w:tcPr>
            <w:tcW w:w="27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40" w:type="dxa"/>
              <w:right w:w="140" w:type="dxa"/>
            </w:tcMar>
          </w:tcPr>
          <w:p>
            <w:r>
              <w:rPr>
                <w:rFonts w:ascii="Arial" w:hAnsi="Arial"/>
                <w:b/>
                <w:color w:val="94A3B8"/>
                <w:sz w:val="16"/>
              </w:rPr>
              <w:t>Status</w:t>
              <w:br/>
            </w:r>
            <w:r>
              <w:rPr>
                <w:rFonts w:ascii="Arial" w:hAnsi="Arial"/>
                <w:color w:val="0B1220"/>
                <w:sz w:val="18"/>
              </w:rPr>
              <w:t>FOUNDER APPROVED — UPDATED</w:t>
            </w:r>
          </w:p>
        </w:tc>
      </w:tr>
    </w:tbl>
    <w:p>
      <w:pPr>
        <w:spacing w:before="0" w:after="0"/>
      </w:pPr>
      <w:r>
        <w:t xml:space="preserve"> </w:t>
      </w:r>
    </w:p>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Table of Contents</w:t>
      </w:r>
    </w:p>
    <w:tbl>
      <w:tblPr>
        <w:jc w:val="left"/>
        <w:tblLook w:firstColumn="1" w:firstRow="1" w:lastColumn="0" w:lastRow="0" w:noHBand="0" w:noVBand="1" w:val="04A0"/>
        <w:tblW w:w="9360" w:type="dxa"/>
      </w:tblPr>
      <w:tblGrid>
        <w:gridCol w:w="600"/>
        <w:gridCol w:w="7560"/>
        <w:gridCol w:w="1200"/>
      </w:tblGrid>
      <w:tr>
        <w:tc>
          <w:tcPr>
            <w:tcW w:w="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w:t>
            </w:r>
          </w:p>
        </w:tc>
        <w:tc>
          <w:tcPr>
            <w:tcW w:w="75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Section</w:t>
            </w:r>
          </w:p>
        </w:tc>
        <w:tc>
          <w:tcPr>
            <w:tcW w:w="1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Page</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1</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Executive Summary</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3</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2</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Business Objectives</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4</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3</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LeapMatch Vision &amp; Product Strategy</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5</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4</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Competitive Positioning</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6</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5</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LeapScore™ — Proprietary Scoring Engine</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7</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6</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Credit Health Dashboard</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8</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7</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AI Bank Comparison Engine</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9</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8</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Credit Intelligence Engine</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10</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9</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Financial Super App Roadmap</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11</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10</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LeapMoney DSA Suite</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12</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11</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Bureau Integration Strategy</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13</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12</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Customer Retention Strategy</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14</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13</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Tier 2 &amp; Tier 3 Market Strategy</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15</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14</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Future Competitive Moat</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16</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1  Executive Summary</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  LeapMatch™ is LeapMoney's core AI engine that matches loan applicants to the right lender with the highest probability of approval — at the best available terms — within seconds. It eliminates the guesswork, rejection loops, and financial friction that define today's Indian lending experience.</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1.1  The Three Problems We Solve</w:t>
      </w:r>
    </w:p>
    <w:tbl>
      <w:tblPr>
        <w:jc w:val="left"/>
        <w:tblLook w:firstColumn="1" w:firstRow="1" w:lastColumn="0" w:lastRow="0" w:noHBand="0" w:noVBand="1" w:val="04A0"/>
        <w:tblW w:w="9360" w:type="dxa"/>
      </w:tblPr>
      <w:tblGrid>
        <w:gridCol w:w="2000"/>
        <w:gridCol w:w="3680"/>
        <w:gridCol w:w="3680"/>
      </w:tblGrid>
      <w:tr>
        <w:tc>
          <w:tcPr>
            <w:tcW w:w="2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Problem</w:t>
            </w:r>
          </w:p>
        </w:tc>
        <w:tc>
          <w:tcPr>
            <w:tcW w:w="368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Current Reality</w:t>
            </w:r>
          </w:p>
        </w:tc>
        <w:tc>
          <w:tcPr>
            <w:tcW w:w="368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LeapMatch Solution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P1: Rejection Without Understanding</w:t>
            </w:r>
          </w:p>
        </w:tc>
        <w:tc>
          <w:tcPr>
            <w:tcW w:type="dxa" w:w="36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Borrowers apply to multiple lenders blindly, accumulate hard inquiries, and damage their credit score through the very act of seeking credit.</w:t>
            </w:r>
          </w:p>
        </w:tc>
        <w:tc>
          <w:tcPr>
            <w:tcW w:type="dxa" w:w="36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LeapScore™ + Approval Probability Engine pre-qualifies before submission. No hard inquiry until high-confidence match is confirmed.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P2: Opaque Comparison</w:t>
            </w:r>
          </w:p>
        </w:tc>
        <w:tc>
          <w:tcPr>
            <w:tcW w:type="dxa" w:w="368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Lender terms are buried in fine print. Borrowers cannot compare Total Cost of Borrowing across 50+ lenders in real time.</w:t>
            </w:r>
          </w:p>
        </w:tc>
        <w:tc>
          <w:tcPr>
            <w:tcW w:type="dxa" w:w="368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AI Bank Comparison Engine computes TCB, approval probability, and processing speed across all eligible lenders simultaneously.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P3: One-Size-Fits-All Eligibility</w:t>
            </w:r>
          </w:p>
        </w:tc>
        <w:tc>
          <w:tcPr>
            <w:tcW w:type="dxa" w:w="36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Banks use rigid credit bureau scores that disadvantage salaried millennials, self-employed professionals, MSMEs, and Tier 2/3 borrowers.</w:t>
            </w:r>
          </w:p>
        </w:tc>
        <w:tc>
          <w:tcPr>
            <w:tcW w:type="dxa" w:w="36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Credit Intelligence Engine uses bureau data + alternate signals (banking behaviour, FOIR, employment stability) to surface creditworthy borrowers lenders miss.</w:t>
            </w:r>
          </w:p>
        </w:tc>
      </w:tr>
    </w:tbl>
    <w:p>
      <w:pPr>
        <w:spacing w:before="0" w:after="0"/>
      </w:pPr>
      <w:r>
        <w:t xml:space="preserve"> </w:t>
      </w:r>
    </w:p>
    <w:p>
      <w:pPr>
        <w:spacing w:before="240" w:after="100"/>
      </w:pPr>
      <w:r>
        <w:rPr>
          <w:rFonts w:ascii="Arial" w:hAnsi="Arial"/>
          <w:b/>
          <w:color w:val="2563EB"/>
          <w:sz w:val="26"/>
        </w:rPr>
        <w:t>1.2  Strategic Objectives</w:t>
      </w:r>
    </w:p>
    <w:tbl>
      <w:tblPr>
        <w:jc w:val="left"/>
        <w:tblLook w:firstColumn="1" w:firstRow="1" w:lastColumn="0" w:lastRow="0" w:noHBand="0" w:noVBand="1" w:val="04A0"/>
        <w:tblW w:w="9360" w:type="dxa"/>
      </w:tblPr>
      <w:tblGrid>
        <w:gridCol w:w="2800"/>
        <w:gridCol w:w="3200"/>
        <w:gridCol w:w="3360"/>
      </w:tblGrid>
      <w:tr>
        <w:tc>
          <w:tcPr>
            <w:tcW w:w="2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Objective</w:t>
            </w:r>
          </w:p>
        </w:tc>
        <w:tc>
          <w:tcPr>
            <w:tcW w:w="3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Metric</w:t>
            </w:r>
          </w:p>
        </w:tc>
        <w:tc>
          <w:tcPr>
            <w:tcW w:w="33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Target (Year 2)</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Match Accuracy</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Approval rate on matched applications</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&gt; 72% (vs 41% industry avg)</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User Trust</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LeapScore™ adoption</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&gt; 80% of registered users</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Revenue</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GMV disbursed through platform</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₹500 Cr ARR</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Data Moat</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Outcome data points (approved / rejected / disbursed)</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500,000+ data points</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DSA Network</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Active DSA partners on LeapMoney DSA Suite</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5,000+ DSAs</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 Coverage</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Bureau integrations live</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CIBIL + Experian + AA Framework</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2  Business Objectives</w:t>
      </w:r>
    </w:p>
    <w:p>
      <w:pPr>
        <w:spacing w:before="240" w:after="100"/>
      </w:pPr>
      <w:r>
        <w:rPr>
          <w:rFonts w:ascii="Arial" w:hAnsi="Arial"/>
          <w:b/>
          <w:color w:val="2563EB"/>
          <w:sz w:val="26"/>
        </w:rPr>
        <w:t>2.1  Market Opportunity</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0FDF4"/>
            <w:tcMar>
              <w:top w:w="120" w:type="dxa"/>
              <w:bottom w:w="120" w:type="dxa"/>
              <w:left w:w="200" w:type="dxa"/>
              <w:right w:w="200" w:type="dxa"/>
            </w:tcMar>
          </w:tcPr>
          <w:p>
            <w:pPr>
              <w:spacing w:before="20" w:after="20"/>
            </w:pPr>
            <w:r>
              <w:rPr>
                <w:rFonts w:ascii="Arial" w:hAnsi="Arial"/>
                <w:b w:val="0"/>
                <w:color w:val="0B1220"/>
                <w:sz w:val="20"/>
              </w:rPr>
              <w:t>India's retail lending market crossed ₹22 lakh crore in FY2024. Digital lending platforms processed ₹3.7 lakh crore — growing 35% YoY. Yet 60%+ of loan applications are rejected on first submission due to mismatched lender criteria. This mismatch is LeapMatch's market.</w:t>
            </w:r>
          </w:p>
        </w:tc>
      </w:tr>
    </w:tbl>
    <w:p>
      <w:pPr>
        <w:spacing w:before="0" w:after="0"/>
      </w:pPr>
      <w:r>
        <w:t xml:space="preserve"> </w:t>
      </w:r>
    </w:p>
    <w:p>
      <w:pPr>
        <w:spacing w:before="0" w:after="0"/>
      </w:pPr>
      <w:r>
        <w:t xml:space="preserve"> </w:t>
      </w:r>
    </w:p>
    <w:tbl>
      <w:tblPr>
        <w:jc w:val="left"/>
        <w:tblLook w:firstColumn="1" w:firstRow="1" w:lastColumn="0" w:lastRow="0" w:noHBand="0" w:noVBand="1" w:val="04A0"/>
        <w:tblW w:w="9360" w:type="dxa"/>
      </w:tblPr>
      <w:tblGrid>
        <w:gridCol w:w="2400"/>
        <w:gridCol w:w="3000"/>
        <w:gridCol w:w="3960"/>
      </w:tblGrid>
      <w:tr>
        <w:tc>
          <w:tcPr>
            <w:tcW w:w="24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Segment</w:t>
            </w:r>
          </w:p>
        </w:tc>
        <w:tc>
          <w:tcPr>
            <w:tcW w:w="30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Market Size</w:t>
            </w:r>
          </w:p>
        </w:tc>
        <w:tc>
          <w:tcPr>
            <w:tcW w:w="39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LeapMoney Angle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Personal Loans</w:t>
            </w:r>
          </w:p>
        </w:tc>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₹8.2 lakh crore outstanding</w:t>
            </w:r>
          </w:p>
        </w:tc>
        <w:tc>
          <w:tcPr>
            <w:tcW w:type="dxa" w:w="3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Highest DSA penetration; fastest approval cycles</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Home Loans</w:t>
            </w:r>
          </w:p>
        </w:tc>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₹24 lakh crore outstanding</w:t>
            </w:r>
          </w:p>
        </w:tc>
        <w:tc>
          <w:tcPr>
            <w:tcW w:type="dxa" w:w="3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Long-term relationship product; high LTV commissions</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Business / MSME Loans</w:t>
            </w:r>
          </w:p>
        </w:tc>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₹21 lakh crore outstanding</w:t>
            </w:r>
          </w:p>
        </w:tc>
        <w:tc>
          <w:tcPr>
            <w:tcW w:type="dxa" w:w="3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Underserved by digital; DSA-heavy distribution</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Education Loans</w:t>
            </w:r>
          </w:p>
        </w:tc>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₹1.1 lakh crore outstanding</w:t>
            </w:r>
          </w:p>
        </w:tc>
        <w:tc>
          <w:tcPr>
            <w:tcW w:type="dxa" w:w="3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Growing; bureau-thin applicants need alternate scoring</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 Against Property</w:t>
            </w:r>
          </w:p>
        </w:tc>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₹6.4 lakh crore outstanding</w:t>
            </w:r>
          </w:p>
        </w:tc>
        <w:tc>
          <w:tcPr>
            <w:tcW w:type="dxa" w:w="3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Complex underwriting; high match-engine value</w:t>
            </w:r>
          </w:p>
        </w:tc>
      </w:tr>
    </w:tbl>
    <w:p>
      <w:pPr>
        <w:spacing w:before="0" w:after="0"/>
      </w:pPr>
      <w:r>
        <w:t xml:space="preserve"> </w:t>
      </w:r>
    </w:p>
    <w:p>
      <w:pPr>
        <w:spacing w:before="240" w:after="100"/>
      </w:pPr>
      <w:r>
        <w:rPr>
          <w:rFonts w:ascii="Arial" w:hAnsi="Arial"/>
          <w:b/>
          <w:color w:val="2563EB"/>
          <w:sz w:val="26"/>
        </w:rPr>
        <w:t>2.2  Revenue Model</w:t>
      </w:r>
    </w:p>
    <w:tbl>
      <w:tblPr>
        <w:jc w:val="left"/>
        <w:tblLook w:firstColumn="1" w:firstRow="1" w:lastColumn="0" w:lastRow="0" w:noHBand="0" w:noVBand="1" w:val="04A0"/>
        <w:tblW w:w="9360" w:type="dxa"/>
      </w:tblPr>
      <w:tblGrid>
        <w:gridCol w:w="2800"/>
        <w:gridCol w:w="4160"/>
        <w:gridCol w:w="2400"/>
      </w:tblGrid>
      <w:tr>
        <w:tc>
          <w:tcPr>
            <w:tcW w:w="2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Revenue Stream</w:t>
            </w:r>
          </w:p>
        </w:tc>
        <w:tc>
          <w:tcPr>
            <w:tcW w:w="41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Model</w:t>
            </w:r>
          </w:p>
        </w:tc>
        <w:tc>
          <w:tcPr>
            <w:tcW w:w="2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Est. Year 1 Mix</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 Referral Fees</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Per-disbursement commission (0.4–1.8% of loan value)</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65%</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DSA Suite Subscription</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SaaS per DSA seat (₹499–₹1,999/month)</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7"/>
              </w:rPr>
              <w:t>12%</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Credit Report Upsell</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CIBIL / Experian pull via LeapScore™ portal</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8%</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Insurance Cross-sell</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Loan protection, term life via partner APIs</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7"/>
              </w:rPr>
              <w:t>9%</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Data &amp; Analytics (B2B)</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 insights dashboards (Phase 3+)</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6%</w:t>
            </w:r>
          </w:p>
        </w:tc>
      </w:tr>
    </w:tbl>
    <w:p>
      <w:pPr>
        <w:spacing w:before="0" w:after="0"/>
      </w:pPr>
      <w:r>
        <w:t xml:space="preserve"> </w:t>
      </w:r>
    </w:p>
    <w:p>
      <w:pPr>
        <w:spacing w:before="240" w:after="100"/>
      </w:pPr>
      <w:r>
        <w:rPr>
          <w:rFonts w:ascii="Arial" w:hAnsi="Arial"/>
          <w:b/>
          <w:color w:val="2563EB"/>
          <w:sz w:val="26"/>
        </w:rPr>
        <w:t>2.3  Stakeholder Goals</w:t>
      </w:r>
    </w:p>
    <w:tbl>
      <w:tblPr>
        <w:jc w:val="left"/>
        <w:tblLook w:firstColumn="1" w:firstRow="1" w:lastColumn="0" w:lastRow="0" w:noHBand="0" w:noVBand="1" w:val="04A0"/>
        <w:tblW w:w="9360" w:type="dxa"/>
      </w:tblPr>
      <w:tblGrid>
        <w:gridCol w:w="2000"/>
        <w:gridCol w:w="3000"/>
        <w:gridCol w:w="4360"/>
      </w:tblGrid>
      <w:tr>
        <w:tc>
          <w:tcPr>
            <w:tcW w:w="2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Stakeholder</w:t>
            </w:r>
          </w:p>
        </w:tc>
        <w:tc>
          <w:tcPr>
            <w:tcW w:w="3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Primary Goal</w:t>
            </w:r>
          </w:p>
        </w:tc>
        <w:tc>
          <w:tcPr>
            <w:tcW w:w="43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LeapMatch Delivers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Borrower (B2C)</w:t>
            </w:r>
          </w:p>
        </w:tc>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Get the right loan, approved, at lowest cost</w:t>
            </w:r>
          </w:p>
        </w:tc>
        <w:tc>
          <w:tcPr>
            <w:tcW w:type="dxa" w:w="4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Approval Probability + TCB Comparison + LeapScore™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DSA Partner</w:t>
            </w:r>
          </w:p>
        </w:tc>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Convert more leads, track commissions, automate docs</w:t>
            </w:r>
          </w:p>
        </w:tc>
        <w:tc>
          <w:tcPr>
            <w:tcW w:type="dxa" w:w="4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DSA Suite — 8 modules covering full lifecycle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 (Bank / NBFC)</w:t>
            </w:r>
          </w:p>
        </w:tc>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Receive pre-qualified, high-intent leads only</w:t>
            </w:r>
          </w:p>
        </w:tc>
        <w:tc>
          <w:tcPr>
            <w:tcW w:type="dxa" w:w="4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FOIR Engine + Credit Intelligence pre-filter</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LeapMoney (Platform)</w:t>
            </w:r>
          </w:p>
        </w:tc>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Build a defensible data moat; scale to super app</w:t>
            </w:r>
          </w:p>
        </w:tc>
        <w:tc>
          <w:tcPr>
            <w:tcW w:type="dxa" w:w="4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Outcome Feedback Loop + proprietary dataset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Regulator (RBI)</w:t>
            </w:r>
          </w:p>
        </w:tc>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Transparent pricing; fair credit access</w:t>
            </w:r>
          </w:p>
        </w:tc>
        <w:tc>
          <w:tcPr>
            <w:tcW w:type="dxa" w:w="4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TCB disclosure; RBI Digital Lending Guideline 2022 compliance</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3  LeapMatch Vision &amp; Product Strategy</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5F3FF"/>
            <w:tcMar>
              <w:top w:w="120" w:type="dxa"/>
              <w:bottom w:w="120" w:type="dxa"/>
              <w:left w:w="200" w:type="dxa"/>
              <w:right w:w="200" w:type="dxa"/>
            </w:tcMar>
          </w:tcPr>
          <w:p>
            <w:pPr>
              <w:spacing w:before="20" w:after="20"/>
            </w:pPr>
            <w:r>
              <w:rPr>
                <w:rFonts w:ascii="Arial" w:hAnsi="Arial"/>
                <w:b/>
                <w:color w:val="0B1220"/>
                <w:sz w:val="22"/>
              </w:rPr>
              <w:t>"LeapMatch is not a loan aggregator. It is a loan outcome predictor — the first Indian platform that knows, before a single hard inquiry is made, which lender will approve you, at what rate, and in how many days."</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3.1  Match vs. Compare — The Core Distinction</w:t>
      </w:r>
    </w:p>
    <w:tbl>
      <w:tblPr>
        <w:jc w:val="left"/>
        <w:tblLook w:firstColumn="1" w:firstRow="1" w:lastColumn="0" w:lastRow="0" w:noHBand="0" w:noVBand="1" w:val="04A0"/>
        <w:tblW w:w="9360" w:type="dxa"/>
      </w:tblPr>
      <w:tblGrid>
        <w:gridCol w:w="2000"/>
        <w:gridCol w:w="3680"/>
        <w:gridCol w:w="368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Dimension</w:t>
            </w:r>
          </w:p>
        </w:tc>
        <w:tc>
          <w:tcPr>
            <w:tcW w:w="368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Compare Platforms</w:t>
              <w:br/>
              <w:t>(Paisabazaar, BankBazaar)</w:t>
            </w:r>
          </w:p>
        </w:tc>
        <w:tc>
          <w:tcPr>
            <w:tcW w:w="368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LeapMatch™</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Primary Action</w:t>
            </w:r>
          </w:p>
        </w:tc>
        <w:tc>
          <w:tcPr>
            <w:tcW w:type="dxa" w:w="36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Show you all available offers</w:t>
            </w:r>
          </w:p>
        </w:tc>
        <w:tc>
          <w:tcPr>
            <w:tcW w:type="dxa" w:w="36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Show you only the offers you will get approved for</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 Impact</w:t>
            </w:r>
          </w:p>
        </w:tc>
        <w:tc>
          <w:tcPr>
            <w:tcW w:type="dxa" w:w="368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Multiple hard pulls → score drops</w:t>
            </w:r>
          </w:p>
        </w:tc>
        <w:tc>
          <w:tcPr>
            <w:tcW w:type="dxa" w:w="368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Soft pull only until confirmation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 Selection Logic</w:t>
            </w:r>
          </w:p>
        </w:tc>
        <w:tc>
          <w:tcPr>
            <w:tcW w:type="dxa" w:w="36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Algorithmic sort by interest rate</w:t>
            </w:r>
          </w:p>
        </w:tc>
        <w:tc>
          <w:tcPr>
            <w:tcW w:type="dxa" w:w="36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Approval Probability × TCB optimization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Personalisation</w:t>
            </w:r>
          </w:p>
        </w:tc>
        <w:tc>
          <w:tcPr>
            <w:tcW w:type="dxa" w:w="368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Profile-based filtering</w:t>
            </w:r>
          </w:p>
        </w:tc>
        <w:tc>
          <w:tcPr>
            <w:tcW w:type="dxa" w:w="368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LeapScore™ + 6-component behavioural model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Data Advantage</w:t>
            </w:r>
          </w:p>
        </w:tc>
        <w:tc>
          <w:tcPr>
            <w:tcW w:type="dxa" w:w="36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Lead aggregation only</w:t>
            </w:r>
          </w:p>
        </w:tc>
        <w:tc>
          <w:tcPr>
            <w:tcW w:type="dxa" w:w="36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Outcome feedback loop trains per-lender ML models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DSA Integration</w:t>
            </w:r>
          </w:p>
        </w:tc>
        <w:tc>
          <w:tcPr>
            <w:tcW w:type="dxa" w:w="368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None</w:t>
            </w:r>
          </w:p>
        </w:tc>
        <w:tc>
          <w:tcPr>
            <w:tcW w:type="dxa" w:w="368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First-class DSA Suite with full lifecycle management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Credit Health</w:t>
            </w:r>
          </w:p>
        </w:tc>
        <w:tc>
          <w:tcPr>
            <w:tcW w:type="dxa" w:w="36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Score display only</w:t>
            </w:r>
          </w:p>
        </w:tc>
        <w:tc>
          <w:tcPr>
            <w:tcW w:type="dxa" w:w="36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Full Credit Health Dashboard with improvement roadmap</w:t>
            </w:r>
          </w:p>
        </w:tc>
      </w:tr>
    </w:tbl>
    <w:p>
      <w:pPr>
        <w:spacing w:before="0" w:after="0"/>
      </w:pPr>
      <w:r>
        <w:t xml:space="preserve"> </w:t>
      </w:r>
    </w:p>
    <w:p>
      <w:pPr>
        <w:spacing w:before="240" w:after="100"/>
      </w:pPr>
      <w:r>
        <w:rPr>
          <w:rFonts w:ascii="Arial" w:hAnsi="Arial"/>
          <w:b/>
          <w:color w:val="2563EB"/>
          <w:sz w:val="26"/>
        </w:rPr>
        <w:t>3.2  The Three Versions of LeapMatch</w:t>
      </w:r>
    </w:p>
    <w:tbl>
      <w:tblPr>
        <w:jc w:val="left"/>
        <w:tblLook w:firstColumn="1" w:firstRow="1" w:lastColumn="0" w:lastRow="0" w:noHBand="0" w:noVBand="1" w:val="04A0"/>
        <w:tblW w:w="9360" w:type="dxa"/>
      </w:tblPr>
      <w:tblGrid>
        <w:gridCol w:w="1800"/>
        <w:gridCol w:w="1800"/>
        <w:gridCol w:w="4000"/>
        <w:gridCol w:w="1760"/>
      </w:tblGrid>
      <w:tr>
        <w:tc>
          <w:tcPr>
            <w:tcW w:w="18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Version</w:t>
            </w:r>
          </w:p>
        </w:tc>
        <w:tc>
          <w:tcPr>
            <w:tcW w:w="18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Engine Type</w:t>
            </w:r>
          </w:p>
        </w:tc>
        <w:tc>
          <w:tcPr>
            <w:tcW w:w="4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Core Capability</w:t>
            </w:r>
          </w:p>
        </w:tc>
        <w:tc>
          <w:tcPr>
            <w:tcW w:w="17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Target Phase</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V1 — Intelligent Matching</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Rules-Based Engine</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FOIR calculation, bureau score threshold matching, eligibility matrix across 50+ lenders. Deterministic: same input always returns same ranked lender list.</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Month 1–6</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V2 — AI-Powered Matching</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ML Scoring Engine</w:t>
            </w:r>
          </w:p>
        </w:tc>
        <w:tc>
          <w:tcPr>
            <w:tcW w:type="dxa" w:w="4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Gradient boosting models trained on outcome data (approved/rejected/disbursed). Per-lender approval probability scores replace deterministic rules. Improves with data volume.</w:t>
            </w:r>
          </w:p>
        </w:tc>
        <w:tc>
          <w:tcPr>
            <w:tcW w:type="dxa" w:w="1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Month 7–18</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V3 — LeapMatch AI</w:t>
              <w:br/>
              <w:t>(Prescriptive)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Generative AI + Agentic</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Conversational loan advisor. Understands borrower goals, recommends financial preparation steps, negotiates terms, submits applications with dynamic document orchestration.</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Month 18–36</w:t>
            </w:r>
          </w:p>
        </w:tc>
      </w:tr>
    </w:tbl>
    <w:p>
      <w:pPr>
        <w:spacing w:before="0" w:after="0"/>
      </w:pPr>
      <w:r>
        <w:t xml:space="preserve"> </w:t>
      </w:r>
    </w:p>
    <w:p>
      <w:pPr>
        <w:spacing w:before="240" w:after="100"/>
      </w:pPr>
      <w:r>
        <w:rPr>
          <w:rFonts w:ascii="Arial" w:hAnsi="Arial"/>
          <w:b/>
          <w:color w:val="2563EB"/>
          <w:sz w:val="26"/>
        </w:rPr>
        <w:t>3.3  Product Guardrails</w:t>
      </w:r>
    </w:p>
    <w:tbl>
      <w:tblPr>
        <w:jc w:val="left"/>
        <w:tblLook w:firstColumn="1" w:firstRow="1" w:lastColumn="0" w:lastRow="0" w:noHBand="0" w:noVBand="1" w:val="04A0"/>
        <w:tblW w:w="9360" w:type="dxa"/>
      </w:tblPr>
      <w:tblGrid>
        <w:gridCol w:w="2800"/>
        <w:gridCol w:w="6560"/>
      </w:tblGrid>
      <w:tr>
        <w:tc>
          <w:tcPr>
            <w:tcW w:w="28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Guardrail</w:t>
            </w:r>
          </w:p>
        </w:tc>
        <w:tc>
          <w:tcPr>
            <w:tcW w:w="65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Rule</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Credit Safety</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 hard credit pull until borrower explicitly consents and match confidence &gt; 70%</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Transparency</w:t>
            </w:r>
          </w:p>
        </w:tc>
        <w:tc>
          <w:tcPr>
            <w:tcW w:type="dxa" w:w="6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Total Cost of Borrowing (TCB) displayed for every lender recommendation — not just EMI</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RBI Compliance</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All digital lending disclosures per RBI Digital Lending Guidelines 2022</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Data Privacy</w:t>
            </w:r>
          </w:p>
        </w:tc>
        <w:tc>
          <w:tcPr>
            <w:tcW w:type="dxa" w:w="6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DPDP Act 2023 compliant — explicit consent before bureau pull or data sharing</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FOIR Cap</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LeapMatch will not recommend loans that would push borrower FOIR above 65%</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No Conflict Bias</w:t>
            </w:r>
          </w:p>
        </w:tc>
        <w:tc>
          <w:tcPr>
            <w:tcW w:type="dxa" w:w="6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Lender ranking based on borrower outcome score — not commission rate</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4  Competitive Positioning</w:t>
      </w:r>
    </w:p>
    <w:p>
      <w:pPr>
        <w:spacing w:before="240" w:after="100"/>
      </w:pPr>
      <w:r>
        <w:rPr>
          <w:rFonts w:ascii="Arial" w:hAnsi="Arial"/>
          <w:b/>
          <w:color w:val="2563EB"/>
          <w:sz w:val="26"/>
        </w:rPr>
        <w:t>4.1  Competitor Intelligence Matrix</w:t>
      </w:r>
    </w:p>
    <w:tbl>
      <w:tblPr>
        <w:jc w:val="left"/>
        <w:tblLook w:firstColumn="1" w:firstRow="1" w:lastColumn="0" w:lastRow="0" w:noHBand="0" w:noVBand="1" w:val="04A0"/>
        <w:tblW w:w="9400" w:type="dxa"/>
      </w:tblPr>
      <w:tblGrid>
        <w:gridCol w:w="1600"/>
        <w:gridCol w:w="1400"/>
        <w:gridCol w:w="2200"/>
        <w:gridCol w:w="2200"/>
        <w:gridCol w:w="2000"/>
      </w:tblGrid>
      <w:tr>
        <w:tc>
          <w:tcPr>
            <w:tcW w:w="1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Competitor</w:t>
            </w:r>
          </w:p>
        </w:tc>
        <w:tc>
          <w:tcPr>
            <w:tcW w:w="1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Model</w:t>
            </w:r>
          </w:p>
        </w:tc>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Strength</w:t>
            </w:r>
          </w:p>
        </w:tc>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Weakness</w:t>
            </w:r>
          </w:p>
        </w:tc>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LeapMoney Edge</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Paisabazaar</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Digital Marketplace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51.4% market share; 65+ lenders; brand trust</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Compare-only; no outcome prediction; no DSA layer</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Match vs. Compare; LeapScore™; DSA Suite</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BankBazaar</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Digital Marketplace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Brand; multi-product (cards, insurance)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Lead quality declining; no credit health</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Credit Intelligence Engine; retention tools</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Andromeda</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DSA Network</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₹1.08L Cr disbursals; 25,000+ DSAs</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Offline-first; no tech platform; no AI</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Full-stack DSA Suite with AI-powered matching</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Rupeek / Money View</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Vertical Lending Apps</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Gold loans / personal loans with tech</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Single product; no marketplace breadth</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Multi-product from Day 1; Bureau + AA coverage</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CRED / Jupiter</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FinTech Super Apps</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Premium UX; high-credit users</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Urban elite only; limited lending depth</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Tier 2/3 market; MSME; assisted + digital hybrid</w:t>
            </w:r>
          </w:p>
        </w:tc>
      </w:tr>
    </w:tbl>
    <w:p>
      <w:pPr>
        <w:spacing w:before="0" w:after="0"/>
      </w:pPr>
      <w:r>
        <w:t xml:space="preserve"> </w:t>
      </w:r>
    </w:p>
    <w:p>
      <w:pPr>
        <w:spacing w:before="240" w:after="100"/>
      </w:pPr>
      <w:r>
        <w:rPr>
          <w:rFonts w:ascii="Arial" w:hAnsi="Arial"/>
          <w:b/>
          <w:color w:val="2563EB"/>
          <w:sz w:val="26"/>
        </w:rPr>
        <w:t>4.2  Positioning Statement</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LeapMoney is the only Indian lending platform that combines AI-powered loan matching (LeapMatch™), proprietary credit scoring (LeapScore™), real-time lender comparison (AI Bank Comparison Engine), and a full-stack DSA partner suite — making it the only platform that serves borrowers, DSA agents, and lenders within a single, data-driven ecosystem.</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4.3  Moat Thesis &amp; Defensibility Timeline</w:t>
      </w:r>
    </w:p>
    <w:tbl>
      <w:tblPr>
        <w:jc w:val="left"/>
        <w:tblLook w:firstColumn="1" w:firstRow="1" w:lastColumn="0" w:lastRow="0" w:noHBand="0" w:noVBand="1" w:val="04A0"/>
        <w:tblW w:w="9360" w:type="dxa"/>
      </w:tblPr>
      <w:tblGrid>
        <w:gridCol w:w="2400"/>
        <w:gridCol w:w="4560"/>
        <w:gridCol w:w="2400"/>
      </w:tblGrid>
      <w:tr>
        <w:tc>
          <w:tcPr>
            <w:tcW w:w="2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Moat Layer</w:t>
            </w:r>
          </w:p>
        </w:tc>
        <w:tc>
          <w:tcPr>
            <w:tcW w:w="45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Mechanism</w:t>
            </w:r>
          </w:p>
        </w:tc>
        <w:tc>
          <w:tcPr>
            <w:tcW w:w="2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When Active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FOIR Engine</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Deterministic eligibility filter — faster to build, impossible to patent but hard to replicate at scale</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Month 1</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 Policy Engine</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Internal database of each lender's actual approval criteria (not published) — built from DSA knowledge + outcome data</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Month 3</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LeapScore™ Data</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Proprietary composite score model trained on Indian borrower profiles across bureau + alternate data</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Month 6</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DSA Network</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5,000+ active DSAs generate lead volume that no new entrant can replicate without years of relationship-building</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Month 12</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Outcome Feedback Loop</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Every approved / rejected / disbursed loan feeds back into ML models — the more volume, the smarter the engine</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Month 12</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Bureau Intelligence</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CIBIL + Experian + CRIF + AA Framework — multi-bureau data creates richer scoring than single-bureau competitors</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Month 18</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 Intelligence</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Aggregate anonymised approval patterns per lender create a proprietary dataset no individual lender or bureau has</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Month 24</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5  LeapScore™ — Proprietary Scoring Engine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LeapScore™ is LeapMoney's proprietary 0–100 composite creditworthiness score. It is not a replacement for CIBIL — it is a loan readiness signal that contextualises bureau data with employment stability, banking behaviour, and income dynamics, producing a score that predicts loan approval probability better than bureau scores alone.</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5.1  LeapScore™ — Six Components</w:t>
      </w:r>
    </w:p>
    <w:tbl>
      <w:tblPr>
        <w:jc w:val="left"/>
        <w:tblLook w:firstColumn="1" w:firstRow="1" w:lastColumn="0" w:lastRow="0" w:noHBand="0" w:noVBand="1" w:val="04A0"/>
        <w:tblW w:w="9360" w:type="dxa"/>
      </w:tblPr>
      <w:tblGrid>
        <w:gridCol w:w="2200"/>
        <w:gridCol w:w="900"/>
        <w:gridCol w:w="2700"/>
        <w:gridCol w:w="3560"/>
      </w:tblGrid>
      <w:tr>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Component</w:t>
            </w:r>
          </w:p>
        </w:tc>
        <w:tc>
          <w:tcPr>
            <w:tcW w:w="9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Weight</w:t>
            </w:r>
          </w:p>
        </w:tc>
        <w:tc>
          <w:tcPr>
            <w:tcW w:w="27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Data Sources</w:t>
            </w:r>
          </w:p>
        </w:tc>
        <w:tc>
          <w:tcPr>
            <w:tcW w:w="35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What It Measures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Credit Health</w:t>
            </w:r>
          </w:p>
        </w:tc>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30%</w:t>
            </w:r>
          </w:p>
        </w:tc>
        <w:tc>
          <w:tcPr>
            <w:tcW w:type="dxa" w:w="2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CIBIL, Experian, CRIF</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Bureau score, utilisation, active loans, credit age, delinquency history</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Income Stability</w:t>
            </w:r>
          </w:p>
        </w:tc>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7"/>
              </w:rPr>
              <w:t>20%</w:t>
            </w:r>
          </w:p>
        </w:tc>
        <w:tc>
          <w:tcPr>
            <w:tcW w:type="dxa" w:w="2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Salary slips, ITR, bank statements, AA Framework</w:t>
            </w:r>
          </w:p>
        </w:tc>
        <w:tc>
          <w:tcPr>
            <w:tcW w:type="dxa" w:w="3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Consistency of income, growth trend, income source diversity</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FOIR (Fixed Obligation Ratio)</w:t>
            </w:r>
          </w:p>
        </w:tc>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20%</w:t>
            </w:r>
          </w:p>
        </w:tc>
        <w:tc>
          <w:tcPr>
            <w:tcW w:type="dxa" w:w="2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Bureau EMI data, bank statement debits</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Existing loan obligations as % of monthly income; lower = better</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Banking Behaviour</w:t>
            </w:r>
          </w:p>
        </w:tc>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7"/>
              </w:rPr>
              <w:t>15%</w:t>
            </w:r>
          </w:p>
        </w:tc>
        <w:tc>
          <w:tcPr>
            <w:tcW w:type="dxa" w:w="2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Bank statements (AA or uploaded)</w:t>
            </w:r>
          </w:p>
        </w:tc>
        <w:tc>
          <w:tcPr>
            <w:tcW w:type="dxa" w:w="3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Average balance, salary credit regularity, overdraft frequency, savings pattern</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Employment Stability</w:t>
            </w:r>
          </w:p>
        </w:tc>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10%</w:t>
            </w:r>
          </w:p>
        </w:tc>
        <w:tc>
          <w:tcPr>
            <w:tcW w:type="dxa" w:w="2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Form 16, employer verification, work history</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Tenure with current employer, employment type (salaried / self-employed / MSME)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Loan Readiness</w:t>
            </w:r>
          </w:p>
        </w:tc>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7"/>
              </w:rPr>
              <w:t>5%</w:t>
            </w:r>
          </w:p>
        </w:tc>
        <w:tc>
          <w:tcPr>
            <w:tcW w:type="dxa" w:w="2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Document completeness, KYC status, consent flags</w:t>
            </w:r>
          </w:p>
        </w:tc>
        <w:tc>
          <w:tcPr>
            <w:tcW w:type="dxa" w:w="3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How ready is this applicant to submit — completeness reduces lender friction</w:t>
            </w:r>
          </w:p>
        </w:tc>
      </w:tr>
    </w:tbl>
    <w:p>
      <w:pPr>
        <w:spacing w:before="0" w:after="0"/>
      </w:pPr>
      <w:r>
        <w:t xml:space="preserve"> </w:t>
      </w:r>
    </w:p>
    <w:p>
      <w:pPr>
        <w:spacing w:before="240" w:after="100"/>
      </w:pPr>
      <w:r>
        <w:rPr>
          <w:rFonts w:ascii="Arial" w:hAnsi="Arial"/>
          <w:b/>
          <w:color w:val="2563EB"/>
          <w:sz w:val="26"/>
        </w:rPr>
        <w:t>5.2  LeapScore™ Bands</w:t>
      </w:r>
    </w:p>
    <w:tbl>
      <w:tblPr>
        <w:jc w:val="left"/>
        <w:tblLook w:firstColumn="1" w:firstRow="1" w:lastColumn="0" w:lastRow="0" w:noHBand="0" w:noVBand="1" w:val="04A0"/>
        <w:tblW w:w="9360" w:type="dxa"/>
      </w:tblPr>
      <w:tblGrid>
        <w:gridCol w:w="1600"/>
        <w:gridCol w:w="1400"/>
        <w:gridCol w:w="2000"/>
        <w:gridCol w:w="4360"/>
      </w:tblGrid>
      <w:tr>
        <w:tc>
          <w:tcPr>
            <w:tcW w:w="16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Band</w:t>
            </w:r>
          </w:p>
        </w:tc>
        <w:tc>
          <w:tcPr>
            <w:tcW w:w="14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Score Range</w:t>
            </w:r>
          </w:p>
        </w:tc>
        <w:tc>
          <w:tcPr>
            <w:tcW w:w="20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Label</w:t>
            </w:r>
          </w:p>
        </w:tc>
        <w:tc>
          <w:tcPr>
            <w:tcW w:w="43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Platform Behaviour</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 Excellent</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80–100</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Loan Ready</w:t>
            </w:r>
          </w:p>
        </w:tc>
        <w:tc>
          <w:tcPr>
            <w:tcW w:type="dxa" w:w="4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Immediate match to top-tier lenders; pre-approved offers surfaced</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 Good</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65–79</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Strong Candidate</w:t>
            </w:r>
          </w:p>
        </w:tc>
        <w:tc>
          <w:tcPr>
            <w:tcW w:type="dxa" w:w="4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Matched to 10+ lenders; minor documentation guidance provided</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 Fair</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50–64</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Improvable</w:t>
            </w:r>
          </w:p>
        </w:tc>
        <w:tc>
          <w:tcPr>
            <w:tcW w:type="dxa" w:w="4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Matched to NBFC + fintech lenders; Credit Health improvement plan activated</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 Developing</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35–49</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Needs Work</w:t>
            </w:r>
          </w:p>
        </w:tc>
        <w:tc>
          <w:tcPr>
            <w:tcW w:type="dxa" w:w="4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Limited lender matches; 90-day improvement roadmap presented</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 Low</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0–34</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Not Ready</w:t>
            </w:r>
          </w:p>
        </w:tc>
        <w:tc>
          <w:tcPr>
            <w:tcW w:type="dxa" w:w="4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 match shown; Credit Health Dashboard and counselling activated</w:t>
            </w:r>
          </w:p>
        </w:tc>
      </w:tr>
    </w:tbl>
    <w:p>
      <w:pPr>
        <w:spacing w:before="0" w:after="0"/>
      </w:pPr>
      <w:r>
        <w:t xml:space="preserve"> </w:t>
      </w:r>
    </w:p>
    <w:p>
      <w:pPr>
        <w:spacing w:before="240" w:after="100"/>
      </w:pPr>
      <w:r>
        <w:rPr>
          <w:rFonts w:ascii="Arial" w:hAnsi="Arial"/>
          <w:b/>
          <w:color w:val="2563EB"/>
          <w:sz w:val="26"/>
        </w:rPr>
        <w:t>5.3  LeapScore™ Strategic Value</w:t>
      </w:r>
    </w:p>
    <w:p>
      <w:pPr>
        <w:pStyle w:val="ListBullet"/>
        <w:spacing w:before="20" w:after="20"/>
      </w:pPr>
      <w:r>
        <w:rPr>
          <w:rFonts w:ascii="Arial" w:hAnsi="Arial"/>
          <w:color w:val="000000"/>
          <w:sz w:val="20"/>
        </w:rPr>
        <w:t>User stickiness: Borrowers return monthly to track LeapScore™ improvement — creating organic retention without paid re-acquisition.</w:t>
      </w:r>
    </w:p>
    <w:p>
      <w:pPr>
        <w:pStyle w:val="ListBullet"/>
        <w:spacing w:before="20" w:after="20"/>
      </w:pPr>
      <w:r>
        <w:rPr>
          <w:rFonts w:ascii="Arial" w:hAnsi="Arial"/>
          <w:color w:val="000000"/>
          <w:sz w:val="20"/>
        </w:rPr>
        <w:t>Lender confidence: DSAs can share a borrower's LeapScore™ report with lenders as a pre-qualification document, reducing back-and-forth.</w:t>
      </w:r>
    </w:p>
    <w:p>
      <w:pPr>
        <w:pStyle w:val="ListBullet"/>
        <w:spacing w:before="20" w:after="20"/>
      </w:pPr>
      <w:r>
        <w:rPr>
          <w:rFonts w:ascii="Arial" w:hAnsi="Arial"/>
          <w:color w:val="000000"/>
          <w:sz w:val="20"/>
        </w:rPr>
        <w:t>Data collection: LeapScore™ computation requires users to share bank statements, salary data, and consent — feeding the Credit Intelligence Engine.</w:t>
      </w:r>
    </w:p>
    <w:p>
      <w:pPr>
        <w:pStyle w:val="ListBullet"/>
        <w:spacing w:before="20" w:after="20"/>
      </w:pPr>
      <w:r>
        <w:rPr>
          <w:rFonts w:ascii="Arial" w:hAnsi="Arial"/>
          <w:color w:val="000000"/>
          <w:sz w:val="20"/>
        </w:rPr>
        <w:t>Cross-sell trigger: Score improvement milestones trigger targeted offers (insurance, investment products) aligned with Phase 2–5 of the Super App roadmap.</w:t>
      </w:r>
    </w:p>
    <w:p>
      <w:pPr>
        <w:pStyle w:val="ListBullet"/>
        <w:spacing w:before="20" w:after="20"/>
      </w:pPr>
      <w:r>
        <w:rPr>
          <w:rFonts w:ascii="Arial" w:hAnsi="Arial"/>
          <w:color w:val="000000"/>
          <w:sz w:val="20"/>
        </w:rPr>
        <w:t>Moat: As LeapScore™ accumulates outcome data, its predictive accuracy improves — making it progressively harder for competitors to replicate.</w:t>
      </w:r>
    </w:p>
    <w:p>
      <w:pPr>
        <w:spacing w:before="0" w:after="0"/>
      </w:pPr>
      <w:r>
        <w:br w:type="page"/>
      </w:r>
    </w:p>
    <w:p>
      <w:pPr>
        <w:spacing w:before="320" w:after="120"/>
        <w:pBdr>
          <w:bottom w:val="single" w:sz="8" w:space="2" w:color="2563EB"/>
        </w:pBdr>
      </w:pPr>
      <w:r>
        <w:rPr>
          <w:rFonts w:ascii="Arial" w:hAnsi="Arial"/>
          <w:b/>
          <w:color w:val="0B1220"/>
          <w:sz w:val="36"/>
        </w:rPr>
        <w:t>6  Credit Health Dashboard</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0FDF4"/>
            <w:tcMar>
              <w:top w:w="120" w:type="dxa"/>
              <w:bottom w:w="120" w:type="dxa"/>
              <w:left w:w="200" w:type="dxa"/>
              <w:right w:w="200" w:type="dxa"/>
            </w:tcMar>
          </w:tcPr>
          <w:p>
            <w:pPr>
              <w:spacing w:before="20" w:after="20"/>
            </w:pPr>
            <w:r>
              <w:rPr>
                <w:rFonts w:ascii="Arial" w:hAnsi="Arial"/>
                <w:b w:val="0"/>
                <w:color w:val="0B1220"/>
                <w:sz w:val="20"/>
              </w:rPr>
              <w:t>The Credit Health Dashboard is the borrower-facing home screen of LeapMoney — the place where every registered user begins. It converts raw bureau data into a clear, actionable financial health view. It is the primary driver of user retention, return visits, and cross-product engagement.</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6.1  Dashboard Modules</w:t>
      </w:r>
    </w:p>
    <w:tbl>
      <w:tblPr>
        <w:jc w:val="left"/>
        <w:tblLook w:firstColumn="1" w:firstRow="1" w:lastColumn="0" w:lastRow="0" w:noHBand="0" w:noVBand="1" w:val="04A0"/>
        <w:tblW w:w="9360" w:type="dxa"/>
      </w:tblPr>
      <w:tblGrid>
        <w:gridCol w:w="2200"/>
        <w:gridCol w:w="4560"/>
        <w:gridCol w:w="2600"/>
      </w:tblGrid>
      <w:tr>
        <w:tc>
          <w:tcPr>
            <w:tcW w:w="2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Module</w:t>
            </w:r>
          </w:p>
        </w:tc>
        <w:tc>
          <w:tcPr>
            <w:tcW w:w="45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Data Displayed</w:t>
            </w:r>
          </w:p>
        </w:tc>
        <w:tc>
          <w:tcPr>
            <w:tcW w:w="26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Update Frequency</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CIBIL Score</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TransUnion CIBIL score (300–900); score change vs. last pull; score tier label</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30-day soft pull refresh</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Experian Score</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Experian India score; cross-bureau comparison flag if major discrepancy detected</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30-day or on-demand</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Credit Utilisation</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Total credit card limit vs. used amount; revolving credit utilisation %; traffic light indicator</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Bureau pull + AA</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Active Loans</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Count of open loan accounts; EMI obligations; lender names; outstanding balances; DPD status</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Bureau pull</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Credit Age</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Oldest account age; average account age; newest account opened; thin-file warning if &lt; 2 years</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Bureau pull</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 Health Rating</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LeapMoney proprietary rating (A+, A, B+, B, C, D) combining all above signals into a single grade</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Computed on each refresh</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Improvement Recommendations</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AI-generated 3–5 action items: "Pay down Card X to reduce utilisation by 18%", "Do not apply for new credit for 60 days"</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Updated with each score pull</w:t>
            </w:r>
          </w:p>
        </w:tc>
      </w:tr>
    </w:tbl>
    <w:p>
      <w:pPr>
        <w:spacing w:before="0" w:after="0"/>
      </w:pPr>
      <w:r>
        <w:t xml:space="preserve"> </w:t>
      </w:r>
    </w:p>
    <w:p>
      <w:pPr>
        <w:spacing w:before="240" w:after="100"/>
      </w:pPr>
      <w:r>
        <w:rPr>
          <w:rFonts w:ascii="Arial" w:hAnsi="Arial"/>
          <w:b/>
          <w:color w:val="2563EB"/>
          <w:sz w:val="26"/>
        </w:rPr>
        <w:t>6.2  Credit Health Dashboard — User Journey</w:t>
      </w:r>
    </w:p>
    <w:p>
      <w:pPr>
        <w:spacing w:before="40" w:after="40"/>
      </w:pPr>
      <w:r>
        <w:rPr>
          <w:rFonts w:ascii="Arial" w:hAnsi="Arial"/>
          <w:b w:val="0"/>
          <w:color w:val="000000"/>
          <w:sz w:val="20"/>
        </w:rPr>
        <w:t>Step 1  →  User registers and completes KYC on LeapMoney.</w:t>
      </w:r>
    </w:p>
    <w:p>
      <w:pPr>
        <w:spacing w:before="40" w:after="40"/>
      </w:pPr>
      <w:r>
        <w:rPr>
          <w:rFonts w:ascii="Arial" w:hAnsi="Arial"/>
          <w:b w:val="0"/>
          <w:color w:val="000000"/>
          <w:sz w:val="20"/>
        </w:rPr>
        <w:t>Step 2  →  Consents to credit pull (soft enquiry — no CIBIL impact).</w:t>
      </w:r>
    </w:p>
    <w:p>
      <w:pPr>
        <w:spacing w:before="40" w:after="40"/>
      </w:pPr>
      <w:r>
        <w:rPr>
          <w:rFonts w:ascii="Arial" w:hAnsi="Arial"/>
          <w:b w:val="0"/>
          <w:color w:val="000000"/>
          <w:sz w:val="20"/>
        </w:rPr>
        <w:t>Step 3  →  LeapMoney fetches CIBIL + Experian scores via bureau API.</w:t>
      </w:r>
    </w:p>
    <w:p>
      <w:pPr>
        <w:spacing w:before="40" w:after="40"/>
      </w:pPr>
      <w:r>
        <w:rPr>
          <w:rFonts w:ascii="Arial" w:hAnsi="Arial"/>
          <w:b w:val="0"/>
          <w:color w:val="000000"/>
          <w:sz w:val="20"/>
        </w:rPr>
        <w:t>Step 4  →  Credit Health Dashboard populates within 30 seconds.</w:t>
      </w:r>
    </w:p>
    <w:p>
      <w:pPr>
        <w:spacing w:before="40" w:after="40"/>
      </w:pPr>
      <w:r>
        <w:rPr>
          <w:rFonts w:ascii="Arial" w:hAnsi="Arial"/>
          <w:b w:val="0"/>
          <w:color w:val="000000"/>
          <w:sz w:val="20"/>
        </w:rPr>
        <w:t>Step 5  →  LeapScore™ is computed and displayed alongside bureau scores.</w:t>
      </w:r>
    </w:p>
    <w:p>
      <w:pPr>
        <w:spacing w:before="40" w:after="40"/>
      </w:pPr>
      <w:r>
        <w:rPr>
          <w:rFonts w:ascii="Arial" w:hAnsi="Arial"/>
          <w:b w:val="0"/>
          <w:color w:val="000000"/>
          <w:sz w:val="20"/>
        </w:rPr>
        <w:t>Step 6  →  AI Improvement Recommendations are generated and presented.</w:t>
      </w:r>
    </w:p>
    <w:p>
      <w:pPr>
        <w:spacing w:before="40" w:after="40"/>
      </w:pPr>
      <w:r>
        <w:rPr>
          <w:rFonts w:ascii="Arial" w:hAnsi="Arial"/>
          <w:b w:val="0"/>
          <w:color w:val="000000"/>
          <w:sz w:val="20"/>
        </w:rPr>
        <w:t>Step 7  →  User is shown matched lenders based on current LeapScore™.</w:t>
      </w:r>
    </w:p>
    <w:p>
      <w:pPr>
        <w:spacing w:before="40" w:after="40"/>
      </w:pPr>
      <w:r>
        <w:rPr>
          <w:rFonts w:ascii="Arial" w:hAnsi="Arial"/>
          <w:b w:val="0"/>
          <w:color w:val="000000"/>
          <w:sz w:val="20"/>
        </w:rPr>
        <w:t>Step 8  →  Monthly re-engagement: "Your LeapScore™ improved by 4 points. See new lender matches."</w:t>
      </w:r>
    </w:p>
    <w:p>
      <w:pPr>
        <w:spacing w:before="0" w:after="0"/>
      </w:pPr>
      <w:r>
        <w:t xml:space="preserve"> </w:t>
      </w:r>
    </w:p>
    <w:p>
      <w:pPr>
        <w:spacing w:before="240" w:after="100"/>
      </w:pPr>
      <w:r>
        <w:rPr>
          <w:rFonts w:ascii="Arial" w:hAnsi="Arial"/>
          <w:b/>
          <w:color w:val="2563EB"/>
          <w:sz w:val="26"/>
        </w:rPr>
        <w:t>6.3  Credit Health vs. Raw Bureau Score — Why Both Matter</w:t>
      </w:r>
    </w:p>
    <w:tbl>
      <w:tblPr>
        <w:jc w:val="left"/>
        <w:tblLook w:firstColumn="1" w:firstRow="1" w:lastColumn="0" w:lastRow="0" w:noHBand="0" w:noVBand="1" w:val="04A0"/>
        <w:tblW w:w="9360" w:type="dxa"/>
      </w:tblPr>
      <w:tblGrid>
        <w:gridCol w:w="2200"/>
        <w:gridCol w:w="3580"/>
        <w:gridCol w:w="3580"/>
      </w:tblGrid>
      <w:tr>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Dimension</w:t>
            </w:r>
          </w:p>
        </w:tc>
        <w:tc>
          <w:tcPr>
            <w:tcW w:w="358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Raw Bureau Score (CIBIL)</w:t>
            </w:r>
          </w:p>
        </w:tc>
        <w:tc>
          <w:tcPr>
            <w:tcW w:w="358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Credit Health Rating (LeapMoney)</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Source</w:t>
            </w:r>
          </w:p>
        </w:tc>
        <w:tc>
          <w:tcPr>
            <w:tcW w:type="dxa" w:w="35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TransUnion CIBIL algorithm</w:t>
            </w:r>
          </w:p>
        </w:tc>
        <w:tc>
          <w:tcPr>
            <w:tcW w:type="dxa" w:w="35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LeapMoney proprietary computation</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Components</w:t>
            </w:r>
          </w:p>
        </w:tc>
        <w:tc>
          <w:tcPr>
            <w:tcW w:type="dxa" w:w="358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Payment history, utilisation, enquiries, account mix</w:t>
            </w:r>
          </w:p>
        </w:tc>
        <w:tc>
          <w:tcPr>
            <w:tcW w:type="dxa" w:w="358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All CIBIL factors + income, FOIR, banking behaviour, employment</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Action Items</w:t>
            </w:r>
          </w:p>
        </w:tc>
        <w:tc>
          <w:tcPr>
            <w:tcW w:type="dxa" w:w="35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Score only — no guidance</w:t>
            </w:r>
          </w:p>
        </w:tc>
        <w:tc>
          <w:tcPr>
            <w:tcW w:type="dxa" w:w="35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Specific improvement steps with projected score impact</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Loan Match Use</w:t>
            </w:r>
          </w:p>
        </w:tc>
        <w:tc>
          <w:tcPr>
            <w:tcW w:type="dxa" w:w="358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Lenders use as primary filter</w:t>
            </w:r>
          </w:p>
        </w:tc>
        <w:tc>
          <w:tcPr>
            <w:tcW w:type="dxa" w:w="358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LeapMatch uses as one of six LeapScore™ components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Update Frequency</w:t>
            </w:r>
          </w:p>
        </w:tc>
        <w:tc>
          <w:tcPr>
            <w:tcW w:type="dxa" w:w="35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Monthly (bureau)</w:t>
            </w:r>
          </w:p>
        </w:tc>
        <w:tc>
          <w:tcPr>
            <w:tcW w:type="dxa" w:w="35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Monthly bureau + real-time LeapScore™ model</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Borrower Value</w:t>
            </w:r>
          </w:p>
        </w:tc>
        <w:tc>
          <w:tcPr>
            <w:tcW w:type="dxa" w:w="358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Diagnostic only</w:t>
            </w:r>
          </w:p>
        </w:tc>
        <w:tc>
          <w:tcPr>
            <w:tcW w:type="dxa" w:w="358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Diagnostic + prescriptive + predictive (approval probability)</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7  AI Bank Comparison Engine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5F3FF"/>
            <w:tcMar>
              <w:top w:w="120" w:type="dxa"/>
              <w:bottom w:w="120" w:type="dxa"/>
              <w:left w:w="200" w:type="dxa"/>
              <w:right w:w="200" w:type="dxa"/>
            </w:tcMar>
          </w:tcPr>
          <w:p>
            <w:pPr>
              <w:spacing w:before="20" w:after="20"/>
            </w:pPr>
            <w:r>
              <w:rPr>
                <w:rFonts w:ascii="Arial" w:hAnsi="Arial"/>
                <w:b w:val="0"/>
                <w:color w:val="0B1220"/>
                <w:sz w:val="20"/>
              </w:rPr>
              <w:t>The AI Bank Comparison Engine is a standalone module within LeapMatch that enables borrowers and DSAs to compare loan offers across all eligible lenders in real time — not by interest rate alone, but by Total Cost of Borrowing, Approval Probability, Processing Speed, and Customer Experience.</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7.1  Comparison Dimensions</w:t>
      </w:r>
    </w:p>
    <w:tbl>
      <w:tblPr>
        <w:jc w:val="left"/>
        <w:tblLook w:firstColumn="1" w:firstRow="1" w:lastColumn="0" w:lastRow="0" w:noHBand="0" w:noVBand="1" w:val="04A0"/>
        <w:tblW w:w="9360" w:type="dxa"/>
      </w:tblPr>
      <w:tblGrid>
        <w:gridCol w:w="2400"/>
        <w:gridCol w:w="4160"/>
        <w:gridCol w:w="2800"/>
      </w:tblGrid>
      <w:tr>
        <w:tc>
          <w:tcPr>
            <w:tcW w:w="24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Dimension</w:t>
            </w:r>
          </w:p>
        </w:tc>
        <w:tc>
          <w:tcPr>
            <w:tcW w:w="41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Description</w:t>
            </w:r>
          </w:p>
        </w:tc>
        <w:tc>
          <w:tcPr>
            <w:tcW w:w="28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Data Source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Approval Probability</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ML-predicted likelihood (%) this specific borrower profile gets approved by this lender. LeapMoney proprietary.</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Outcome Feedback Loop + Lender Policy Engine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Interest Rate</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Offered rate range (p.a.); flat vs. reducing balance flag; floating vs. fixed flag</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Lender API + DSA intelligence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Processing Fee</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Percentage or flat fee; GST-inclusive display; hidden fee disclosure flag</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 API + policy database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Documentation Requirements</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List of documents this lender needs; traffic-light indicator for document readiness of this borrower</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Lender Policy Engine + user profile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Disbursement Speed</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Estimated days from application to disbursement for this lender / loan type combination</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Outcome data + lender SLA</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Customer Experience Rating</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Aggregated rating from past LeapMoney borrowers who took loans from this lender (post-disbursement feedback)</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User feedback module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Total Cost of Borrowing</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TCB = (Interest + Processing Fee + Insurance + Other Charges) calculated for the exact loan amount and tenure requested</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Computed: all fee components</w:t>
            </w:r>
          </w:p>
        </w:tc>
      </w:tr>
    </w:tbl>
    <w:p>
      <w:pPr>
        <w:spacing w:before="0" w:after="0"/>
      </w:pPr>
      <w:r>
        <w:t xml:space="preserve"> </w:t>
      </w:r>
    </w:p>
    <w:p>
      <w:pPr>
        <w:spacing w:before="240" w:after="100"/>
      </w:pPr>
      <w:r>
        <w:rPr>
          <w:rFonts w:ascii="Arial" w:hAnsi="Arial"/>
          <w:b/>
          <w:color w:val="2563EB"/>
          <w:sz w:val="26"/>
        </w:rPr>
        <w:t>7.2  Comparison Engine Output Format</w:t>
      </w:r>
    </w:p>
    <w:p>
      <w:pPr>
        <w:spacing w:before="40" w:after="40"/>
      </w:pPr>
      <w:r>
        <w:rPr>
          <w:rFonts w:ascii="Arial" w:hAnsi="Arial"/>
          <w:b w:val="0"/>
          <w:color w:val="000000"/>
          <w:sz w:val="20"/>
        </w:rPr>
        <w:t>For each eligible lender, the engine produces a Lender Card containing:</w:t>
      </w:r>
    </w:p>
    <w:p>
      <w:pPr>
        <w:pStyle w:val="ListBullet"/>
        <w:spacing w:before="20" w:after="20"/>
      </w:pPr>
      <w:r>
        <w:rPr>
          <w:rFonts w:ascii="Arial" w:hAnsi="Arial"/>
          <w:color w:val="000000"/>
          <w:sz w:val="20"/>
        </w:rPr>
        <w:t>Lender logo + name + loan product type</w:t>
      </w:r>
    </w:p>
    <w:p>
      <w:pPr>
        <w:pStyle w:val="ListBullet"/>
        <w:spacing w:before="20" w:after="20"/>
      </w:pPr>
      <w:r>
        <w:rPr>
          <w:rFonts w:ascii="Arial" w:hAnsi="Arial"/>
          <w:color w:val="000000"/>
          <w:sz w:val="20"/>
        </w:rPr>
        <w:t>Approval Probability — displayed as percentage with confidence tier (High / Medium / Low)</w:t>
      </w:r>
    </w:p>
    <w:p>
      <w:pPr>
        <w:pStyle w:val="ListBullet"/>
        <w:spacing w:before="20" w:after="20"/>
      </w:pPr>
      <w:r>
        <w:rPr>
          <w:rFonts w:ascii="Arial" w:hAnsi="Arial"/>
          <w:color w:val="000000"/>
          <w:sz w:val="20"/>
        </w:rPr>
        <w:t>Interest Rate — range and effective rate</w:t>
      </w:r>
    </w:p>
    <w:p>
      <w:pPr>
        <w:pStyle w:val="ListBullet"/>
        <w:spacing w:before="20" w:after="20"/>
      </w:pPr>
      <w:r>
        <w:rPr>
          <w:rFonts w:ascii="Arial" w:hAnsi="Arial"/>
          <w:color w:val="000000"/>
          <w:sz w:val="20"/>
        </w:rPr>
        <w:t>TCB — total rupee cost at requested loan amount and tenure</w:t>
      </w:r>
    </w:p>
    <w:p>
      <w:pPr>
        <w:pStyle w:val="ListBullet"/>
        <w:spacing w:before="20" w:after="20"/>
      </w:pPr>
      <w:r>
        <w:rPr>
          <w:rFonts w:ascii="Arial" w:hAnsi="Arial"/>
          <w:color w:val="000000"/>
          <w:sz w:val="20"/>
        </w:rPr>
        <w:t>Processing Fee — inclusive of GST</w:t>
      </w:r>
    </w:p>
    <w:p>
      <w:pPr>
        <w:pStyle w:val="ListBullet"/>
        <w:spacing w:before="20" w:after="20"/>
      </w:pPr>
      <w:r>
        <w:rPr>
          <w:rFonts w:ascii="Arial" w:hAnsi="Arial"/>
          <w:color w:val="000000"/>
          <w:sz w:val="20"/>
        </w:rPr>
        <w:t>Disbursement Timeline — "Typically 2–4 business days"</w:t>
      </w:r>
    </w:p>
    <w:p>
      <w:pPr>
        <w:pStyle w:val="ListBullet"/>
        <w:spacing w:before="20" w:after="20"/>
      </w:pPr>
      <w:r>
        <w:rPr>
          <w:rFonts w:ascii="Arial" w:hAnsi="Arial"/>
          <w:color w:val="000000"/>
          <w:sz w:val="20"/>
        </w:rPr>
        <w:t>Document Readiness — "You are missing: Latest 3-month bank statement"</w:t>
      </w:r>
    </w:p>
    <w:p>
      <w:pPr>
        <w:pStyle w:val="ListBullet"/>
        <w:spacing w:before="20" w:after="20"/>
      </w:pPr>
      <w:r>
        <w:rPr>
          <w:rFonts w:ascii="Arial" w:hAnsi="Arial"/>
          <w:color w:val="000000"/>
          <w:sz w:val="20"/>
        </w:rPr>
        <w:t>Customer Experience Score — 4.2/5 from 234 LeapMoney borrowers</w:t>
      </w:r>
    </w:p>
    <w:p>
      <w:pPr>
        <w:pStyle w:val="ListBullet"/>
        <w:spacing w:before="20" w:after="20"/>
      </w:pPr>
      <w:r>
        <w:rPr>
          <w:rFonts w:ascii="Arial" w:hAnsi="Arial"/>
          <w:color w:val="000000"/>
          <w:sz w:val="20"/>
        </w:rPr>
        <w:t>"Apply Now" CTA — triggers application flow with pre-filled data</w:t>
      </w:r>
    </w:p>
    <w:p>
      <w:pPr>
        <w:spacing w:before="0" w:after="0"/>
      </w:pPr>
      <w:r>
        <w:t xml:space="preserve"> </w:t>
      </w:r>
    </w:p>
    <w:p>
      <w:pPr>
        <w:spacing w:before="240" w:after="100"/>
      </w:pPr>
      <w:r>
        <w:rPr>
          <w:rFonts w:ascii="Arial" w:hAnsi="Arial"/>
          <w:b/>
          <w:color w:val="2563EB"/>
          <w:sz w:val="26"/>
        </w:rPr>
        <w:t>7.3  Regulatory Compliance — TCB Disclosure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EF3C7"/>
            <w:tcMar>
              <w:top w:w="120" w:type="dxa"/>
              <w:bottom w:w="120" w:type="dxa"/>
              <w:left w:w="200" w:type="dxa"/>
              <w:right w:w="200" w:type="dxa"/>
            </w:tcMar>
          </w:tcPr>
          <w:p>
            <w:pPr>
              <w:spacing w:before="20" w:after="20"/>
            </w:pPr>
            <w:r>
              <w:rPr>
                <w:rFonts w:ascii="Arial" w:hAnsi="Arial"/>
                <w:b w:val="0"/>
                <w:color w:val="334155"/>
                <w:sz w:val="19"/>
              </w:rPr>
              <w:t>RBI Digital Lending Guidelines 2022 (Section 8) mandate that all Lending Service Providers must disclose the Annual Percentage Rate (APR) and all-inclusive cost of credit before loan acceptance. The AI Bank Comparison Engine's Total Cost of Borrowing calculation is designed to meet this requirement — not merely as a compliance checkbox but as a core user trust mechanism.</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8  Credit Intelligence Engine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The Credit Intelligence Engine (CIE) is LeapMoney's core platform capability — the data and ML layer that powers LeapScore™, the Credit Health Dashboard, the Approval Probability Engine, and Financial Readiness Insights. It is not a user-facing product; it is the intelligence substrate that makes all user-facing products more accurate over time.</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8.1  CIE — Four Capability Pillars</w:t>
      </w:r>
    </w:p>
    <w:tbl>
      <w:tblPr>
        <w:jc w:val="left"/>
        <w:tblLook w:firstColumn="1" w:firstRow="1" w:lastColumn="0" w:lastRow="0" w:noHBand="0" w:noVBand="1" w:val="04A0"/>
        <w:tblW w:w="9360" w:type="dxa"/>
      </w:tblPr>
      <w:tblGrid>
        <w:gridCol w:w="2200"/>
        <w:gridCol w:w="4360"/>
        <w:gridCol w:w="2800"/>
      </w:tblGrid>
      <w:tr>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Pillar</w:t>
            </w:r>
          </w:p>
        </w:tc>
        <w:tc>
          <w:tcPr>
            <w:tcW w:w="43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Function</w:t>
            </w:r>
          </w:p>
        </w:tc>
        <w:tc>
          <w:tcPr>
            <w:tcW w:w="2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Powers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LeapScore™ Engine</w:t>
            </w:r>
          </w:p>
        </w:tc>
        <w:tc>
          <w:tcPr>
            <w:tcW w:type="dxa" w:w="4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Computes the 0–100 proprietary composite score from bureau data, income, FOIR, banking behaviour, employment, and document readiness. Runs on every new data input and refreshes on each bureau pull.</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LeapScore™ display, lender match ranking, approval probability base signal</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 Health Computation</w:t>
            </w:r>
          </w:p>
        </w:tc>
        <w:tc>
          <w:tcPr>
            <w:tcW w:type="dxa" w:w="4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Processes raw bureau data (tradeline history, enquiries, delinquency flags, credit card utilisation) and transforms it into structured health modules for the dashboard.</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Credit Health Dashboard, Credit Health Rating (A+ to D), bureau comparison</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Approval Probability Engine (APE)</w:t>
            </w:r>
          </w:p>
        </w:tc>
        <w:tc>
          <w:tcPr>
            <w:tcW w:type="dxa" w:w="4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Per-lender ML model that outputs approval probability for a given borrower profile. Trained on historical outcome data (approved/rejected/disbursed). Separate model per lender.</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AI Bank Comparison Engine, LeapMatch ranking, DSA pre-qualification reports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Financial Readiness Insights</w:t>
            </w:r>
          </w:p>
        </w:tc>
        <w:tc>
          <w:tcPr>
            <w:tcW w:type="dxa" w:w="4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Generative AI layer that converts CIE outputs into natural language: improvement recommendations, milestone alerts, pre-approval notifications, financial health summaries.</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Credit Health Dashboard recommendations, LeapScore™ improvement plans, proactive alerts</w:t>
            </w:r>
          </w:p>
        </w:tc>
      </w:tr>
    </w:tbl>
    <w:p>
      <w:pPr>
        <w:spacing w:before="0" w:after="0"/>
      </w:pPr>
      <w:r>
        <w:t xml:space="preserve"> </w:t>
      </w:r>
    </w:p>
    <w:p>
      <w:pPr>
        <w:spacing w:before="240" w:after="100"/>
      </w:pPr>
      <w:r>
        <w:rPr>
          <w:rFonts w:ascii="Arial" w:hAnsi="Arial"/>
          <w:b/>
          <w:color w:val="2563EB"/>
          <w:sz w:val="26"/>
        </w:rPr>
        <w:t>8.2  Data Inputs to CIE</w:t>
      </w:r>
    </w:p>
    <w:tbl>
      <w:tblPr>
        <w:jc w:val="left"/>
        <w:tblLook w:firstColumn="1" w:firstRow="1" w:lastColumn="0" w:lastRow="0" w:noHBand="0" w:noVBand="1" w:val="04A0"/>
        <w:tblW w:w="9360" w:type="dxa"/>
      </w:tblPr>
      <w:tblGrid>
        <w:gridCol w:w="2400"/>
        <w:gridCol w:w="4160"/>
        <w:gridCol w:w="2800"/>
      </w:tblGrid>
      <w:tr>
        <w:tc>
          <w:tcPr>
            <w:tcW w:w="2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Input Category</w:t>
            </w:r>
          </w:p>
        </w:tc>
        <w:tc>
          <w:tcPr>
            <w:tcW w:w="41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Data Points</w:t>
            </w:r>
          </w:p>
        </w:tc>
        <w:tc>
          <w:tcPr>
            <w:tcW w:w="28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Access Method</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Bureau Data</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CIBIL score, Experian score, tradeline history, enquiry history, delinquency flags, credit card utilisation</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Bureau API (paid per pull)</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Income Data</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Monthly salary, ITR for 2 years, business income, freelance income</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AA Framework or document upload + parsing</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Banking Behaviour</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Average monthly balance, salary credit day, EMI debit pattern, overdraft events, cash withdrawal pattern</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Account Aggregator (AA) or PDF bank statement</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Employment Data</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Employer name, employment type, tenure, Form 16</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Document upload + employer verification API</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FOIR Data</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All EMI obligations from bureau + bank statement debit matching</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Bureau + AA cross-reference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Platform Signals</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Document completeness, KYC status, login recency, consent flags, application history on LeapMoney</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Internal LeapMoney database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Outcome Data</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 approved / rejected / disbursed / prepaid / defaulted — per lender, per borrower profile cluster</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 callback API + DSA confirmation</w:t>
            </w:r>
          </w:p>
        </w:tc>
      </w:tr>
    </w:tbl>
    <w:p>
      <w:pPr>
        <w:spacing w:before="0" w:after="0"/>
      </w:pPr>
      <w:r>
        <w:t xml:space="preserve"> </w:t>
      </w:r>
    </w:p>
    <w:p>
      <w:pPr>
        <w:spacing w:before="240" w:after="100"/>
      </w:pPr>
      <w:r>
        <w:rPr>
          <w:rFonts w:ascii="Arial" w:hAnsi="Arial"/>
          <w:b/>
          <w:color w:val="2563EB"/>
          <w:sz w:val="26"/>
        </w:rPr>
        <w:t>8.3  CIE — Flywheel Effect</w:t>
      </w:r>
    </w:p>
    <w:p>
      <w:pPr>
        <w:spacing w:before="40" w:after="40"/>
      </w:pPr>
      <w:r>
        <w:rPr>
          <w:rFonts w:ascii="Arial" w:hAnsi="Arial"/>
          <w:b/>
          <w:color w:val="000000"/>
          <w:sz w:val="20"/>
        </w:rPr>
        <w:t>The CIE compounds in value with every transaction:</w:t>
      </w:r>
    </w:p>
    <w:p>
      <w:pPr>
        <w:spacing w:before="40" w:after="40"/>
      </w:pPr>
      <w:r>
        <w:rPr>
          <w:rFonts w:ascii="Arial" w:hAnsi="Arial"/>
          <w:b w:val="0"/>
          <w:color w:val="000000"/>
          <w:sz w:val="20"/>
        </w:rPr>
        <w:t>More borrowers → More bureau pulls → Richer credit profiles → Better LeapScore™ accuracy</w:t>
      </w:r>
    </w:p>
    <w:p>
      <w:pPr>
        <w:spacing w:before="40" w:after="40"/>
      </w:pPr>
      <w:r>
        <w:rPr>
          <w:rFonts w:ascii="Arial" w:hAnsi="Arial"/>
          <w:b w:val="0"/>
          <w:color w:val="000000"/>
          <w:sz w:val="20"/>
        </w:rPr>
        <w:t>More applications → More lender outcomes → Better Approval Probability Engine → Higher match accuracy</w:t>
      </w:r>
    </w:p>
    <w:p>
      <w:pPr>
        <w:spacing w:before="40" w:after="40"/>
      </w:pPr>
      <w:r>
        <w:rPr>
          <w:rFonts w:ascii="Arial" w:hAnsi="Arial"/>
          <w:b w:val="0"/>
          <w:color w:val="000000"/>
          <w:sz w:val="20"/>
        </w:rPr>
        <w:t>Higher match accuracy → Higher borrower trust → More registrations → More data → Repeat</w:t>
      </w:r>
    </w:p>
    <w:p>
      <w:pPr>
        <w:spacing w:before="0" w:after="0"/>
      </w:pPr>
      <w:r>
        <w:t xml:space="preserve"> </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EF3C7"/>
            <w:tcMar>
              <w:top w:w="120" w:type="dxa"/>
              <w:bottom w:w="120" w:type="dxa"/>
              <w:left w:w="200" w:type="dxa"/>
              <w:right w:w="200" w:type="dxa"/>
            </w:tcMar>
          </w:tcPr>
          <w:p>
            <w:pPr>
              <w:spacing w:before="20" w:after="20"/>
            </w:pPr>
            <w:r>
              <w:rPr>
                <w:rFonts w:ascii="Arial" w:hAnsi="Arial"/>
                <w:b w:val="0"/>
                <w:color w:val="334155"/>
                <w:sz w:val="19"/>
              </w:rPr>
              <w:t>After 500,000 outcome data points (projected Month 18–24), the CIE becomes a proprietary dataset no competitor — including CIBIL or Paisabazaar — can replicate without the same borrower-lender outcome history. This is LeapMoney's primary long-term competitive moat.</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9  Financial Super App Roadmap</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0FDF4"/>
            <w:tcMar>
              <w:top w:w="120" w:type="dxa"/>
              <w:bottom w:w="120" w:type="dxa"/>
              <w:left w:w="200" w:type="dxa"/>
              <w:right w:w="200" w:type="dxa"/>
            </w:tcMar>
          </w:tcPr>
          <w:p>
            <w:pPr>
              <w:spacing w:before="20" w:after="20"/>
            </w:pPr>
            <w:r>
              <w:rPr>
                <w:rFonts w:ascii="Arial" w:hAnsi="Arial"/>
                <w:b w:val="0"/>
                <w:color w:val="0B1220"/>
                <w:sz w:val="20"/>
              </w:rPr>
              <w:t>LeapMoney's vision extends beyond loan matching. The 5-phase roadmap builds each product on top of the data and trust established by the previous phase — creating a Financial Super App that serves every major financial need of the Indian middle class from a single platform.</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9.1  Five-Phase Roadmap</w:t>
      </w:r>
    </w:p>
    <w:tbl>
      <w:tblPr>
        <w:jc w:val="left"/>
        <w:tblLook w:firstColumn="1" w:firstRow="1" w:lastColumn="0" w:lastRow="0" w:noHBand="0" w:noVBand="1" w:val="04A0"/>
        <w:tblW w:w="9460" w:type="dxa"/>
      </w:tblPr>
      <w:tblGrid>
        <w:gridCol w:w="900"/>
        <w:gridCol w:w="1600"/>
        <w:gridCol w:w="1500"/>
        <w:gridCol w:w="3400"/>
        <w:gridCol w:w="2060"/>
      </w:tblGrid>
      <w:tr>
        <w:tc>
          <w:tcPr>
            <w:tcW w:w="9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Phase</w:t>
            </w:r>
          </w:p>
        </w:tc>
        <w:tc>
          <w:tcPr>
            <w:tcW w:w="1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Product</w:t>
            </w:r>
          </w:p>
        </w:tc>
        <w:tc>
          <w:tcPr>
            <w:tcW w:w="15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Timeline</w:t>
            </w:r>
          </w:p>
        </w:tc>
        <w:tc>
          <w:tcPr>
            <w:tcW w:w="3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Core Capability Added</w:t>
            </w:r>
          </w:p>
        </w:tc>
        <w:tc>
          <w:tcPr>
            <w:tcW w:w="20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Revenue Unlocked</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Phase 1</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Loans Marketplace</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Month 1–12</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LeapMatch™, LeapScore™, Credit Health Dashboard, AI Bank Comparison, DSA Suite, Bureau Integrations</w:t>
            </w:r>
          </w:p>
        </w:tc>
        <w:tc>
          <w:tcPr>
            <w:tcW w:type="dxa" w:w="20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 referral fees; DSA SaaS; credit report upsell</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Phase 2</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Insurance</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Month 13–24</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Insurance API integrations (term life, health, loan protection); cross-sell triggers from LeapScore™ milestones; DSA insurance sales tools</w:t>
            </w:r>
          </w:p>
        </w:tc>
        <w:tc>
          <w:tcPr>
            <w:tcW w:type="dxa" w:w="20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Insurance referral commissions; protection product bundling</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Phase 3</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Mutual Funds &amp; Investments</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Month 25–36</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AMFI-registered MFD integration; SIP recommendation engine using income + FOIR data; goal-based investment matching</w:t>
            </w:r>
          </w:p>
        </w:tc>
        <w:tc>
          <w:tcPr>
            <w:tcW w:type="dxa" w:w="20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Trail commissions on AUM; direct plan distribution</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Phase 4</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 Cards</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Month 37–48</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Credit card matching using LeapScore™ data; rewards optimisation engine; spend tracking for FOIR re-calculation</w:t>
            </w:r>
          </w:p>
        </w:tc>
        <w:tc>
          <w:tcPr>
            <w:tcW w:type="dxa" w:w="20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Referral fees per card issued; ongoing data enrichment</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Phase 5</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Financial Super App</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Month 49–60</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Unified financial identity: one login → loans, insurance, MF, credit cards, credit monitoring, DSA tools. Conversational AI financial advisor (LeapMatch AI V3).</w:t>
            </w:r>
          </w:p>
        </w:tc>
        <w:tc>
          <w:tcPr>
            <w:tcW w:type="dxa" w:w="20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Platform subscription; premium tier; B2B data products</w:t>
            </w:r>
          </w:p>
        </w:tc>
      </w:tr>
    </w:tbl>
    <w:p>
      <w:pPr>
        <w:spacing w:before="0" w:after="0"/>
      </w:pPr>
      <w:r>
        <w:t xml:space="preserve"> </w:t>
      </w:r>
    </w:p>
    <w:p>
      <w:pPr>
        <w:spacing w:before="240" w:after="100"/>
      </w:pPr>
      <w:r>
        <w:rPr>
          <w:rFonts w:ascii="Arial" w:hAnsi="Arial"/>
          <w:b/>
          <w:color w:val="2563EB"/>
          <w:sz w:val="26"/>
        </w:rPr>
        <w:t>9.2  Why Phase Sequencing Matters</w:t>
      </w:r>
    </w:p>
    <w:tbl>
      <w:tblPr>
        <w:jc w:val="left"/>
        <w:tblLook w:firstColumn="1" w:firstRow="1" w:lastColumn="0" w:lastRow="0" w:noHBand="0" w:noVBand="1" w:val="04A0"/>
        <w:tblW w:w="9360" w:type="dxa"/>
      </w:tblPr>
      <w:tblGrid>
        <w:gridCol w:w="2400"/>
        <w:gridCol w:w="6960"/>
      </w:tblGrid>
      <w:tr>
        <w:tc>
          <w:tcPr>
            <w:tcW w:w="2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Principle</w:t>
            </w:r>
          </w:p>
        </w:tc>
        <w:tc>
          <w:tcPr>
            <w:tcW w:w="69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Application</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Data Before Products</w:t>
            </w:r>
          </w:p>
        </w:tc>
        <w:tc>
          <w:tcPr>
            <w:tcW w:type="dxa" w:w="6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Phase 1 builds the richest financial profile of each user. Every subsequent product benefits from this profile — insurance underwriting uses income data; MF uses FOIR; credit cards use spending capacity calculations.</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Trust Compounding</w:t>
            </w:r>
          </w:p>
        </w:tc>
        <w:tc>
          <w:tcPr>
            <w:tcW w:type="dxa" w:w="6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Users who experience a successful loan match via LeapMatch™ are 4× more likely to trust LeapMoney for insurance and investment products than a cold outreach.</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Revenue Diversification</w:t>
            </w:r>
          </w:p>
        </w:tc>
        <w:tc>
          <w:tcPr>
            <w:tcW w:type="dxa" w:w="6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 marketplace fees are high but cyclical. Insurance trail commissions and MF AUM trails create recurring revenue streams that reduce platform volatility.</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DSA as Distribution</w:t>
            </w:r>
          </w:p>
        </w:tc>
        <w:tc>
          <w:tcPr>
            <w:tcW w:type="dxa" w:w="6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The DSA Suite built in Phase 1 becomes the distribution channel for insurance and MF in Phases 2–3. DSAs who already use LeapMoney tools will naturally extend to new product categories.</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Regulatory Sequencing</w:t>
            </w:r>
          </w:p>
        </w:tc>
        <w:tc>
          <w:tcPr>
            <w:tcW w:type="dxa" w:w="6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Loans require NBFC registration awareness; Insurance requires IRDA tie-ups; MF requires AMFI registration or tie-up. Each phase is gated on regulatory readiness.</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10  LeapMoney DSA Suite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The LeapMoney DSA Suite is an 8-module SaaS platform built exclusively for Direct Selling Agents. It is the first full-stack digital toolkit that enables DSAs to manage leads, clients, documents, commissions, and team performance — all integrated with LeapMatch™ for AI-powered eligibility and lender matching.</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10.1  Eight DSA Suite Modules</w:t>
      </w:r>
    </w:p>
    <w:tbl>
      <w:tblPr>
        <w:jc w:val="left"/>
        <w:tblLook w:firstColumn="1" w:firstRow="1" w:lastColumn="0" w:lastRow="0" w:noHBand="0" w:noVBand="1" w:val="04A0"/>
        <w:tblW w:w="9360" w:type="dxa"/>
      </w:tblPr>
      <w:tblGrid>
        <w:gridCol w:w="450"/>
        <w:gridCol w:w="1700"/>
        <w:gridCol w:w="3800"/>
        <w:gridCol w:w="3410"/>
      </w:tblGrid>
      <w:tr>
        <w:tc>
          <w:tcPr>
            <w:tcW w:w="45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w:t>
            </w:r>
          </w:p>
        </w:tc>
        <w:tc>
          <w:tcPr>
            <w:tcW w:w="17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Module</w:t>
            </w:r>
          </w:p>
        </w:tc>
        <w:tc>
          <w:tcPr>
            <w:tcW w:w="3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Core Functions</w:t>
            </w:r>
          </w:p>
        </w:tc>
        <w:tc>
          <w:tcPr>
            <w:tcW w:w="341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Strategic Value</w:t>
            </w:r>
          </w:p>
        </w:tc>
      </w:tr>
      <w:tr>
        <w:tc>
          <w:tcPr>
            <w:tcW w:type="dxa" w:w="45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1</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Lead Management</w:t>
            </w:r>
          </w:p>
        </w:tc>
        <w:tc>
          <w:tcPr>
            <w:tcW w:type="dxa" w:w="3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Lead capture (web form, WhatsApp, referral), lead source tracking, lead assignment to sub-agents, lead pipeline with stages (New → Qualified → Applied → Approved → Disbursed)</w:t>
            </w:r>
          </w:p>
        </w:tc>
        <w:tc>
          <w:tcPr>
            <w:tcW w:type="dxa" w:w="341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Replaces manual WhatsApp and Excel-based lead tracking that 95% of DSAs currently use</w:t>
            </w:r>
          </w:p>
        </w:tc>
      </w:tr>
      <w:tr>
        <w:tc>
          <w:tcPr>
            <w:tcW w:type="dxa" w:w="45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2</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Customer CRM</w:t>
            </w:r>
          </w:p>
        </w:tc>
        <w:tc>
          <w:tcPr>
            <w:tcW w:type="dxa" w:w="3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Full borrower profile: contact details, loan history, credit score history, document checklist, communication log, next-action reminders, birthday/anniversary triggers</w:t>
            </w:r>
          </w:p>
        </w:tc>
        <w:tc>
          <w:tcPr>
            <w:tcW w:type="dxa" w:w="341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Enables relationship DSAs to manage 500+ clients systematically instead of the current 50–80 client cap</w:t>
            </w:r>
          </w:p>
        </w:tc>
      </w:tr>
      <w:tr>
        <w:tc>
          <w:tcPr>
            <w:tcW w:type="dxa" w:w="45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3</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Document Collection</w:t>
            </w:r>
          </w:p>
        </w:tc>
        <w:tc>
          <w:tcPr>
            <w:tcW w:type="dxa" w:w="3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WhatsApp / email document request, digital document upload portal for borrowers, automatic checklist validation, document expiry alerts, secure lender submission</w:t>
            </w:r>
          </w:p>
        </w:tc>
        <w:tc>
          <w:tcPr>
            <w:tcW w:type="dxa" w:w="341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Eliminates physical document collection — the #1 DSA complaint — and reduces application preparation time by 60%</w:t>
            </w:r>
          </w:p>
        </w:tc>
      </w:tr>
      <w:tr>
        <w:tc>
          <w:tcPr>
            <w:tcW w:type="dxa" w:w="45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4</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Eligibility Check</w:t>
            </w:r>
          </w:p>
        </w:tc>
        <w:tc>
          <w:tcPr>
            <w:tcW w:type="dxa" w:w="3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Instant FOIR calculation, LeapScore™ pull, lender eligibility matrix check — before any bureau hard pull. DSA can show borrower which lenders they qualify for in 2 minutes.</w:t>
            </w:r>
          </w:p>
        </w:tc>
        <w:tc>
          <w:tcPr>
            <w:tcW w:type="dxa" w:w="341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Gives DSAs a professional consultative tool — transforming them from loan salespeople to financial advisors</w:t>
            </w:r>
          </w:p>
        </w:tc>
      </w:tr>
      <w:tr>
        <w:tc>
          <w:tcPr>
            <w:tcW w:type="dxa" w:w="45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5</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Commission Tracking</w:t>
            </w:r>
          </w:p>
        </w:tc>
        <w:tc>
          <w:tcPr>
            <w:tcW w:type="dxa" w:w="3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Real-time commission dashboard: pending (application submitted), approved (loan sanctioned), disbursed (paid). Payout timeline, lender-wise breakdown, GST invoice generation.</w:t>
            </w:r>
          </w:p>
        </w:tc>
        <w:tc>
          <w:tcPr>
            <w:tcW w:type="dxa" w:w="341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Solves the #1 DSA grievance: commission opacity. Creates platform loyalty by making LeapMoney the source of truth for DSA income.</w:t>
            </w:r>
          </w:p>
        </w:tc>
      </w:tr>
      <w:tr>
        <w:tc>
          <w:tcPr>
            <w:tcW w:type="dxa" w:w="45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6</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Team Management</w:t>
            </w:r>
          </w:p>
        </w:tc>
        <w:tc>
          <w:tcPr>
            <w:tcW w:type="dxa" w:w="3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Team lead dashboard: sub-agent management, lead assignment, performance monitoring, commission splits, hierarchy management for franchise DSAs</w:t>
            </w:r>
          </w:p>
        </w:tc>
        <w:tc>
          <w:tcPr>
            <w:tcW w:type="dxa" w:w="341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Enables Andromeda-style franchise DSA networks to operate digitally on LeapMoney infrastructure</w:t>
            </w:r>
          </w:p>
        </w:tc>
      </w:tr>
      <w:tr>
        <w:tc>
          <w:tcPr>
            <w:tcW w:type="dxa" w:w="45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7</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WhatsApp Automation</w:t>
            </w:r>
          </w:p>
        </w:tc>
        <w:tc>
          <w:tcPr>
            <w:tcW w:type="dxa" w:w="3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Automated WhatsApp messages at each lead stage; document request flows; EMI reminders; approval congratulations; drip campaigns for leads who did not convert</w:t>
            </w:r>
          </w:p>
        </w:tc>
        <w:tc>
          <w:tcPr>
            <w:tcW w:type="dxa" w:w="341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DSA productivity multiplier: one DSA can maintain 5× the client relationships with automation vs. manual follow-up</w:t>
            </w:r>
          </w:p>
        </w:tc>
      </w:tr>
      <w:tr>
        <w:tc>
          <w:tcPr>
            <w:tcW w:type="dxa" w:w="45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8</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Performance Analytics</w:t>
            </w:r>
          </w:p>
        </w:tc>
        <w:tc>
          <w:tcPr>
            <w:tcW w:type="dxa" w:w="3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DSA-level dashboard: conversion rate (leads to disbursals), average loan size, lender mix, monthly GMV, income earned vs. same period last year, LeapScore™ of portfolio</w:t>
            </w:r>
          </w:p>
        </w:tc>
        <w:tc>
          <w:tcPr>
            <w:tcW w:type="dxa" w:w="341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Gives DSA principals the data to coach teams, reward top performers, and identify which lender relationships to deepen</w:t>
            </w:r>
          </w:p>
        </w:tc>
      </w:tr>
    </w:tbl>
    <w:p>
      <w:pPr>
        <w:spacing w:before="0" w:after="0"/>
      </w:pPr>
      <w:r>
        <w:t xml:space="preserve"> </w:t>
      </w:r>
    </w:p>
    <w:p>
      <w:pPr>
        <w:spacing w:before="240" w:after="100"/>
      </w:pPr>
      <w:r>
        <w:rPr>
          <w:rFonts w:ascii="Arial" w:hAnsi="Arial"/>
          <w:b/>
          <w:color w:val="2563EB"/>
          <w:sz w:val="26"/>
        </w:rPr>
        <w:t>10.2  DSA Suite Pricing Tiers</w:t>
      </w:r>
    </w:p>
    <w:tbl>
      <w:tblPr>
        <w:jc w:val="left"/>
        <w:tblLook w:firstColumn="1" w:firstRow="1" w:lastColumn="0" w:lastRow="0" w:noHBand="0" w:noVBand="1" w:val="04A0"/>
        <w:tblW w:w="9360" w:type="dxa"/>
      </w:tblPr>
      <w:tblGrid>
        <w:gridCol w:w="1600"/>
        <w:gridCol w:w="1400"/>
        <w:gridCol w:w="4200"/>
        <w:gridCol w:w="2160"/>
      </w:tblGrid>
      <w:tr>
        <w:tc>
          <w:tcPr>
            <w:tcW w:w="16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Tier</w:t>
            </w:r>
          </w:p>
        </w:tc>
        <w:tc>
          <w:tcPr>
            <w:tcW w:w="14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Price</w:t>
            </w:r>
          </w:p>
        </w:tc>
        <w:tc>
          <w:tcPr>
            <w:tcW w:w="42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Includes</w:t>
            </w:r>
          </w:p>
        </w:tc>
        <w:tc>
          <w:tcPr>
            <w:tcW w:w="21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Target Segment</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Starter</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₹499 / month</w:t>
            </w:r>
          </w:p>
        </w:tc>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Lead Management + Customer CRM + Eligibility Check (up to 50 leads/month)</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Solo DSA, part-time agents</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Professional</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₹999 / month</w:t>
            </w:r>
          </w:p>
        </w:tc>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All Starter + Document Collection + Commission Tracking + WhatsApp Automation (200 leads/month)</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Full-time DSA, small agency</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Business</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₹1,999 / month</w:t>
            </w:r>
          </w:p>
        </w:tc>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All Professional + Team Management + Performance Analytics + Unlimited leads + Priority support</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DSA franchise, team leaders</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Enterprise</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Custom</w:t>
            </w:r>
          </w:p>
        </w:tc>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White-label option, API access, custom integrations, dedicated account manager</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Large DSA networks (50+ agents)</w:t>
            </w:r>
          </w:p>
        </w:tc>
      </w:tr>
    </w:tbl>
    <w:p>
      <w:pPr>
        <w:spacing w:before="0" w:after="0"/>
      </w:pPr>
      <w:r>
        <w:t xml:space="preserve"> </w:t>
      </w:r>
    </w:p>
    <w:p>
      <w:pPr>
        <w:spacing w:before="240" w:after="100"/>
      </w:pPr>
      <w:r>
        <w:rPr>
          <w:rFonts w:ascii="Arial" w:hAnsi="Arial"/>
          <w:b/>
          <w:color w:val="2563EB"/>
          <w:sz w:val="26"/>
        </w:rPr>
        <w:t>10.3  DSA Suite as Platform Moat</w:t>
      </w:r>
    </w:p>
    <w:p>
      <w:pPr>
        <w:spacing w:before="40" w:after="40"/>
      </w:pPr>
      <w:r>
        <w:rPr>
          <w:rFonts w:ascii="Arial" w:hAnsi="Arial"/>
          <w:b w:val="0"/>
          <w:color w:val="000000"/>
          <w:sz w:val="20"/>
        </w:rPr>
        <w:t>Every DSA on the Suite generates lead flow, borrower data, outcome data, and lender intelligence that feeds directly into the Credit Intelligence Engine. A DSA network of 5,000+ agents generates an estimated 250,000+ loan enquiries per month — creating the data volume that makes LeapMatch™ and LeapScore™ progressively more accurate. The DSA Suite is simultaneously a revenue stream and a data acquisition channel.</w:t>
      </w:r>
    </w:p>
    <w:p>
      <w:pPr>
        <w:spacing w:before="0" w:after="0"/>
      </w:pPr>
      <w:r>
        <w:br w:type="page"/>
      </w:r>
    </w:p>
    <w:p>
      <w:pPr>
        <w:spacing w:before="320" w:after="120"/>
        <w:pBdr>
          <w:bottom w:val="single" w:sz="8" w:space="2" w:color="2563EB"/>
        </w:pBdr>
      </w:pPr>
      <w:r>
        <w:rPr>
          <w:rFonts w:ascii="Arial" w:hAnsi="Arial"/>
          <w:b/>
          <w:color w:val="0B1220"/>
          <w:sz w:val="36"/>
        </w:rPr>
        <w:t>11  Bureau Integration Strategy</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EF3C7"/>
            <w:tcMar>
              <w:top w:w="120" w:type="dxa"/>
              <w:bottom w:w="120" w:type="dxa"/>
              <w:left w:w="200" w:type="dxa"/>
              <w:right w:w="200" w:type="dxa"/>
            </w:tcMar>
          </w:tcPr>
          <w:p>
            <w:pPr>
              <w:spacing w:before="20" w:after="20"/>
            </w:pPr>
            <w:r>
              <w:rPr>
                <w:rFonts w:ascii="Arial" w:hAnsi="Arial"/>
                <w:b w:val="0"/>
                <w:color w:val="334155"/>
                <w:sz w:val="20"/>
              </w:rPr>
              <w:t>Credit bureau data is the foundation of LeapMatch™ and LeapScore™. LeapMoney's bureau strategy moves from single-bureau dependency (CIBIL) to a multi-bureau, Account Aggregator-enabled data environment — giving LeapMoney a richer credit picture than any single-bureau platform.</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11.1  Bureau Integration Roadmap</w:t>
      </w:r>
    </w:p>
    <w:tbl>
      <w:tblPr>
        <w:jc w:val="left"/>
        <w:tblLook w:firstColumn="1" w:firstRow="1" w:lastColumn="0" w:lastRow="0" w:noHBand="0" w:noVBand="1" w:val="04A0"/>
        <w:tblW w:w="9560" w:type="dxa"/>
      </w:tblPr>
      <w:tblGrid>
        <w:gridCol w:w="1900"/>
        <w:gridCol w:w="1500"/>
        <w:gridCol w:w="1700"/>
        <w:gridCol w:w="2400"/>
        <w:gridCol w:w="2060"/>
      </w:tblGrid>
      <w:tr>
        <w:tc>
          <w:tcPr>
            <w:tcW w:w="19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Bureau / Framework</w:t>
            </w:r>
          </w:p>
        </w:tc>
        <w:tc>
          <w:tcPr>
            <w:tcW w:w="15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Type</w:t>
            </w:r>
          </w:p>
        </w:tc>
        <w:tc>
          <w:tcPr>
            <w:tcW w:w="17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Integration Phase</w:t>
            </w:r>
          </w:p>
        </w:tc>
        <w:tc>
          <w:tcPr>
            <w:tcW w:w="2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Data Available</w:t>
            </w:r>
          </w:p>
        </w:tc>
        <w:tc>
          <w:tcPr>
            <w:tcW w:w="20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Use in LeapMoney</w:t>
            </w:r>
          </w:p>
        </w:tc>
      </w:tr>
      <w:tr>
        <w:tc>
          <w:tcPr>
            <w:tcW w:type="dxa" w:w="1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TransUnion CIBIL</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Primary Bureau</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Phase 1 — Month 1</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Credit score (300–900), tradeline history, payment history, enquiry record, DPD data</w:t>
            </w:r>
          </w:p>
        </w:tc>
        <w:tc>
          <w:tcPr>
            <w:tcW w:type="dxa" w:w="20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Core LeapScore™ input; primary lender filter; Credit Health Dashboard</w:t>
            </w:r>
          </w:p>
        </w:tc>
      </w:tr>
      <w:tr>
        <w:tc>
          <w:tcPr>
            <w:tcW w:type="dxa" w:w="1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Experian India</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Secondary Bureau</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Phase 1 — Month 3</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Experian credit score, alternate tradeline view, derogatory account flags</w:t>
            </w:r>
          </w:p>
        </w:tc>
        <w:tc>
          <w:tcPr>
            <w:tcW w:type="dxa" w:w="20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Cross-bureau validation; discrepancy flagging; improves LeapScore™ accuracy for thin-file users</w:t>
            </w:r>
          </w:p>
        </w:tc>
      </w:tr>
      <w:tr>
        <w:tc>
          <w:tcPr>
            <w:tcW w:type="dxa" w:w="1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CRIF High Mark</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Tertiary Bureau</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Phase 2 — Month 12</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Particularly strong for microfinance, MSME, self-employed borrowers with limited bank credit history</w:t>
            </w:r>
          </w:p>
        </w:tc>
        <w:tc>
          <w:tcPr>
            <w:tcW w:type="dxa" w:w="20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MSME loan matching; self-employed LeapScore™ model refinement; Tier 2/3 coverage</w:t>
            </w:r>
          </w:p>
        </w:tc>
      </w:tr>
      <w:tr>
        <w:tc>
          <w:tcPr>
            <w:tcW w:type="dxa" w:w="1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Account Aggregator (AA)</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RBI Framework</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Phase 2 — Month 9</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Bank account transactions, FD, RD, insurance policies, MF holdings — with explicit user consent</w:t>
            </w:r>
          </w:p>
        </w:tc>
        <w:tc>
          <w:tcPr>
            <w:tcW w:type="dxa" w:w="20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Banking behaviour scoring; income verification without document upload; FOIR computation from live data</w:t>
            </w:r>
          </w:p>
        </w:tc>
      </w:tr>
      <w:tr>
        <w:tc>
          <w:tcPr>
            <w:tcW w:type="dxa" w:w="1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Sahamati Network</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AA Ecosystem</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Phase 2 — Month 9</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Access to 40+ FIPs (Financial Information Providers) including all major banks via AA network</w:t>
            </w:r>
          </w:p>
        </w:tc>
        <w:tc>
          <w:tcPr>
            <w:tcW w:type="dxa" w:w="20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Real-time financial data aggregation; eliminates need for PDF bank statement upload in most cases</w:t>
            </w:r>
          </w:p>
        </w:tc>
      </w:tr>
    </w:tbl>
    <w:p>
      <w:pPr>
        <w:spacing w:before="0" w:after="0"/>
      </w:pPr>
      <w:r>
        <w:t xml:space="preserve"> </w:t>
      </w:r>
    </w:p>
    <w:p>
      <w:pPr>
        <w:spacing w:before="240" w:after="100"/>
      </w:pPr>
      <w:r>
        <w:rPr>
          <w:rFonts w:ascii="Arial" w:hAnsi="Arial"/>
          <w:b/>
          <w:color w:val="2563EB"/>
          <w:sz w:val="26"/>
        </w:rPr>
        <w:t>11.2  Bureau Strategy Rationale</w:t>
      </w:r>
    </w:p>
    <w:tbl>
      <w:tblPr>
        <w:jc w:val="left"/>
        <w:tblLook w:firstColumn="1" w:firstRow="1" w:lastColumn="0" w:lastRow="0" w:noHBand="0" w:noVBand="1" w:val="04A0"/>
        <w:tblW w:w="9360" w:type="dxa"/>
      </w:tblPr>
      <w:tblGrid>
        <w:gridCol w:w="2400"/>
        <w:gridCol w:w="6960"/>
      </w:tblGrid>
      <w:tr>
        <w:tc>
          <w:tcPr>
            <w:tcW w:w="2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Principle</w:t>
            </w:r>
          </w:p>
        </w:tc>
        <w:tc>
          <w:tcPr>
            <w:tcW w:w="69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Detail</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Multi-Bureau Coverage</w:t>
            </w:r>
          </w:p>
        </w:tc>
        <w:tc>
          <w:tcPr>
            <w:tcW w:type="dxa" w:w="6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CIBIL covers 600M+ individuals but misses significant MSME and rural borrower histories. CRIF covers microfinance. Experian adds alternate data. Combined, 3-bureau coverage closes most gaps.</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AA Framework Priority</w:t>
            </w:r>
          </w:p>
        </w:tc>
        <w:tc>
          <w:tcPr>
            <w:tcW w:type="dxa" w:w="6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Account Aggregator provides real-time consented financial data — a fundamentally better signal than a static 30-day-old bureau report. LeapMoney's AA integration enables live FOIR calculation and banking behaviour scoring with zero document friction for users.</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Soft Pull First</w:t>
            </w:r>
          </w:p>
        </w:tc>
        <w:tc>
          <w:tcPr>
            <w:tcW w:type="dxa" w:w="6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All bureau integrations are configured for soft enquiry on initial LeapScore™ computation. Hard enquiry only on explicit application submission — protecting the user's bureau score.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Consent Architecture</w:t>
            </w:r>
          </w:p>
        </w:tc>
        <w:tc>
          <w:tcPr>
            <w:tcW w:type="dxa" w:w="6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Every bureau pull requires explicit user consent logged with timestamp, IP, and purpose. DPDP Act 2023 requires this; LeapMoney builds it as a first-class UX element, not a back-end compliance check.</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Cost Management</w:t>
            </w:r>
          </w:p>
        </w:tc>
        <w:tc>
          <w:tcPr>
            <w:tcW w:type="dxa" w:w="6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Bureau pulls are a per-call cost. LeapMoney caches bureau data for 30 days and refreshes only on user trigger or eligibility check request. Smart caching reduces bureau API costs by ~70%.</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12  Customer Retention Strategy</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5F3FF"/>
            <w:tcMar>
              <w:top w:w="120" w:type="dxa"/>
              <w:bottom w:w="120" w:type="dxa"/>
              <w:left w:w="200" w:type="dxa"/>
              <w:right w:w="200" w:type="dxa"/>
            </w:tcMar>
          </w:tcPr>
          <w:p>
            <w:pPr>
              <w:spacing w:before="20" w:after="20"/>
            </w:pPr>
            <w:r>
              <w:rPr>
                <w:rFonts w:ascii="Arial" w:hAnsi="Arial"/>
                <w:b w:val="0"/>
                <w:color w:val="0B1220"/>
                <w:sz w:val="20"/>
              </w:rPr>
              <w:t>LeapMoney's retention model is built on a simple insight: the loan application is not the end of the customer relationship — it is the beginning. Post-disbursement, borrowers need to manage their credit health, track their loan, and plan their next financial move. LeapMoney captures this lifecycle.</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12.1  Retention Mechanisms</w:t>
      </w:r>
    </w:p>
    <w:tbl>
      <w:tblPr>
        <w:jc w:val="left"/>
        <w:tblLook w:firstColumn="1" w:firstRow="1" w:lastColumn="0" w:lastRow="0" w:noHBand="0" w:noVBand="1" w:val="04A0"/>
        <w:tblW w:w="9360" w:type="dxa"/>
      </w:tblPr>
      <w:tblGrid>
        <w:gridCol w:w="2400"/>
        <w:gridCol w:w="4560"/>
        <w:gridCol w:w="2400"/>
      </w:tblGrid>
      <w:tr>
        <w:tc>
          <w:tcPr>
            <w:tcW w:w="24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Retention Tool</w:t>
            </w:r>
          </w:p>
        </w:tc>
        <w:tc>
          <w:tcPr>
            <w:tcW w:w="45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Mechanism</w:t>
            </w:r>
          </w:p>
        </w:tc>
        <w:tc>
          <w:tcPr>
            <w:tcW w:w="24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Engagement Trigger</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Credit Score Monitoring</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Monthly LeapScore™ refresh with push notification: "Your LeapScore™ changed from 67 to 71. See updated lender matches."</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Monthly (bureau refresh cycle)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Score Improvement Tracking</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90-day improvement plan with milestone notifications: "You've completed Step 2 of 5. Your Credit Health Rating improved from B to B+."</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Weekly check-in notification</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Refinance Opportunities</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AI monitors existing loan EMIs vs. current market rates. Notifies when refinancing would save &gt; ₹10,000 over remaining tenure.</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Monthly rate scan + outstanding balance check</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Pre-Approved Offers</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As LeapScore™ improves, lenders pre-approve the user for credit. Displayed as "You are now pre-approved for ₹5 lakh Personal Loan from HDFC Bank."</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On LeapScore™ band upgrade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Financial Health Alerts</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Proactive warnings: "Your credit utilisation crossed 40% this month — this may reduce your LeapScore™. Pay down Card X by ₹8,000 to stay in the Green band."</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Monthly bureau pull analysis</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Cross-Product Nudges</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As user moves through financial journey: loan disbursed → offer loan protection insurance → 6 months later → offer SIP recommendation → 12 months → credit card match.</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Lifecycle stage milestone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Anniversary Engagement</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12-month loan anniversary: "A year since your LeapMoney loan. Your LeapScore™ improved 12 points. Here's what you qualify for now."</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Annual (loan disbursement date)</w:t>
            </w:r>
          </w:p>
        </w:tc>
      </w:tr>
    </w:tbl>
    <w:p>
      <w:pPr>
        <w:spacing w:before="0" w:after="0"/>
      </w:pPr>
      <w:r>
        <w:t xml:space="preserve"> </w:t>
      </w:r>
    </w:p>
    <w:p>
      <w:pPr>
        <w:spacing w:before="240" w:after="100"/>
      </w:pPr>
      <w:r>
        <w:rPr>
          <w:rFonts w:ascii="Arial" w:hAnsi="Arial"/>
          <w:b/>
          <w:color w:val="2563EB"/>
          <w:sz w:val="26"/>
        </w:rPr>
        <w:t>12.2  Retention KPIs</w:t>
      </w:r>
    </w:p>
    <w:tbl>
      <w:tblPr>
        <w:jc w:val="left"/>
        <w:tblLook w:firstColumn="1" w:firstRow="1" w:lastColumn="0" w:lastRow="0" w:noHBand="0" w:noVBand="1" w:val="04A0"/>
        <w:tblW w:w="9360" w:type="dxa"/>
      </w:tblPr>
      <w:tblGrid>
        <w:gridCol w:w="2800"/>
        <w:gridCol w:w="4160"/>
        <w:gridCol w:w="2400"/>
      </w:tblGrid>
      <w:tr>
        <w:tc>
          <w:tcPr>
            <w:tcW w:w="2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Metric</w:t>
            </w:r>
          </w:p>
        </w:tc>
        <w:tc>
          <w:tcPr>
            <w:tcW w:w="41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Definition</w:t>
            </w:r>
          </w:p>
        </w:tc>
        <w:tc>
          <w:tcPr>
            <w:tcW w:w="2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Target (Year 2)</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DAU / MAU Ratio</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Daily active users as % of monthly active users — measures true engagement depth</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&gt; 18%</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12-Month Retention</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of users who return to platform within 12 months of loan disbursement</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7"/>
              </w:rPr>
              <w:t>&gt; 55%</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Cross-Product Conversion</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of loan users who engage with Phase 2+ products (insurance, MF)</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&gt; 22%</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LeapScore™ Monitoring</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of registered users who actively monitor their score monthly</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7"/>
              </w:rPr>
              <w:t>&gt; 60%</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Refinance Conversion</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of eligible users who click refinance opportunities</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&gt; 8%</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Notification CTR</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Click-through rate on push notifications</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7"/>
              </w:rPr>
              <w:t>&gt; 24%</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13  Tier 2 &amp; Tier 3 Market Strategy</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0FDF4"/>
            <w:tcMar>
              <w:top w:w="120" w:type="dxa"/>
              <w:bottom w:w="120" w:type="dxa"/>
              <w:left w:w="200" w:type="dxa"/>
              <w:right w:w="200" w:type="dxa"/>
            </w:tcMar>
          </w:tcPr>
          <w:p>
            <w:pPr>
              <w:spacing w:before="20" w:after="20"/>
            </w:pPr>
            <w:r>
              <w:rPr>
                <w:rFonts w:ascii="Arial" w:hAnsi="Arial"/>
                <w:b w:val="0"/>
                <w:color w:val="0B1220"/>
                <w:sz w:val="20"/>
              </w:rPr>
              <w:t>The next 300 million Indian loan borrowers are not in Mumbai or Bangalore. They are salaried teachers, shopkeepers, clinic owners, and MSME founders in Nashik, Coimbatore, Jaipur, Patna, and Surat. No current digital lending platform is purpose-built for them. LeapMoney's architecture, DSA network, and product strategy is designed for this market from Day 1.</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13.1  Tier 2/3 Market Characteristics</w:t>
      </w:r>
    </w:p>
    <w:tbl>
      <w:tblPr>
        <w:jc w:val="left"/>
        <w:tblLook w:firstColumn="1" w:firstRow="1" w:lastColumn="0" w:lastRow="0" w:noHBand="0" w:noVBand="1" w:val="04A0"/>
        <w:tblW w:w="9360" w:type="dxa"/>
      </w:tblPr>
      <w:tblGrid>
        <w:gridCol w:w="1800"/>
        <w:gridCol w:w="2200"/>
        <w:gridCol w:w="2200"/>
        <w:gridCol w:w="3160"/>
      </w:tblGrid>
      <w:tr>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Dimension</w:t>
            </w:r>
          </w:p>
        </w:tc>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Metro Market</w:t>
            </w:r>
          </w:p>
        </w:tc>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Tier 2/3 Market</w:t>
            </w:r>
          </w:p>
        </w:tc>
        <w:tc>
          <w:tcPr>
            <w:tcW w:w="31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LeapMoney Response</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Digital Access</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High — smartphone + broadband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Medium — smartphone + 4G; low broadband</w:t>
            </w:r>
          </w:p>
        </w:tc>
        <w:tc>
          <w:tcPr>
            <w:tcW w:type="dxa" w:w="3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Progressive web app; low-bandwidth mode; offline document upload queue</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Credit Profile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Salaried, formal employment, CIBIL &gt; 700</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Mixed: informal income, thin bureau file, self-employed, seasonal cash flows</w:t>
            </w:r>
          </w:p>
        </w:tc>
        <w:tc>
          <w:tcPr>
            <w:tcW w:type="dxa" w:w="3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Multi-bureau (CRIF + Experian); AA Framework; alternate income scoring via bank statements</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Language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English comfortable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Prefers regional language</w:t>
            </w:r>
          </w:p>
        </w:tc>
        <w:tc>
          <w:tcPr>
            <w:tcW w:type="dxa" w:w="3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Hindi + 8 regional language support in Phase 1; vernacular WhatsApp communication</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Preferred Channel</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Self-serve digital</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Assisted + digital hybrid — trusts a local agent</w:t>
            </w:r>
          </w:p>
        </w:tc>
        <w:tc>
          <w:tcPr>
            <w:tcW w:type="dxa" w:w="3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DSA Suite enables local agents to use LeapMoney tools; borrower meets DSA, DSA uses platform</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Loan Type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Personal loans, home loans, car loans</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MSME working capital, gold loan top-up, education loans, affordable home loans</w:t>
            </w:r>
          </w:p>
        </w:tc>
        <w:tc>
          <w:tcPr>
            <w:tcW w:type="dxa" w:w="3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Specific product categories and NBFC partners for MSME and education verticals</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Trust Signal</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Brand name, app store rating</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Local DSA relationship, word-of-mouth</w:t>
            </w:r>
          </w:p>
        </w:tc>
        <w:tc>
          <w:tcPr>
            <w:tcW w:type="dxa" w:w="3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DSA-first GTM strategy; referral rewards; community presence via DSA networks</w:t>
            </w:r>
          </w:p>
        </w:tc>
      </w:tr>
    </w:tbl>
    <w:p>
      <w:pPr>
        <w:spacing w:before="0" w:after="0"/>
      </w:pPr>
      <w:r>
        <w:t xml:space="preserve"> </w:t>
      </w:r>
    </w:p>
    <w:p>
      <w:pPr>
        <w:spacing w:before="240" w:after="100"/>
      </w:pPr>
      <w:r>
        <w:rPr>
          <w:rFonts w:ascii="Arial" w:hAnsi="Arial"/>
          <w:b/>
          <w:color w:val="2563EB"/>
          <w:sz w:val="26"/>
        </w:rPr>
        <w:t>13.2  Digital + Assisted Marketplace Model</w:t>
      </w:r>
    </w:p>
    <w:p>
      <w:pPr>
        <w:spacing w:before="40" w:after="40"/>
      </w:pPr>
      <w:r>
        <w:rPr>
          <w:rFonts w:ascii="Arial" w:hAnsi="Arial"/>
          <w:b w:val="0"/>
          <w:color w:val="000000"/>
          <w:sz w:val="20"/>
        </w:rPr>
        <w:t>LeapMoney operates a dual-channel marketplace: fully digital for metro users, and an "assisted digital" model for Tier 2/3 — where a local DSA uses LeapMoney tools to guide a borrower through the process. The borrower benefits from AI-powered matching; the DSA earns commission; LeapMoney captures the lead, the data, and the outcome.</w:t>
      </w:r>
    </w:p>
    <w:p>
      <w:pPr>
        <w:spacing w:before="0" w:after="0"/>
      </w:pPr>
      <w:r>
        <w:t xml:space="preserve"> </w:t>
      </w:r>
    </w:p>
    <w:tbl>
      <w:tblPr>
        <w:jc w:val="left"/>
        <w:tblLook w:firstColumn="1" w:firstRow="1" w:lastColumn="0" w:lastRow="0" w:noHBand="0" w:noVBand="1" w:val="04A0"/>
        <w:tblW w:w="9360" w:type="dxa"/>
      </w:tblPr>
      <w:tblGrid>
        <w:gridCol w:w="2000"/>
        <w:gridCol w:w="4560"/>
        <w:gridCol w:w="2800"/>
      </w:tblGrid>
      <w:tr>
        <w:tc>
          <w:tcPr>
            <w:tcW w:w="2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Channel</w:t>
            </w:r>
          </w:p>
        </w:tc>
        <w:tc>
          <w:tcPr>
            <w:tcW w:w="45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User Journey</w:t>
            </w:r>
          </w:p>
        </w:tc>
        <w:tc>
          <w:tcPr>
            <w:tcW w:w="28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LeapMoney Role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Direct Digital</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Borrower finds LeapMoney via SEO/ad, registers, completes KYC, views LeapScore™, selects lender, applies — all self-serve</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Platform as product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DSA-Assisted</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Local DSA meets borrower, creates lead in DSA Suite, runs eligibility check, shares lender options, collects documents, submits application</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Platform + DSA Suite SaaS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Referral Network</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Existing borrower refers a friend; LeapMoney assigns to nearest DSA or handles self-serve; referrer earns reward on disbursement</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Platform + incentive layer</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Bank Branch Partnership</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Bank branch refers loan-ineligible customers to LeapMoney DSA network for NBFC matching (bank avoids NPL; LeapMoney gets referral)</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B2B channel partnership</w:t>
            </w:r>
          </w:p>
        </w:tc>
      </w:tr>
    </w:tbl>
    <w:p>
      <w:pPr>
        <w:spacing w:before="0" w:after="0"/>
      </w:pPr>
      <w:r>
        <w:t xml:space="preserve"> </w:t>
      </w:r>
    </w:p>
    <w:p>
      <w:pPr>
        <w:spacing w:before="240" w:after="100"/>
      </w:pPr>
      <w:r>
        <w:rPr>
          <w:rFonts w:ascii="Arial" w:hAnsi="Arial"/>
          <w:b/>
          <w:color w:val="2563EB"/>
          <w:sz w:val="26"/>
        </w:rPr>
        <w:t>13.3  MSME &amp; Self-Employed Strategy</w:t>
      </w:r>
    </w:p>
    <w:p>
      <w:pPr>
        <w:pStyle w:val="ListBullet"/>
        <w:spacing w:before="20" w:after="20"/>
      </w:pPr>
      <w:r>
        <w:rPr>
          <w:rFonts w:ascii="Arial" w:hAnsi="Arial"/>
          <w:color w:val="000000"/>
          <w:sz w:val="20"/>
        </w:rPr>
        <w:t>Dedicated MSME product category with NBFC and SIDBI-linked lender panel — not just personal loan lenders.</w:t>
      </w:r>
    </w:p>
    <w:p>
      <w:pPr>
        <w:pStyle w:val="ListBullet"/>
        <w:spacing w:before="20" w:after="20"/>
      </w:pPr>
      <w:r>
        <w:rPr>
          <w:rFonts w:ascii="Arial" w:hAnsi="Arial"/>
          <w:color w:val="000000"/>
          <w:sz w:val="20"/>
        </w:rPr>
        <w:t>LeapScore™ MSME variant: uses GST filing history, business bank account turnover, and Udyam registration as additional scoring signals.</w:t>
      </w:r>
    </w:p>
    <w:p>
      <w:pPr>
        <w:pStyle w:val="ListBullet"/>
        <w:spacing w:before="20" w:after="20"/>
      </w:pPr>
      <w:r>
        <w:rPr>
          <w:rFonts w:ascii="Arial" w:hAnsi="Arial"/>
          <w:color w:val="000000"/>
          <w:sz w:val="20"/>
        </w:rPr>
        <w:t>CA and accountant DSA channel: chartered accountants who file GST/ITR for MSMEs become LeapMoney DSAs — natural trust-based distribution.</w:t>
      </w:r>
    </w:p>
    <w:p>
      <w:pPr>
        <w:pStyle w:val="ListBullet"/>
        <w:spacing w:before="20" w:after="20"/>
      </w:pPr>
      <w:r>
        <w:rPr>
          <w:rFonts w:ascii="Arial" w:hAnsi="Arial"/>
          <w:color w:val="000000"/>
          <w:sz w:val="20"/>
        </w:rPr>
        <w:t>Collateral-linked products: Loan Against Property and gold loan matching for MSMEs who cannot show clean income documentation.</w:t>
      </w:r>
    </w:p>
    <w:p>
      <w:pPr>
        <w:spacing w:before="0" w:after="0"/>
      </w:pPr>
      <w:r>
        <w:br w:type="page"/>
      </w:r>
    </w:p>
    <w:p>
      <w:pPr>
        <w:spacing w:before="320" w:after="120"/>
        <w:pBdr>
          <w:bottom w:val="single" w:sz="8" w:space="2" w:color="2563EB"/>
        </w:pBdr>
      </w:pPr>
      <w:r>
        <w:rPr>
          <w:rFonts w:ascii="Arial" w:hAnsi="Arial"/>
          <w:b/>
          <w:color w:val="0B1220"/>
          <w:sz w:val="36"/>
        </w:rPr>
        <w:t>14  Future Competitive Moat</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LeapMoney's competitive moat is not a single technology — it is a compounding system of data, relationships, and platform effects that becomes harder to replicate with every passing quarter. This section maps each moat layer, its mechanism, and the timeline by which it becomes defensible.</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14.1  Five Moat Layers</w:t>
      </w:r>
    </w:p>
    <w:tbl>
      <w:tblPr>
        <w:jc w:val="left"/>
        <w:tblLook w:firstColumn="1" w:firstRow="1" w:lastColumn="0" w:lastRow="0" w:noHBand="0" w:noVBand="1" w:val="04A0"/>
        <w:tblW w:w="9360" w:type="dxa"/>
      </w:tblPr>
      <w:tblGrid>
        <w:gridCol w:w="2000"/>
        <w:gridCol w:w="3600"/>
        <w:gridCol w:w="2000"/>
        <w:gridCol w:w="176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Moat Layer</w:t>
            </w:r>
          </w:p>
        </w:tc>
        <w:tc>
          <w:tcPr>
            <w:tcW w:w="3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How It Builds</w:t>
            </w:r>
          </w:p>
        </w:tc>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Defensibility Window</w:t>
            </w:r>
          </w:p>
        </w:tc>
        <w:tc>
          <w:tcPr>
            <w:tcW w:w="17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Competitor Cost to Replicate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Outcome Feedback Loop</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Every loan application outcome (approved, rejected, disbursed, prepaid, defaulted) is captured, tagged, and fed back into Approval Probability Engine training. 500,000+ data points creates a dataset that cannot be purchased — it must be earned transaction by transaction.</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Strong from Month 18; dominant from Month 36</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3–5 years and ₹200+ Cr in loss-leading lead generation to accumulate comparable outcome volume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Lender Policy Engine</w:t>
            </w:r>
          </w:p>
        </w:tc>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LeapMoney builds and maintains an internal database of each lender's actual approval criteria — the criteria they use in practice, not the published guidelines. This intelligence comes from DSA feedback, outcome data, and lender onboarding discussions.</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Proprietary from Month 6; continuously updated</w:t>
            </w:r>
          </w:p>
        </w:tc>
        <w:tc>
          <w:tcPr>
            <w:tcW w:type="dxa" w:w="1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Cannot be replicated from public sources; requires lender relationship network that takes years to build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Proprietary Approval Dataset</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The combination of: applicant profiles + LeapScore™ at time of application + lender decision + loan terms + repayment behaviour creates a complete credit intelligence dataset unique to LeapMoney.</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Unique from Month 12; transformative from Month 24</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Regulatory and data privacy constraints make this type of cross-lender outcome dataset impossible to acquire through any other means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Bureau Intelligence Layer</w:t>
            </w:r>
          </w:p>
        </w:tc>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Multi-bureau integration (CIBIL + Experian + CRIF) + AA Framework creates a credit view richer than any single bureau can offer. Over time, LeapMoney's cross-bureau correlation models identify discrepancies that reveal creditworthy borrowers the single-bureau industry systematically rejects.</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Functional from Month 3; differentiated from Month 18</w:t>
            </w:r>
          </w:p>
        </w:tc>
        <w:tc>
          <w:tcPr>
            <w:tcW w:type="dxa" w:w="1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Requires 3+ bureau agreements, AA FIP/FIU licenses, and significant engineering — total cost ₹10–15 Cr and 12–18 months for a new entrant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DSA Network Intelligence</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5,000+ DSAs using the LeapMoney DSA Suite generate ground-truth intelligence: which lenders are actually approving in which geographies, for which borrower types, at which processing speeds. This real-world intelligence feeds back into the Lender Policy Engine.</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Network effects begin from 500 DSAs (Month 9); accelerate non-linearly</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Andromeda took 15+ years to build 25,000 DSAs. A new digital entrant cannot acquire DSA network intelligence without the DSA relationships.</w:t>
            </w:r>
          </w:p>
        </w:tc>
      </w:tr>
    </w:tbl>
    <w:p>
      <w:pPr>
        <w:spacing w:before="0" w:after="0"/>
      </w:pPr>
      <w:r>
        <w:t xml:space="preserve"> </w:t>
      </w:r>
    </w:p>
    <w:p>
      <w:pPr>
        <w:spacing w:before="240" w:after="100"/>
      </w:pPr>
      <w:r>
        <w:rPr>
          <w:rFonts w:ascii="Arial" w:hAnsi="Arial"/>
          <w:b/>
          <w:color w:val="2563EB"/>
          <w:sz w:val="26"/>
        </w:rPr>
        <w:t>14.2  Moat Timeline Visualisation</w:t>
      </w:r>
    </w:p>
    <w:tbl>
      <w:tblPr>
        <w:jc w:val="left"/>
        <w:tblLook w:firstColumn="1" w:firstRow="1" w:lastColumn="0" w:lastRow="0" w:noHBand="0" w:noVBand="1" w:val="04A0"/>
        <w:tblW w:w="9360" w:type="dxa"/>
      </w:tblPr>
      <w:tblGrid>
        <w:gridCol w:w="2000"/>
        <w:gridCol w:w="1840"/>
        <w:gridCol w:w="1840"/>
        <w:gridCol w:w="1840"/>
        <w:gridCol w:w="1840"/>
      </w:tblGrid>
      <w:tr>
        <w:tc>
          <w:tcPr>
            <w:tcW w:w="2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Quarter</w:t>
            </w:r>
          </w:p>
        </w:tc>
        <w:tc>
          <w:tcPr>
            <w:tcW w:w="184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Q1–Q2</w:t>
            </w:r>
          </w:p>
        </w:tc>
        <w:tc>
          <w:tcPr>
            <w:tcW w:w="184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Q3–Q4</w:t>
            </w:r>
          </w:p>
        </w:tc>
        <w:tc>
          <w:tcPr>
            <w:tcW w:w="184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Year 2</w:t>
            </w:r>
          </w:p>
        </w:tc>
        <w:tc>
          <w:tcPr>
            <w:tcW w:w="184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Year 3+</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FOIR Engine</w:t>
            </w:r>
          </w:p>
        </w:tc>
        <w:tc>
          <w:tcPr>
            <w:tcW w:type="dxa" w:w="184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7"/>
              </w:rPr>
              <w:t>✅ Live</w:t>
            </w:r>
          </w:p>
        </w:tc>
        <w:tc>
          <w:tcPr>
            <w:tcW w:type="dxa" w:w="184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7"/>
              </w:rPr>
              <w:t>✅ Refined</w:t>
            </w:r>
          </w:p>
        </w:tc>
        <w:tc>
          <w:tcPr>
            <w:tcW w:type="dxa" w:w="184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7"/>
              </w:rPr>
              <w:t>✅ Stable</w:t>
            </w:r>
          </w:p>
        </w:tc>
        <w:tc>
          <w:tcPr>
            <w:tcW w:type="dxa" w:w="184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7"/>
              </w:rPr>
              <w:t>✅ Stable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 Policy Engine</w:t>
            </w:r>
          </w:p>
        </w:tc>
        <w:tc>
          <w:tcPr>
            <w:tcW w:type="dxa" w:w="184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7"/>
              </w:rPr>
              <w:t>🔨 Building</w:t>
            </w:r>
          </w:p>
        </w:tc>
        <w:tc>
          <w:tcPr>
            <w:tcW w:type="dxa" w:w="184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7"/>
              </w:rPr>
              <w:t>✅ v1 Live</w:t>
            </w:r>
          </w:p>
        </w:tc>
        <w:tc>
          <w:tcPr>
            <w:tcW w:type="dxa" w:w="184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7"/>
              </w:rPr>
              <w:t>✅ Proprietary</w:t>
            </w:r>
          </w:p>
        </w:tc>
        <w:tc>
          <w:tcPr>
            <w:tcW w:type="dxa" w:w="184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7"/>
              </w:rPr>
              <w:t>🚀 Dominant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LeapScore™</w:t>
            </w:r>
          </w:p>
        </w:tc>
        <w:tc>
          <w:tcPr>
            <w:tcW w:type="dxa" w:w="184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7"/>
              </w:rPr>
              <w:t>🔨 v1 Rules</w:t>
            </w:r>
          </w:p>
        </w:tc>
        <w:tc>
          <w:tcPr>
            <w:tcW w:type="dxa" w:w="184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7"/>
              </w:rPr>
              <w:t>✅ v1 ML</w:t>
            </w:r>
          </w:p>
        </w:tc>
        <w:tc>
          <w:tcPr>
            <w:tcW w:type="dxa" w:w="184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7"/>
              </w:rPr>
              <w:t>🚀 Multi-bureau</w:t>
            </w:r>
          </w:p>
        </w:tc>
        <w:tc>
          <w:tcPr>
            <w:tcW w:type="dxa" w:w="184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7"/>
              </w:rPr>
              <w:t>🚀 Prescriptive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DSA Suite + Network</w:t>
            </w:r>
          </w:p>
        </w:tc>
        <w:tc>
          <w:tcPr>
            <w:tcW w:type="dxa" w:w="184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7"/>
              </w:rPr>
              <w:t>🔨 Beta</w:t>
            </w:r>
          </w:p>
        </w:tc>
        <w:tc>
          <w:tcPr>
            <w:tcW w:type="dxa" w:w="184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7"/>
              </w:rPr>
              <w:t>✅ 500 DSAs</w:t>
            </w:r>
          </w:p>
        </w:tc>
        <w:tc>
          <w:tcPr>
            <w:tcW w:type="dxa" w:w="184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7"/>
              </w:rPr>
              <w:t>🚀 5,000 DSAs</w:t>
            </w:r>
          </w:p>
        </w:tc>
        <w:tc>
          <w:tcPr>
            <w:tcW w:type="dxa" w:w="184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7"/>
              </w:rPr>
              <w:t>🚀 Network moat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Outcome Feedback Loop</w:t>
            </w:r>
          </w:p>
        </w:tc>
        <w:tc>
          <w:tcPr>
            <w:tcW w:type="dxa" w:w="184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7"/>
              </w:rPr>
              <w:t>📊 Collecting</w:t>
            </w:r>
          </w:p>
        </w:tc>
        <w:tc>
          <w:tcPr>
            <w:tcW w:type="dxa" w:w="184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7"/>
              </w:rPr>
              <w:t>📊 Training</w:t>
            </w:r>
          </w:p>
        </w:tc>
        <w:tc>
          <w:tcPr>
            <w:tcW w:type="dxa" w:w="184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7"/>
              </w:rPr>
              <w:t>🚀 ML models live</w:t>
            </w:r>
          </w:p>
        </w:tc>
        <w:tc>
          <w:tcPr>
            <w:tcW w:type="dxa" w:w="184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7"/>
              </w:rPr>
              <w:t>🚀 Proprietary dataset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Bureau Intelligence</w:t>
            </w:r>
          </w:p>
        </w:tc>
        <w:tc>
          <w:tcPr>
            <w:tcW w:type="dxa" w:w="184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7"/>
              </w:rPr>
              <w:t>✅ CIBIL</w:t>
            </w:r>
          </w:p>
        </w:tc>
        <w:tc>
          <w:tcPr>
            <w:tcW w:type="dxa" w:w="184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7"/>
              </w:rPr>
              <w:t>✅ + Experian</w:t>
            </w:r>
          </w:p>
        </w:tc>
        <w:tc>
          <w:tcPr>
            <w:tcW w:type="dxa" w:w="184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7"/>
              </w:rPr>
              <w:t>🚀 + CRIF + AA</w:t>
            </w:r>
          </w:p>
        </w:tc>
        <w:tc>
          <w:tcPr>
            <w:tcW w:type="dxa" w:w="184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7"/>
              </w:rPr>
              <w:t>🚀 Dominant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Financial Super App</w:t>
            </w:r>
          </w:p>
        </w:tc>
        <w:tc>
          <w:tcPr>
            <w:tcW w:type="dxa" w:w="184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7"/>
              </w:rPr>
              <w:t>—</w:t>
            </w:r>
          </w:p>
        </w:tc>
        <w:tc>
          <w:tcPr>
            <w:tcW w:type="dxa" w:w="184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7"/>
              </w:rPr>
              <w:t>—</w:t>
            </w:r>
          </w:p>
        </w:tc>
        <w:tc>
          <w:tcPr>
            <w:tcW w:type="dxa" w:w="184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7"/>
              </w:rPr>
              <w:t>🔨 Insurance</w:t>
            </w:r>
          </w:p>
        </w:tc>
        <w:tc>
          <w:tcPr>
            <w:tcW w:type="dxa" w:w="184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7"/>
              </w:rPr>
              <w:t>🚀 MF + Cards</w:t>
            </w:r>
          </w:p>
        </w:tc>
      </w:tr>
    </w:tbl>
    <w:p>
      <w:pPr>
        <w:spacing w:before="0" w:after="0"/>
      </w:pPr>
      <w:r>
        <w:t xml:space="preserve"> </w:t>
      </w:r>
    </w:p>
    <w:p>
      <w:pPr>
        <w:spacing w:before="240" w:after="100"/>
      </w:pPr>
      <w:r>
        <w:rPr>
          <w:rFonts w:ascii="Arial" w:hAnsi="Arial"/>
          <w:b/>
          <w:color w:val="2563EB"/>
          <w:sz w:val="26"/>
        </w:rPr>
        <w:t>14.3  Why LeapMoney Wins Long-Term</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Paisabazaar wins on brand. BankBazaar wins on breadth. Andromeda wins on relationships.</w:t>
              <w:br/>
              <w:br/>
              <w:t>LeapMoney wins on outcomes.</w:t>
              <w:br/>
              <w:br/>
              <w:t>The fundamental insight is this: in lending, the only thing that matters to every stakeholder — borrower, DSA, lender, regulator — is whether the loan gets approved, at what terms, and whether the borrower repays. LeapMoney is the only platform building an intelligence engine calibrated to predict and optimise for this outcome.</w:t>
              <w:br/>
              <w:br/>
              <w:t>When LeapMatch can predict with 85%+ accuracy which lender will approve a borrower — that is a moat no amount of marketing spend can buy.</w:t>
            </w:r>
          </w:p>
        </w:tc>
      </w:tr>
    </w:tbl>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60" w:after="60"/>
        <w:pBdr>
          <w:bottom w:val="single" w:sz="4" w:space="1" w:color="E2E8F0"/>
        </w:pBdr>
      </w:pPr>
    </w:p>
    <w:p>
      <w:pPr>
        <w:spacing w:before="0" w:after="0"/>
      </w:pPr>
      <w:r>
        <w:t xml:space="preserve"> </w:t>
      </w:r>
    </w:p>
    <w:p>
      <w:pPr>
        <w:jc w:val="center"/>
      </w:pPr>
      <w:r>
        <w:rPr>
          <w:rFonts w:ascii="Arial" w:hAnsi="Arial"/>
          <w:color w:val="94A3B8"/>
          <w:sz w:val="16"/>
        </w:rPr>
        <w:t>LeapMatch Phase 1 v1.1 — Vision &amp; Positioning  ·  v1.1  ·  June 2026  ·  LeapMoney Confidential</w:t>
      </w:r>
    </w:p>
    <w:p>
      <w:pPr>
        <w:spacing w:before="0" w:after="0"/>
      </w:pPr>
      <w:r>
        <w:t xml:space="preserve"> </w:t>
      </w:r>
    </w:p>
    <w:p>
      <w:pPr>
        <w:jc w:val="center"/>
      </w:pPr>
      <w:r>
        <w:rPr>
          <w:rFonts w:ascii="Arial" w:hAnsi="Arial"/>
          <w:b/>
          <w:color w:val="D97706"/>
          <w:sz w:val="20"/>
        </w:rPr>
        <w:t>⚠  FOUNDER APPROVED — PROCEED TO PHASE 2: TECHNICAL ARCHITECTURE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