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jc w:val="center"/>
      </w:pPr>
      <w:r>
        <w:rPr>
          <w:rFonts w:ascii="Arial" w:hAnsi="Arial"/>
          <w:b/>
          <w:color w:val="0B1220"/>
          <w:sz w:val="72"/>
        </w:rPr>
        <w:t>LeapMatch™ Architecture Addendum</w:t>
      </w:r>
    </w:p>
    <w:p>
      <w:pPr>
        <w:jc w:val="center"/>
      </w:pPr>
      <w:r>
        <w:rPr>
          <w:rFonts w:ascii="Arial" w:hAnsi="Arial"/>
          <w:b/>
          <w:color w:val="2563EB"/>
          <w:sz w:val="32"/>
        </w:rPr>
        <w:t>Lender Portal  ·  WhatsApp Native  ·  Referral Partner Ecosystem</w:t>
      </w:r>
    </w:p>
    <w:p>
      <w:pPr>
        <w:jc w:val="center"/>
      </w:pPr>
      <w:r>
        <w:rPr>
          <w:rFonts w:ascii="Arial" w:hAnsi="Arial"/>
          <w:b w:val="0"/>
          <w:color w:val="94A3B8"/>
          <w:sz w:val="22"/>
        </w:rPr>
        <w:t>Phase 2 Addendum  ·  Supplementary Architecture  ·  Version 1.0</w:t>
      </w:r>
    </w:p>
    <w:p>
      <w:pPr>
        <w:spacing w:before="0" w:after="0"/>
      </w:pPr>
      <w:r>
        <w:t xml:space="preserve"> </w:t>
      </w:r>
    </w:p>
    <w:p>
      <w:pPr>
        <w:spacing w:before="60" w:after="60"/>
        <w:pBdr>
          <w:bottom w:val="single" w:sz="4" w:space="1" w:color="E2E8F0"/>
        </w:pBdr>
      </w:pPr>
    </w:p>
    <w:p>
      <w:pPr>
        <w:spacing w:before="0" w:after="0"/>
      </w:pPr>
      <w:r>
        <w:t xml:space="preserve"> </w:t>
      </w:r>
    </w:p>
    <w:p>
      <w:pPr>
        <w:jc w:val="center"/>
      </w:pPr>
      <w:r>
        <w:rPr>
          <w:rFonts w:ascii="Arial" w:hAnsi="Arial"/>
          <w:color w:val="94A3B8"/>
          <w:sz w:val="18"/>
        </w:rPr>
        <w:t>v1.0  ·  June 2026  ·  CONFIDENTIAL  ·  FOUNDER APPROVED — ADDENDUM TO PHASE 2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tbl>
      <w:tblPr>
        <w:jc w:val="center"/>
        <w:tblLook w:firstColumn="1" w:firstRow="1" w:lastColumn="0" w:lastRow="0" w:noHBand="0" w:noVBand="1" w:val="04A0"/>
        <w:tblW w:w="8100" w:type="dxa"/>
      </w:tblPr>
      <w:tblGrid>
        <w:gridCol w:w="2700"/>
        <w:gridCol w:w="2700"/>
        <w:gridCol w:w="2700"/>
      </w:tblGrid>
      <w:t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94A3B8"/>
                <w:sz w:val="16"/>
              </w:rPr>
              <w:t>Document</w:t>
              <w:br/>
            </w:r>
            <w:r>
              <w:rPr>
                <w:rFonts w:ascii="Arial" w:hAnsi="Arial"/>
                <w:color w:val="0B1220"/>
                <w:sz w:val="18"/>
              </w:rPr>
              <w:t>LeapMatch™ Architecture Addendum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94A3B8"/>
                <w:sz w:val="16"/>
              </w:rPr>
              <w:t>Owner</w:t>
              <w:br/>
            </w:r>
            <w:r>
              <w:rPr>
                <w:rFonts w:ascii="Arial" w:hAnsi="Arial"/>
                <w:color w:val="0B1220"/>
                <w:sz w:val="18"/>
              </w:rPr>
              <w:t>LeapMoney Founding Team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94A3B8"/>
                <w:sz w:val="16"/>
              </w:rPr>
              <w:t>Status</w:t>
              <w:br/>
            </w:r>
            <w:r>
              <w:rPr>
                <w:rFonts w:ascii="Arial" w:hAnsi="Arial"/>
                <w:color w:val="0B1220"/>
                <w:sz w:val="18"/>
              </w:rPr>
              <w:t>FOUNDER APPROVED — ADDENDUM TO PHASE 2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color w:val="334155"/>
                <w:sz w:val="19"/>
              </w:rPr>
              <w:t>This addendum supplements LeapMatch Phase 2: Technical Architecture (v1.0) with three additional architecture components identified during the founder review. The existing Phase 2 document is unchanged. This document should be read alongside Phase 2 and follows the same architectural conventions, technology stack, and naming standards.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br w:type="page"/>
      </w:r>
    </w:p>
    <w:p>
      <w:pPr>
        <w:spacing w:before="320" w:after="120"/>
        <w:pBdr>
          <w:bottom w:val="single" w:sz="8" w:space="2" w:color="2563EB"/>
        </w:pBdr>
      </w:pPr>
      <w:r>
        <w:rPr>
          <w:rFonts w:ascii="Arial" w:hAnsi="Arial"/>
          <w:b/>
          <w:color w:val="0B1220"/>
          <w:sz w:val="36"/>
        </w:rPr>
        <w:t>Table of Contents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600"/>
        <w:gridCol w:w="7560"/>
        <w:gridCol w:w="1200"/>
      </w:tblGrid>
      <w:tr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§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Section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Page</w:t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A1</w:t>
            </w:r>
          </w:p>
        </w:tc>
        <w:tc>
          <w:tcPr>
            <w:tcW w:type="dxa" w:w="7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Lender Portal Architecture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A2</w:t>
            </w:r>
          </w:p>
        </w:tc>
        <w:tc>
          <w:tcPr>
            <w:tcW w:type="dxa" w:w="7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WhatsApp Native Architecture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7</w:t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A3</w:t>
            </w:r>
          </w:p>
        </w:tc>
        <w:tc>
          <w:tcPr>
            <w:tcW w:type="dxa" w:w="7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Referral Partner Ecosystem Architecture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000000"/>
                <w:sz w:val="18"/>
              </w:rPr>
              <w:t>11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br w:type="page"/>
      </w:r>
    </w:p>
    <w:p>
      <w:pPr>
        <w:spacing w:before="320" w:after="120"/>
        <w:pBdr>
          <w:bottom w:val="single" w:sz="8" w:space="2" w:color="2563EB"/>
        </w:pBdr>
      </w:pPr>
      <w:r>
        <w:rPr>
          <w:rFonts w:ascii="Arial" w:hAnsi="Arial"/>
          <w:b/>
          <w:color w:val="0B1220"/>
          <w:sz w:val="36"/>
        </w:rPr>
        <w:t>A1  Lender Portal Architecture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FF6FF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color w:val="0B1220"/>
                <w:sz w:val="20"/>
              </w:rPr>
              <w:t>The LeapMoney Lender Portal is a dedicated web interface through which partner banks and NBFCs manage their integration with the LeapMoney platform — configuring eligibility criteria, updating rate cards, reviewing incoming lead quality, tracking application outcomes, and accessing analytics on their portfolio performance. It is the primary B2B interface of the platform.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A1.1  Lender Portal — User Types &amp; Access Roles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1800"/>
        <w:gridCol w:w="2200"/>
        <w:gridCol w:w="2800"/>
        <w:gridCol w:w="2560"/>
      </w:tblGrid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Persona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Access Scope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Key Actions</w:t>
            </w:r>
          </w:p>
        </w:tc>
      </w:tr>
      <w:tr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Lender Admin</w:t>
            </w:r>
          </w:p>
        </w:tc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CTO / Head of Digital Lending at lender organisation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Full lender account: all products, all users, API keys, webhook config, analytics</w:t>
            </w:r>
          </w:p>
        </w:tc>
        <w:tc>
          <w:tcPr>
            <w:tcW w:type="dxa" w:w="2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Onboard product catalogue; configure API webhooks; create user accounts; view P&amp;L analytics</w:t>
            </w:r>
          </w:p>
        </w:tc>
      </w:tr>
      <w:tr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Product Manager</w:t>
            </w:r>
          </w:p>
        </w:tc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Lender product team member managing a specific loan product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Product-level: eligibility rules, rate cards, documentation requirements for assigned products</w:t>
            </w:r>
          </w:p>
        </w:tc>
        <w:tc>
          <w:tcPr>
            <w:tcW w:type="dxa" w:w="2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Update FOIR limits; update interest rate bands; manage documentation checklist</w:t>
            </w:r>
          </w:p>
        </w:tc>
      </w:tr>
      <w:tr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Operations / Underwriting</w:t>
            </w:r>
          </w:p>
        </w:tc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Lender ops team reviewing referred leads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Application inbox: view borrower profiles, LeapScore™ report, documents submitted</w:t>
            </w:r>
          </w:p>
        </w:tc>
        <w:tc>
          <w:tcPr>
            <w:tcW w:type="dxa" w:w="2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Accept or reject application; update outcome; request additional documents</w:t>
            </w:r>
          </w:p>
        </w:tc>
      </w:tr>
      <w:tr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Analytics / Risk</w:t>
            </w:r>
          </w:p>
        </w:tc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Lender risk or analytics team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Read-only analytics: approval rates, lead quality metrics, portfolio performance</w:t>
            </w:r>
          </w:p>
        </w:tc>
        <w:tc>
          <w:tcPr>
            <w:tcW w:type="dxa" w:w="2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Download reports; view conversion funnel; compare portfolio vs. LeapMoney benchmark</w:t>
            </w:r>
          </w:p>
        </w:tc>
      </w:tr>
      <w:tr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API / Integration</w:t>
            </w:r>
          </w:p>
        </w:tc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Lender engineering team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API key management, webhook endpoint config, sandbox environment</w:t>
            </w:r>
          </w:p>
        </w:tc>
        <w:tc>
          <w:tcPr>
            <w:tcW w:type="dxa" w:w="2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Generate API keys; configure outcome webhook URL; test integrations in sandbox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A1.2  Lender Portal — Module Architecture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2200"/>
        <w:gridCol w:w="3600"/>
        <w:gridCol w:w="3560"/>
      </w:tblGrid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Module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Technical Implementation</w:t>
            </w:r>
          </w:p>
        </w:tc>
      </w:tr>
      <w:tr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Product Catalogue Manager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Lender configures all loan products they offer on LeapMoney: product type, loan amount range, tenure range, target segments, active/inactive status.</w:t>
            </w:r>
          </w:p>
        </w:tc>
        <w:tc>
          <w:tcPr>
            <w:tcW w:type="dxa" w:w="3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CRUD interface over lender_products table. Changes are versioned (effective_from date). Immediate effect on LeapMatch eligibility filtering once published.</w:t>
            </w:r>
          </w:p>
        </w:tc>
      </w:tr>
      <w:tr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Eligibility Rule Engine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Lender sets per-product eligibility criteria: minimum CIBIL score, maximum FOIR, minimum income, employment types, geographies, age range. UI validates for logical consistency (e.g., min &gt; max flagged).</w:t>
            </w:r>
          </w:p>
        </w:tc>
        <w:tc>
          <w:tcPr>
            <w:tcW w:type="dxa" w:w="3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Writes to lender_eligibility table. Version-controlled: prior rules retained for audit. LeapMatch reads from current active rule set (cached in Redis, TTL 1 hour).</w:t>
            </w:r>
          </w:p>
        </w:tc>
      </w:tr>
      <w:tr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Rate Card Manager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Lender updates interest rate bands (min-max by risk tier), processing fee structure, GST applicability, prepayment penalty terms, insurance requirements.</w:t>
            </w:r>
          </w:p>
        </w:tc>
        <w:tc>
          <w:tcPr>
            <w:tcW w:type="dxa" w:w="3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Writes to lender_rates table with effective_from and effective_to dates. Historical rate cards preserved. AI Bank Comparison Engine reads current active rate card.</w:t>
            </w:r>
          </w:p>
        </w:tc>
      </w:tr>
      <w:tr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Application Inbox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Lender reviews incoming borrower applications. Each application card shows: LeapScore™, CIBIL, FOIR, income summary, employment type, documents uploaded, LeapMatch confidence.</w:t>
            </w:r>
          </w:p>
        </w:tc>
        <w:tc>
          <w:tcPr>
            <w:tcW w:type="dxa" w:w="3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Read from applications table (lender-scoped). Borrower PII masked until lender accepts review (consent-gated reveal). Actions: Accept / Request More Info / Reject.</w:t>
            </w:r>
          </w:p>
        </w:tc>
      </w:tr>
      <w:tr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Outcome Reporting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Lender submits loan outcome back to LeapMoney: Approved (with loan terms), Conditionally Approved, Rejected (with coded reason), Disbursed (with disbursement date and amount).</w:t>
            </w:r>
          </w:p>
        </w:tc>
        <w:tc>
          <w:tcPr>
            <w:tcW w:type="dxa" w:w="3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POST /api/v1/webhooks/lender/outcome OR manual entry in portal. Writes to loan_outcomes table. Triggers CIE outcome event (feeds ML training pipeline).</w:t>
            </w:r>
          </w:p>
        </w:tc>
      </w:tr>
      <w:tr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Lender Analytics Dashboard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Performance metrics for lender: leads received, applications reviewed, approval rate, disbursement rate, average loan size, average LeapScore™ of approved borrowers, portfolio DPD distribution.</w:t>
            </w:r>
          </w:p>
        </w:tc>
        <w:tc>
          <w:tcPr>
            <w:tcW w:type="dxa" w:w="3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Queries analytics read replica (Gold layer tables). Data refreshed hourly. Exportable as PDF / CSV. Comparison vs. prior month and vs. LeapMoney platform average.</w:t>
            </w:r>
          </w:p>
        </w:tc>
      </w:tr>
      <w:tr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API &amp; Webhook Configuration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Lender generates API keys for programmatic integration. Configures webhook endpoint URL for outcome notifications. Tests integration via sandbox environment with synthetic borrower profiles.</w:t>
            </w:r>
          </w:p>
        </w:tc>
        <w:tc>
          <w:tcPr>
            <w:tcW w:type="dxa" w:w="3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API keys stored as SHA-256 hash in lender_api_keys table. Webhook config in lender_webhooks table. Sandbox is isolated schema with synthetic data — production data never used in sandbox.</w:t>
            </w:r>
          </w:p>
        </w:tc>
      </w:tr>
      <w:tr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Document Delivery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Lender accesses submitted borrower documents for underwriting. Documents are served via time-limited pre-signed S3 URLs (30-minute expiry). Lender cannot download to own servers — view-only access.</w:t>
            </w:r>
          </w:p>
        </w:tc>
        <w:tc>
          <w:tcPr>
            <w:tcW w:type="dxa" w:w="3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Supabase Storage pre-signed URL generation on each document access request. Access logged in document_access_logs. Every access tied to application_id and lender_id for compliance audit.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A1.3  Lender Portal — Data Flow Architecture</w:t>
      </w:r>
    </w:p>
    <w:p>
      <w:pPr>
        <w:spacing w:before="40" w:after="40"/>
      </w:pPr>
      <w:r>
        <w:rPr>
          <w:rFonts w:ascii="Arial" w:hAnsi="Arial"/>
          <w:b/>
          <w:color w:val="000000"/>
          <w:sz w:val="20"/>
        </w:rPr>
        <w:t>Lender-to-Platform Data Flow:</w:t>
      </w:r>
    </w:p>
    <w:p>
      <w:pPr>
        <w:spacing w:before="40" w:after="40"/>
      </w:pPr>
      <w:r>
        <w:rPr>
          <w:rFonts w:ascii="Arial" w:hAnsi="Arial"/>
          <w:b w:val="0"/>
          <w:color w:val="000000"/>
          <w:sz w:val="20"/>
        </w:rPr>
        <w:t>[Lender Portal UI (Next.js)]  →  [/api/v1/lender/* endpoints]  →  [Lender Service (Node.js)]</w:t>
        <w:br/>
        <w:t xml:space="preserve">  →  [PostgreSQL: lender_products, lender_eligibility, lender_rates, lender_webhooks]</w:t>
        <w:br/>
        <w:t xml:space="preserve">  →  [Cache invalidation: Redis lender policy cache (TTL flush)]</w:t>
        <w:br/>
        <w:t xml:space="preserve">  →  [Event: lender.policy.updated]  →  [LeapMatch Orchestrator (picks up on next match request)]</w:t>
      </w:r>
    </w:p>
    <w:p>
      <w:pPr>
        <w:spacing w:before="0" w:after="0"/>
      </w:pPr>
      <w:r>
        <w:t xml:space="preserve"> </w:t>
      </w:r>
    </w:p>
    <w:p>
      <w:pPr>
        <w:spacing w:before="40" w:after="40"/>
      </w:pPr>
      <w:r>
        <w:rPr>
          <w:rFonts w:ascii="Arial" w:hAnsi="Arial"/>
          <w:b/>
          <w:color w:val="000000"/>
          <w:sz w:val="20"/>
        </w:rPr>
        <w:t>Platform-to-Lender Data Flow (Application Delivery):</w:t>
      </w:r>
    </w:p>
    <w:p>
      <w:pPr>
        <w:spacing w:before="40" w:after="40"/>
      </w:pPr>
      <w:r>
        <w:rPr>
          <w:rFonts w:ascii="Arial" w:hAnsi="Arial"/>
          <w:b w:val="0"/>
          <w:color w:val="000000"/>
          <w:sz w:val="20"/>
        </w:rPr>
        <w:t>[Borrower submits application]  →  [LeapMoney validates + packages application]</w:t>
        <w:br/>
        <w:t xml:space="preserve">  →  [Option A: Lender API push — POST to lender application endpoint]</w:t>
        <w:br/>
        <w:t xml:space="preserve">  →  [Option B: Lender Portal inbox — application appears in lender_applications queue]</w:t>
        <w:br/>
        <w:t xml:space="preserve">  →  [Lender reviews in portal or via own system]  →  [Outcome submitted via webhook or portal]</w:t>
        <w:br/>
        <w:t xml:space="preserve">  →  [CIE outcome event]  →  [ML training pipeline + commission calculation]</w:t>
      </w:r>
    </w:p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A1.4  Lender Onboarding Architecture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2200"/>
        <w:gridCol w:w="2800"/>
        <w:gridCol w:w="2800"/>
        <w:gridCol w:w="1560"/>
      </w:tblGrid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B8A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Onboarding Step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B8A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B8A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System Effect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B8A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Estimated Duration</w:t>
            </w:r>
          </w:p>
        </w:tc>
      </w:tr>
      <w:tr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1. Commercial Agreement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LeapMoney ops team creates lender record; commission rates configured; agreement signed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lenders record created; commission_rates configured; lender status = pending_setup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1–5 business days</w:t>
            </w:r>
          </w:p>
        </w:tc>
      </w:tr>
      <w:tr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2. Sandbox Access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Lender admin receives portal credentials; logs in; explores with synthetic borrower profiles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lender status = sandbox; API key issued for sandbox environment only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1–3 days self-service</w:t>
            </w:r>
          </w:p>
        </w:tc>
      </w:tr>
      <w:tr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3. Product Configuration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Lender PM configures product catalogue, eligibility rules, rate cards in sandbox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lender_products, lender_eligibility, lender_rates populated; verified by LeapMoney product team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1–5 days</w:t>
            </w:r>
          </w:p>
        </w:tc>
      </w:tr>
      <w:tr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4. API / Webhook Test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Lender engineering configures outcome webhook; tests with sandbox applications; LeapMoney verifies delivery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lender_webhooks configured; integration test passed flag set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1–3 days</w:t>
            </w:r>
          </w:p>
        </w:tc>
      </w:tr>
      <w:tr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5. Go-Live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LeapMoney ops approves; lender status = active; first real application routing begins</w:t>
            </w:r>
          </w:p>
        </w:tc>
        <w:tc>
          <w:tcPr>
            <w:tcW w:type="dxa" w:w="2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lender.active = true; eligibility rules immediately visible to FOIR Engine + LeapMatch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1 business day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A1.5  Lender Portal — Security Controls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2400"/>
        <w:gridCol w:w="6960"/>
      </w:tblGrid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Control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Authentication</w:t>
            </w:r>
          </w:p>
        </w:tc>
        <w:tc>
          <w:tcPr>
            <w:tcW w:type="dxa" w:w="6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Email + password (lender portal only — unlike borrower OTP-only). MFA mandatory for Lender Admin role. SSO (SAML 2.0) available for enterprise lenders.</w:t>
            </w:r>
          </w:p>
        </w:tc>
      </w:tr>
      <w:tr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IP Allowlisting</w:t>
            </w:r>
          </w:p>
        </w:tc>
        <w:tc>
          <w:tcPr>
            <w:tcW w:type="dxa" w:w="6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Lender Admin can restrict portal access to their office IP ranges. Webhook delivery also restricted to lender-specified IP ranges.</w:t>
            </w:r>
          </w:p>
        </w:tc>
      </w:tr>
      <w:tr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Borrower PII Gating</w:t>
            </w:r>
          </w:p>
        </w:tc>
        <w:tc>
          <w:tcPr>
            <w:tcW w:type="dxa" w:w="6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Borrower name, PAN, Aadhaar, phone number are masked in application inbox until lender explicitly accepts to review. Reveal requires lender user to acknowledge data purpose.</w:t>
            </w:r>
          </w:p>
        </w:tc>
      </w:tr>
      <w:tr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Document Access Logging</w:t>
            </w:r>
          </w:p>
        </w:tc>
        <w:tc>
          <w:tcPr>
            <w:tcW w:type="dxa" w:w="6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Every document view by lender staff is logged with user_id, document_id, application_id, timestamp. Accessible to borrower on data access request (DPDP Act).</w:t>
            </w:r>
          </w:p>
        </w:tc>
      </w:tr>
      <w:tr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Rate Card Audit Trail</w:t>
            </w:r>
          </w:p>
        </w:tc>
        <w:tc>
          <w:tcPr>
            <w:tcW w:type="dxa" w:w="6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All rate card and eligibility changes are version-controlled with changed_by, changed_at, previous_values. Cannot be deleted — append-only audit history.</w:t>
            </w:r>
          </w:p>
        </w:tc>
      </w:tr>
      <w:tr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Session Timeout</w:t>
            </w:r>
          </w:p>
        </w:tc>
        <w:tc>
          <w:tcPr>
            <w:tcW w:type="dxa" w:w="6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30-minute inactivity timeout for lender portal (stricter than borrower portal — lender staff handle sensitive documents). Re-authentication required after timeout.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br w:type="page"/>
      </w:r>
    </w:p>
    <w:p>
      <w:pPr>
        <w:spacing w:before="320" w:after="120"/>
        <w:pBdr>
          <w:bottom w:val="single" w:sz="8" w:space="2" w:color="2563EB"/>
        </w:pBdr>
      </w:pPr>
      <w:r>
        <w:rPr>
          <w:rFonts w:ascii="Arial" w:hAnsi="Arial"/>
          <w:b/>
          <w:color w:val="0B1220"/>
          <w:sz w:val="36"/>
        </w:rPr>
        <w:t>A2  WhatsApp Native Architecture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color w:val="0B1220"/>
                <w:sz w:val="20"/>
              </w:rPr>
              <w:t>WhatsApp is the primary communication channel for 500+ million Indians. LeapMoney's WhatsApp Native Architecture is not a notification layer — it is a complete parallel borrower journey that enables a user to check their LeapScore™, get lender matches, upload documents, and track applications entirely through WhatsApp, without ever opening the web application. For Tier 2/3 users with limited smartphone storage and inconsistent data, WhatsApp is the primary interface.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A2.1  WhatsApp Architecture Stack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2200"/>
        <w:gridCol w:w="2400"/>
        <w:gridCol w:w="4760"/>
      </w:tblGrid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Technology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WhatsApp Business API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360dialog (BSP — Business Solution Provider)</w:t>
            </w:r>
          </w:p>
        </w:tc>
        <w:tc>
          <w:tcPr>
            <w:tcW w:type="dxa" w:w="47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Cloud-hosted WhatsApp Business API. Handles message send/receive, template management, session management, media upload. Chosen over Meta direct API for faster onboarding and India-first support.</w:t>
            </w:r>
          </w:p>
        </w:tc>
      </w:tr>
      <w:tr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Webhook Receiver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LeapMoney Node.js service — POST /api/v1/webhooks/whatsapp</w:t>
            </w:r>
          </w:p>
        </w:tc>
        <w:tc>
          <w:tcPr>
            <w:tcW w:type="dxa" w:w="47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Receives inbound messages from 360dialog webhook. Validates HMAC signature. Routes to WhatsApp Session Manager.</w:t>
            </w:r>
          </w:p>
        </w:tc>
      </w:tr>
      <w:tr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WhatsApp Session Manager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Stateful Node.js service backed by Redis</w:t>
            </w:r>
          </w:p>
        </w:tc>
        <w:tc>
          <w:tcPr>
            <w:tcW w:type="dxa" w:w="47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Maintains conversation state per user (phone number → session object). Tracks: current_flow, current_step, collected_data, user_id (if authenticated), session_expiry (24h window).</w:t>
            </w:r>
          </w:p>
        </w:tc>
      </w:tr>
      <w:tr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Intent Router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Keyword matching v1; NLP intent classifier v2 (Claude claude-haiku-4-5-20251001)</w:t>
            </w:r>
          </w:p>
        </w:tc>
        <w:tc>
          <w:tcPr>
            <w:tcW w:type="dxa" w:w="47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Classifies inbound message intent: score_check, get_matches, apply_loan, upload_document, track_application, speak_to_human, start_over. Routes to appropriate flow handler.</w:t>
            </w:r>
          </w:p>
        </w:tc>
      </w:tr>
      <w:tr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Flow Handlers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Node.js modules — one per user journey flow</w:t>
            </w:r>
          </w:p>
        </w:tc>
        <w:tc>
          <w:tcPr>
            <w:tcW w:type="dxa" w:w="47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Stateless functions that receive session context, execute one step of the flow, update session state, and return response message(s) to send back via WhatsApp.</w:t>
            </w:r>
          </w:p>
        </w:tc>
      </w:tr>
      <w:tr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LeapMoney API Client (Internal)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HTTP client calling /api/v1/* internal APIs</w:t>
            </w:r>
          </w:p>
        </w:tc>
        <w:tc>
          <w:tcPr>
            <w:tcW w:type="dxa" w:w="47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Flow handlers call the same internal APIs that the web app uses — no separate WhatsApp-specific business logic. WhatsApp is a presentation layer over the existing API.</w:t>
            </w:r>
          </w:p>
        </w:tc>
      </w:tr>
      <w:tr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Template Manager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Template registry in PostgreSQL + 360dialog template store</w:t>
            </w:r>
          </w:p>
        </w:tc>
        <w:tc>
          <w:tcPr>
            <w:tcW w:type="dxa" w:w="47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WhatsApp template messages (required for outbound messaging outside 24h session window). Templates pre-approved by Meta. Registry maps template_name → template_id per language.</w:t>
            </w:r>
          </w:p>
        </w:tc>
      </w:tr>
      <w:tr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Media Handler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Supabase Storage + 360dialog media API</w:t>
            </w:r>
          </w:p>
        </w:tc>
        <w:tc>
          <w:tcPr>
            <w:tcW w:type="dxa" w:w="47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Receives document images/PDFs sent by user via WhatsApp. Downloads media from 360dialog, uploads to Supabase Storage with correct document_type tag, triggers document parsing pipeline.</w:t>
            </w:r>
          </w:p>
        </w:tc>
      </w:tr>
      <w:tr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Notification Dispatcher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BullMQ job — reads notification_queue</w:t>
            </w:r>
          </w:p>
        </w:tc>
        <w:tc>
          <w:tcPr>
            <w:tcW w:type="dxa" w:w="47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Sends outbound WhatsApp messages triggered by platform events (score computed, application approved, document request). Respects 24h session window rules.</w:t>
            </w:r>
          </w:p>
        </w:tc>
      </w:tr>
      <w:tr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Human Handoff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WhatsApp Business escalation to human agent</w:t>
            </w:r>
          </w:p>
        </w:tc>
        <w:tc>
          <w:tcPr>
            <w:tcW w:type="dxa" w:w="47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When user types "talk to human" or fails 3 consecutive intent classifications, session handed to human agent queue. Agent uses same 360dialog interface.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A2.2  WhatsApp User Journeys — Flow Architecture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1800"/>
        <w:gridCol w:w="2000"/>
        <w:gridCol w:w="3200"/>
        <w:gridCol w:w="2360"/>
      </w:tblGrid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Flow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Trigger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Steps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API Calls Made</w:t>
            </w:r>
          </w:p>
        </w:tc>
      </w:tr>
      <w:tr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Onboarding &amp; OTP</w:t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User messages LeapMoney WhatsApp number for the first time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1. Welcome message + language selection</w:t>
              <w:br/>
              <w:t>2. Phone number confirm (pre-filled from WhatsApp)</w:t>
              <w:br/>
              <w:t>3. OTP sent + verified</w:t>
              <w:br/>
              <w:t>4. Name + PAN capture</w:t>
              <w:br/>
              <w:t>5. Account created or linked to existing</w:t>
            </w:r>
          </w:p>
        </w:tc>
        <w:tc>
          <w:tcPr>
            <w:tcW w:type="dxa" w:w="2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POST /auth/otp/send → POST /auth/otp/verify → POST /profile/create-or-link</w:t>
            </w:r>
          </w:p>
        </w:tc>
      </w:tr>
      <w:tr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LeapScore™ Check</w:t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"Score" keyword or menu option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1. Authenticate (OTP if session expired)</w:t>
              <w:br/>
              <w:t>2. Fetch LeapScore™</w:t>
              <w:br/>
              <w:t>3. Send score card as formatted text message</w:t>
              <w:br/>
              <w:t>4. Offer: "See lender matches" / "Improve score" / "Full dashboard"</w:t>
            </w:r>
          </w:p>
        </w:tc>
        <w:tc>
          <w:tcPr>
            <w:tcW w:type="dxa" w:w="2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GET /score/current → GET /score/recommendations</w:t>
            </w:r>
          </w:p>
        </w:tc>
      </w:tr>
      <w:tr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Get Lender Matches</w:t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"Matches" / "Loan" keyword or from score card CTA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1. Collect loan amount (message input)</w:t>
              <w:br/>
              <w:t>2. Collect tenure</w:t>
              <w:br/>
              <w:t>3. Collect purpose</w:t>
              <w:br/>
              <w:t>4. Run LeapMatch</w:t>
              <w:br/>
              <w:t>5. Send top 3 lender cards as list messages</w:t>
              <w:br/>
              <w:t>6. User selects lender → initiate application</w:t>
            </w:r>
          </w:p>
        </w:tc>
        <w:tc>
          <w:tcPr>
            <w:tcW w:type="dxa" w:w="2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POST /match/request → GET /match/results/{id}</w:t>
            </w:r>
          </w:p>
        </w:tc>
      </w:tr>
      <w:tr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Document Upload</w:t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"Upload" keyword or document request notification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1. Show pending document list</w:t>
              <w:br/>
              <w:t>2. User selects document type from button list</w:t>
              <w:br/>
              <w:t>3. User sends photo/PDF</w:t>
              <w:br/>
              <w:t>4. Confirmation + parse status</w:t>
              <w:br/>
              <w:t>5. Checklist completion update</w:t>
            </w:r>
          </w:p>
        </w:tc>
        <w:tc>
          <w:tcPr>
            <w:tcW w:type="dxa" w:w="2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GET /documents/checklist → media download → POST /documents/upload</w:t>
            </w:r>
          </w:p>
        </w:tc>
      </w:tr>
      <w:tr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Application Status</w:t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"Status" keyword or application tracking CTA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1. List active applications</w:t>
              <w:br/>
              <w:t>2. User selects application</w:t>
              <w:br/>
              <w:t>3. Current stage + last action + next step displayed</w:t>
              <w:br/>
              <w:t>4. Option to contact lender (deep link to lender support)</w:t>
            </w:r>
          </w:p>
        </w:tc>
        <w:tc>
          <w:tcPr>
            <w:tcW w:type="dxa" w:w="2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GET /applications?borrower_id=X → GET /applications/{id}/events</w:t>
            </w:r>
          </w:p>
        </w:tc>
      </w:tr>
      <w:tr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Score Improvement</w:t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"Improve" keyword or from score check flow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1. Show current LeapScore™ band</w:t>
              <w:br/>
              <w:t>2. List top 3 improvement recommendations (from AI insights)</w:t>
              <w:br/>
              <w:t>3. Each recommendation has a "Do this" CTA linking to web app for complex actions</w:t>
            </w:r>
          </w:p>
        </w:tc>
        <w:tc>
          <w:tcPr>
            <w:tcW w:type="dxa" w:w="2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GET /score/recommendations → format as WhatsApp list message</w:t>
            </w:r>
          </w:p>
        </w:tc>
      </w:tr>
      <w:tr>
        <w:tc>
          <w:tcPr>
            <w:tcW w:type="dxa" w:w="18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DSA Lead Capture</w:t>
            </w:r>
          </w:p>
        </w:tc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6"/>
              </w:rPr>
              <w:t>DSA shares custom WhatsApp deep link with borrower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1. Pre-populated DSA attribution in session context</w:t>
              <w:br/>
              <w:t>2. Borrower goes through onboarding flow</w:t>
              <w:br/>
              <w:t>3. Lead auto-assigned to DSA in DSA Suite</w:t>
              <w:br/>
              <w:t>4. DSA notified on their WhatsApp</w:t>
            </w:r>
          </w:p>
        </w:tc>
        <w:tc>
          <w:tcPr>
            <w:tcW w:type="dxa" w:w="2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6"/>
              </w:rPr>
              <w:t>GET /dsa/deeplink/{dsa_code} → standard onboarding flow → POST /dsa/leads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A2.3  WhatsApp Session State Model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2000"/>
        <w:gridCol w:w="1400"/>
        <w:gridCol w:w="5960"/>
      </w:tblGrid>
      <w:t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B8A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B8A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B8A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phone_number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string (PK)</w:t>
            </w:r>
          </w:p>
        </w:tc>
        <w:tc>
          <w:tcPr>
            <w:tcW w:type="dxa" w:w="5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WhatsApp phone number (E.164 format). Primary session key.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user_id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UUID or null</w:t>
            </w:r>
          </w:p>
        </w:tc>
        <w:tc>
          <w:tcPr>
            <w:tcW w:type="dxa" w:w="5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Linked LeapMoney account. Null until OTP verified.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current_flow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enum</w:t>
            </w:r>
          </w:p>
        </w:tc>
        <w:tc>
          <w:tcPr>
            <w:tcW w:type="dxa" w:w="5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Active flow: ONBOARDING, SCORE_CHECK, MATCH, DOCUMENT, STATUS, IMPROVE, IDLE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current_step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integer</w:t>
            </w:r>
          </w:p>
        </w:tc>
        <w:tc>
          <w:tcPr>
            <w:tcW w:type="dxa" w:w="5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Step index within current flow. Reset to 0 on flow change.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collected_data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JSON object</w:t>
            </w:r>
          </w:p>
        </w:tc>
        <w:tc>
          <w:tcPr>
            <w:tcW w:type="dxa" w:w="5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Data gathered during current flow: {loan_amount, tenure, purpose, selected_lender, ...}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language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enum</w:t>
            </w:r>
          </w:p>
        </w:tc>
        <w:tc>
          <w:tcPr>
            <w:tcW w:type="dxa" w:w="5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User language preference: en, hi, mr, ta, te, kn, gu, bn, pa. Default: en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last_message_at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timestamp</w:t>
            </w:r>
          </w:p>
        </w:tc>
        <w:tc>
          <w:tcPr>
            <w:tcW w:type="dxa" w:w="5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24h session window check: if now() - last_message_at &gt; 24h, session expired, use template message for outbound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context_ref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string or null</w:t>
            </w:r>
          </w:p>
        </w:tc>
        <w:tc>
          <w:tcPr>
            <w:tcW w:type="dxa" w:w="5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Reference ID (loan_request_id, application_id) for the active context within a flow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intent_fail_count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integer</w:t>
            </w:r>
          </w:p>
        </w:tc>
        <w:tc>
          <w:tcPr>
            <w:tcW w:type="dxa" w:w="5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Consecutive intent classification failures. At 3, escalate to human handoff.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session_ttl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timestamp</w:t>
            </w:r>
          </w:p>
        </w:tc>
        <w:tc>
          <w:tcPr>
            <w:tcW w:type="dxa" w:w="5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Redis key TTL. Extended on each message. Sessions expire after 7 days of inactivity.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A2.4  WhatsApp Compliance &amp; Opt-Out Architecture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2400"/>
        <w:gridCol w:w="6960"/>
      </w:tblGrid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Requirement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TRAI DND Registry</w:t>
            </w:r>
          </w:p>
        </w:tc>
        <w:tc>
          <w:tcPr>
            <w:tcW w:type="dxa" w:w="6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Phone number checked against TRAI DND list before any outbound marketing message. Transactional messages (OTP, application status) exempt.</w:t>
            </w:r>
          </w:p>
        </w:tc>
      </w:tr>
      <w:tr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WhatsApp Opt-Out</w:t>
            </w:r>
          </w:p>
        </w:tc>
        <w:tc>
          <w:tcPr>
            <w:tcW w:type="dxa" w:w="6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User sends "STOP" → session flagged opt_out=true → no further outbound messages. Opt-out reversible via "START". Opt-out logged in user_preferences table.</w:t>
            </w:r>
          </w:p>
        </w:tc>
      </w:tr>
      <w:tr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Template Pre-Approval</w:t>
            </w:r>
          </w:p>
        </w:tc>
        <w:tc>
          <w:tcPr>
            <w:tcW w:type="dxa" w:w="6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All outbound message templates (outside 24h session window) pre-approved by Meta. No marketing messages without approved template. Template ID tracked in template_registry.</w:t>
            </w:r>
          </w:p>
        </w:tc>
      </w:tr>
      <w:tr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DPDP Act Consent</w:t>
            </w:r>
          </w:p>
        </w:tc>
        <w:tc>
          <w:tcPr>
            <w:tcW w:type="dxa" w:w="6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WhatsApp onboarding flow includes explicit consent for data collection and WhatsApp communication. Logged same as web consent (consent_logs table, same schema).</w:t>
            </w:r>
          </w:p>
        </w:tc>
      </w:tr>
      <w:tr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Data Residency</w:t>
            </w:r>
          </w:p>
        </w:tc>
        <w:tc>
          <w:tcPr>
            <w:tcW w:type="dxa" w:w="6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Session state stored in Redis (ap-south-1). Media downloaded from 360dialog CDN and immediately re-uploaded to Supabase Storage India region. No personal data retained on 360dialog servers beyond message transit.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br w:type="page"/>
      </w:r>
    </w:p>
    <w:p>
      <w:pPr>
        <w:spacing w:before="320" w:after="120"/>
        <w:pBdr>
          <w:bottom w:val="single" w:sz="8" w:space="2" w:color="2563EB"/>
        </w:pBdr>
      </w:pPr>
      <w:r>
        <w:rPr>
          <w:rFonts w:ascii="Arial" w:hAnsi="Arial"/>
          <w:b/>
          <w:color w:val="0B1220"/>
          <w:sz w:val="36"/>
        </w:rPr>
        <w:t>A3  Referral Partner Ecosystem Architecture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w="9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5F3FF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color w:val="0B1220"/>
                <w:sz w:val="20"/>
              </w:rPr>
              <w:t>The LeapMoney Referral Partner Ecosystem enables third-party platforms — chartered accountants, employer HR portals, payroll providers, insurance aggregators, cooperative societies, housing societies, and digital communities — to refer borrowers to LeapMoney with full attribution tracking, automated payout management, and white-label integration options. This is distinct from the DSA Suite, which serves individual loan agents. Referral Partners are organisations or platforms with existing user bases.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A3.1  Referral Partner Types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2000"/>
        <w:gridCol w:w="2400"/>
        <w:gridCol w:w="2400"/>
        <w:gridCol w:w="2560"/>
      </w:tblGrid>
      <w:t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Partner Type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Example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Referral Volume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Integration Preference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Chartered Accountant / Tax Platform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CA firms, ClearTax, Taxbuddy, Quicko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Low-medium; high quality (verified income + ITR data available)</w:t>
            </w:r>
          </w:p>
        </w:tc>
        <w:tc>
          <w:tcPr>
            <w:tcW w:type="dxa" w:w="2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Referral link or embedded widget; CA earns flat fee per disbursal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Employer / HR Portal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Darwinbox, Keka, Razorpay Payroll integrations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Medium; high quality (salary credit verified by payroll)</w:t>
            </w:r>
          </w:p>
        </w:tc>
        <w:tc>
          <w:tcPr>
            <w:tcW w:type="dxa" w:w="2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Salary advance / personal loan tab within HR portal; deep API integration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Insurance Aggregator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PolicyBazaar, Coverfox, Ditto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Medium; users with existing financial product intent</w:t>
            </w:r>
          </w:p>
        </w:tc>
        <w:tc>
          <w:tcPr>
            <w:tcW w:type="dxa" w:w="2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Cross-sell loan protection + personal loan; referral link with pre-filled data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Housing Society / Co-operative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Society apps (MyGate, ApartmentAdda), urban co-operatives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Low; strong trust context (known community)</w:t>
            </w:r>
          </w:p>
        </w:tc>
        <w:tc>
          <w:tcPr>
            <w:tcW w:type="dxa" w:w="2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WhatsApp broadcast referral; society admin earns reward per member disbursal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NBFC / Fintech (Non-Competing)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Gold loan company referring for personal loan, microfinance for MSME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Variable; complementary product referral</w:t>
            </w:r>
          </w:p>
        </w:tc>
        <w:tc>
          <w:tcPr>
            <w:tcW w:type="dxa" w:w="2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API integration or white-label; revenue share model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Digital Community / Creator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Finance YouTubers, Instagram finance influencers, LinkedIn groups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Variable; awareness-level referral</w:t>
            </w:r>
          </w:p>
        </w:tc>
        <w:tc>
          <w:tcPr>
            <w:tcW w:type="dxa" w:w="2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Affiliate link with UTM tracking; CPL or CPA commission model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Payroll Provider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Razorpay, Kredily, Zimyo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High; salary data available for pre-filled application</w:t>
            </w:r>
          </w:p>
        </w:tc>
        <w:tc>
          <w:tcPr>
            <w:tcW w:type="dxa" w:w="2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Deep API: salary data shared (with employee consent) → pre-qualified offers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A3.2  Referral Partner Technical Architecture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2200"/>
        <w:gridCol w:w="3200"/>
        <w:gridCol w:w="3960"/>
      </w:tblGrid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Technical Detail</w:t>
            </w:r>
          </w:p>
        </w:tc>
      </w:tr>
      <w:tr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Partner Registry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Master database of all referral partner accounts. Each partner has a unique partner_id, API key, commission model, and integration type.</w:t>
            </w:r>
          </w:p>
        </w:tc>
        <w:tc>
          <w:tcPr>
            <w:tcW w:type="dxa" w:w="3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referral_partners table: partner_id, name, type, integration_type (link/widget/api/white_label), commission_model, status, created_at</w:t>
            </w:r>
          </w:p>
        </w:tc>
      </w:tr>
      <w:tr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Referral Link Generator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Partners generate trackable referral links via Partner Portal. Each link encodes: partner_id, campaign_id (optional), product_type hint, UTM parameters.</w:t>
            </w:r>
          </w:p>
        </w:tc>
        <w:tc>
          <w:tcPr>
            <w:tcW w:type="dxa" w:w="3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Short URL structure: leapmoney.net/r/{partner_code}/{campaign_code}. Redirect to web app / WhatsApp with session attribution tag. UTM params auto-appended.</w:t>
            </w:r>
          </w:p>
        </w:tc>
      </w:tr>
      <w:tr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Embeddable Widget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JavaScript widget (single &lt;script&gt; tag embed) that renders a LeapScore™ / loan eligibility mini-check inside the partner's website. Borrower does initial check on partner site; deep-links to LeapMoney for full flow.</w:t>
            </w:r>
          </w:p>
        </w:tc>
        <w:tc>
          <w:tcPr>
            <w:tcW w:type="dxa" w:w="3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Sandboxed iframe widget. Communicates with LeapMoney API via postMessage. No partner JS access to borrower data. CORS policy restricts to registered partner domains only.</w:t>
            </w:r>
          </w:p>
        </w:tc>
      </w:tr>
      <w:tr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Partner API (Pre-fill)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Payroll and employer integrations use the Partner API to send pre-consented borrower data (salary, employer, tenure) that pre-fills the LeapMoney application — reducing friction to near-zero.</w:t>
            </w:r>
          </w:p>
        </w:tc>
        <w:tc>
          <w:tcPr>
            <w:tcW w:type="dxa" w:w="3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POST /api/v1/partner/pre-fill — receives encrypted borrower payload, creates pre-filled profile, returns one-time deep link. Requires OAuth partner token + borrower consent webhook confirmation before sending PII.</w:t>
            </w:r>
          </w:p>
        </w:tc>
      </w:tr>
      <w:tr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White-Label Integration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For NBFC and fintech partners who want LeapMoney matching under their own brand. Partner operates a subdomain (partner-name.leapmoney.net) with custom logo. All LeapMoney capabilities available; partner earns revenue share.</w:t>
            </w:r>
          </w:p>
        </w:tc>
        <w:tc>
          <w:tcPr>
            <w:tcW w:type="dxa" w:w="3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Tenant configuration in partner_tenants table. Next.js multi-tenancy via subdomain routing. Separate partner branding config (logo, colours, name). Data fully isolated in PostgreSQL by partner_id RLS.</w:t>
            </w:r>
          </w:p>
        </w:tc>
      </w:tr>
      <w:tr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Attribution Engine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Tracks the full borrower funnel from partner referral to disbursal. Multi-touch attribution in Phase 2 (last-touch in Phase 1). Handles app-install attribution, WhatsApp referral, and web referral.</w:t>
            </w:r>
          </w:p>
        </w:tc>
        <w:tc>
          <w:tcPr>
            <w:tcW w:type="dxa" w:w="3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lead_attributions table: lead_id, source_partner_id, campaign_id, touch_point, attributed_at. Attribution locked at lead creation (first touch in Phase 1). Reports available in Partner Portal.</w:t>
            </w:r>
          </w:p>
        </w:tc>
      </w:tr>
      <w:tr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Commission Calculation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Automated commission calculation on each disbursal event. Model varies by partner type: flat fee (CA), % of loan (DSA-equivalent), CPL (digital), revenue share (white-label).</w:t>
            </w:r>
          </w:p>
        </w:tc>
        <w:tc>
          <w:tcPr>
            <w:tcW w:type="dxa" w:w="3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referral_commissions table linked to loan_outcomes. Commission calculated by partner_commission_rules (configurable per partner). Triggers payout workflow (Phase 2: manual bank transfer; Phase 3: automated NEFT via Razorpay Payout API).</w:t>
            </w:r>
          </w:p>
        </w:tc>
      </w:tr>
      <w:tr>
        <w:tc>
          <w:tcPr>
            <w:tcW w:type="dxa" w:w="2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Partner Portal</w:t>
            </w:r>
          </w:p>
        </w:tc>
        <w:tc>
          <w:tcPr>
            <w:tcW w:type="dxa" w:w="3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Self-service web portal for partners: view referral performance, track disbursal pipeline, download commission statements, manage referral links and campaigns, access API documentation.</w:t>
            </w:r>
          </w:p>
        </w:tc>
        <w:tc>
          <w:tcPr>
            <w:tcW w:type="dxa" w:w="3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Sub-application of LeapMoney platform. Auth via Partner API key. Read-only access to own attribution and commission data. Export to CSV / PDF. Mobile-responsive for CA and creator partners who operate from phone.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A3.3  Referral Attribution Data Flow</w:t>
      </w:r>
    </w:p>
    <w:p>
      <w:pPr>
        <w:spacing w:before="40" w:after="40"/>
      </w:pPr>
      <w:r>
        <w:rPr>
          <w:rFonts w:ascii="Arial" w:hAnsi="Arial"/>
          <w:b/>
          <w:color w:val="000000"/>
          <w:sz w:val="20"/>
        </w:rPr>
        <w:t>Partner Referral → Disbursal Attribution Flow:</w:t>
      </w:r>
    </w:p>
    <w:p>
      <w:pPr>
        <w:spacing w:before="40" w:after="40"/>
      </w:pPr>
      <w:r>
        <w:rPr>
          <w:rFonts w:ascii="Arial" w:hAnsi="Arial"/>
          <w:b w:val="0"/>
          <w:color w:val="000000"/>
          <w:sz w:val="20"/>
        </w:rPr>
        <w:t>[User clicks partner referral link or widget]</w:t>
        <w:br/>
        <w:t xml:space="preserve">  → [Attribution Service: records source_partner_id + campaign_id + timestamp in Redis session]</w:t>
        <w:br/>
        <w:t xml:space="preserve">  → [User completes LeapMoney registration]</w:t>
        <w:br/>
        <w:t xml:space="preserve">  → [Attribution locked: lead_attributions record created; session attr cleared]</w:t>
        <w:br/>
        <w:t xml:space="preserve">  → [User applies for loan via LeapMatch]</w:t>
        <w:br/>
        <w:t xml:space="preserve">  → [Lender disburses loan]</w:t>
        <w:br/>
        <w:t xml:space="preserve">  → [loan_outcomes record created]</w:t>
        <w:br/>
        <w:t xml:space="preserve">  → [Commission Calculation Service: reads attribution → computes commission → creates referral_commissions record]</w:t>
        <w:br/>
        <w:t xml:space="preserve">  → [Partner Portal updated: commission pending → disbursed]</w:t>
        <w:br/>
        <w:t xml:space="preserve">  → [Partner email notification: "Commission of ₹X credited for borrower Y loan disbursal"]</w:t>
        <w:br/>
        <w:t xml:space="preserve">  → [Payout: manual transfer (Phase 1) or automated NEFT (Phase 3)]</w:t>
      </w:r>
    </w:p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A3.4  Referral Ecosystem Commission Models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2000"/>
        <w:gridCol w:w="3400"/>
        <w:gridCol w:w="2400"/>
        <w:gridCol w:w="1560"/>
      </w:tblGrid>
      <w:t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B8A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Model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B8A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B8A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Applicable Partner Types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4B8A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When Paid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Flat Fee per Disbursal</w:t>
            </w:r>
          </w:p>
        </w:tc>
        <w:tc>
          <w:tcPr>
            <w:tcW w:type="dxa" w:w="3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Fixed ₹ amount per successful loan disbursal (configured per partner). Example: ₹500 per personal loan disbursal regardless of loan size.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CA firms, Housing societies, Digital communities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On disbursal confirmation from lender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Percentage of Loan Value</w:t>
            </w:r>
          </w:p>
        </w:tc>
        <w:tc>
          <w:tcPr>
            <w:tcW w:type="dxa" w:w="3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commission = loan_disbursed_amount × rate (configured per partner). Example: 0.25% of disbursed loan.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NBFC referral partners, employer portals with deep integration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On disbursal; capped at max commission per partner agreement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Cost Per Lead (CPL)</w:t>
            </w:r>
          </w:p>
        </w:tc>
        <w:tc>
          <w:tcPr>
            <w:tcW w:type="dxa" w:w="3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Fixed ₹ per qualified lead (borrower who completes profile + FOIR check). Lower rate than disbursal; volume-oriented.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Digital creators, affiliate networks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On lead qualification; subject to fraud check (30-day hold)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Revenue Share (White-Label)</w:t>
            </w:r>
          </w:p>
        </w:tc>
        <w:tc>
          <w:tcPr>
            <w:tcW w:type="dxa" w:w="3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Partner earns X% of LeapMoney's lender commission on disbursals originating from their tenant. Example: 30% revenue share.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White-label NBFC and fintech partners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Monthly settlement after lender pays LeapMoney</w:t>
            </w:r>
          </w:p>
        </w:tc>
      </w:tr>
      <w:tr>
        <w:tc>
          <w:tcPr>
            <w:tcW w:type="dxa" w:w="2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Hybrid (CPL + Disbursal Bonus)</w:t>
            </w:r>
          </w:p>
        </w:tc>
        <w:tc>
          <w:tcPr>
            <w:tcW w:type="dxa" w:w="3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Base CPL on qualification + disbursal bonus on outcome. Incentivises quality leads AND conversion.</w:t>
            </w:r>
          </w:p>
        </w:tc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Payroll providers, employer HR integrations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CPL: on qualification. Bonus: on disbursal.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240" w:after="100"/>
      </w:pPr>
      <w:r>
        <w:rPr>
          <w:rFonts w:ascii="Arial" w:hAnsi="Arial"/>
          <w:b/>
          <w:color w:val="2563EB"/>
          <w:sz w:val="26"/>
        </w:rPr>
        <w:t>A3.5  Referral Partner Security &amp; Compliance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2400"/>
        <w:gridCol w:w="6960"/>
      </w:tblGrid>
      <w:t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2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Partner API Authentication</w:t>
            </w:r>
          </w:p>
        </w:tc>
        <w:tc>
          <w:tcPr>
            <w:tcW w:type="dxa" w:w="6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OAuth 2.0 client credentials (partner_id + partner_secret). Secrets hashed. All partner API calls logged with partner_id, endpoint, timestamp.</w:t>
            </w:r>
          </w:p>
        </w:tc>
      </w:tr>
      <w:tr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Pre-fill Data Handling</w:t>
            </w:r>
          </w:p>
        </w:tc>
        <w:tc>
          <w:tcPr>
            <w:tcW w:type="dxa" w:w="6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Borrower must explicitly consent on partner platform before partner can send PII to LeapMoney. Consent webhook must fire before pre-fill API accepts data. If consent not confirmed, pre-fill request rejected.</w:t>
            </w:r>
          </w:p>
        </w:tc>
      </w:tr>
      <w:tr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Widget Isolation</w:t>
            </w:r>
          </w:p>
        </w:tc>
        <w:tc>
          <w:tcPr>
            <w:tcW w:type="dxa" w:w="6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Embeddable widget runs in sandboxed iframe. Same-origin policy + postMessage with origin validation. Partner JS cannot access LeapMoney session data. Widget cannot be embedded on non-registered domains.</w:t>
            </w:r>
          </w:p>
        </w:tc>
      </w:tr>
      <w:tr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White-Label Data Isolation</w:t>
            </w:r>
          </w:p>
        </w:tc>
        <w:tc>
          <w:tcPr>
            <w:tcW w:type="dxa" w:w="6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Each white-label tenant is fully isolated by PostgreSQL RLS. Tenant A cannot access Tenant B data under any circumstances. Tested in CI via tenant boundary test suite.</w:t>
            </w:r>
          </w:p>
        </w:tc>
      </w:tr>
      <w:tr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Commission Fraud Prevention</w:t>
            </w:r>
          </w:p>
        </w:tc>
        <w:tc>
          <w:tcPr>
            <w:tcW w:type="dxa" w:w="6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CPL commissions held for 30-day fraud review (duplicate phone, synthetic profile, velocity check). Disbursal commissions require lender disbursal confirmation — LeapMoney does not pay on self-reported outcomes.</w:t>
            </w:r>
          </w:p>
        </w:tc>
      </w:tr>
      <w:tr>
        <w:tc>
          <w:tcPr>
            <w:tcW w:type="dxa" w:w="2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DPDP Act (Partner Obligations)</w:t>
            </w:r>
          </w:p>
        </w:tc>
        <w:tc>
          <w:tcPr>
            <w:tcW w:type="dxa" w:w="69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AFC"/>
            <w:tcMar>
              <w:top w:w="50" w:type="dxa"/>
              <w:bottom w:w="50" w:type="dxa"/>
              <w:left w:w="100" w:type="dxa"/>
              <w:right w:w="100" w:type="dxa"/>
            </w:tcMar>
            <w:vAlign w:val="top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Partners who collect borrower consent for pre-fill must be registered as Data Processors with LeapMoney. Data Processing Agreement (DPA) mandatory before partner API access. Partners cannot use borrowed data for any purpose beyond referral.</w:t>
            </w:r>
          </w:p>
        </w:tc>
      </w:tr>
    </w:tbl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0" w:after="0"/>
      </w:pPr>
      <w:r>
        <w:t xml:space="preserve"> </w:t>
      </w:r>
    </w:p>
    <w:p>
      <w:pPr>
        <w:spacing w:before="60" w:after="60"/>
        <w:pBdr>
          <w:bottom w:val="single" w:sz="4" w:space="1" w:color="E2E8F0"/>
        </w:pBdr>
      </w:pPr>
    </w:p>
    <w:p>
      <w:pPr>
        <w:spacing w:before="0" w:after="0"/>
      </w:pPr>
      <w:r>
        <w:t xml:space="preserve"> </w:t>
      </w:r>
    </w:p>
    <w:p>
      <w:pPr>
        <w:jc w:val="center"/>
      </w:pPr>
      <w:r>
        <w:rPr>
          <w:rFonts w:ascii="Arial" w:hAnsi="Arial"/>
          <w:color w:val="94A3B8"/>
          <w:sz w:val="16"/>
        </w:rPr>
        <w:t>LeapMatch Phase 2 Architecture Addendum  ·  v1.0  ·  June 2026  ·  LeapMoney Confidential</w:t>
      </w:r>
    </w:p>
    <w:p>
      <w:pPr>
        <w:spacing w:before="0" w:after="0"/>
      </w:pPr>
      <w:r>
        <w:t xml:space="preserve"> </w:t>
      </w:r>
    </w:p>
    <w:p>
      <w:pPr>
        <w:jc w:val="center"/>
      </w:pPr>
      <w:r>
        <w:rPr>
          <w:rFonts w:ascii="Arial" w:hAnsi="Arial"/>
          <w:b/>
          <w:color w:val="16A34A"/>
          <w:sz w:val="20"/>
        </w:rPr>
        <w:t>✅  ADDENDUM COMPLETE — PROCEEDING TO PHASE 3: DATA MODEL &amp; SCORING ENGINE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