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 xml:space="preserve"> </w:t>
      </w:r>
    </w:p>
    <w:p>
      <w:pPr>
        <w:spacing w:before="0" w:after="0"/>
      </w:pPr>
      <w:r>
        <w:t xml:space="preserve"> </w:t>
      </w:r>
    </w:p>
    <w:p>
      <w:pPr>
        <w:spacing w:before="0" w:after="0"/>
      </w:pPr>
      <w:r>
        <w:t xml:space="preserve"> </w:t>
      </w:r>
    </w:p>
    <w:p>
      <w:pPr>
        <w:jc w:val="center"/>
      </w:pPr>
      <w:r>
        <w:rPr>
          <w:rFonts w:ascii="Arial" w:hAnsi="Arial"/>
          <w:b/>
          <w:color w:val="0B1220"/>
          <w:sz w:val="72"/>
        </w:rPr>
        <w:t>LeapMatch™ Technical Architecture</w:t>
      </w:r>
    </w:p>
    <w:p>
      <w:pPr>
        <w:jc w:val="center"/>
      </w:pPr>
      <w:r>
        <w:rPr>
          <w:rFonts w:ascii="Arial" w:hAnsi="Arial"/>
          <w:b/>
          <w:color w:val="2563EB"/>
          <w:sz w:val="32"/>
        </w:rPr>
        <w:t>Enterprise-Grade Platform Architecture Document</w:t>
      </w:r>
    </w:p>
    <w:p>
      <w:pPr>
        <w:jc w:val="center"/>
      </w:pPr>
      <w:r>
        <w:rPr>
          <w:rFonts w:ascii="Arial" w:hAnsi="Arial"/>
          <w:b w:val="0"/>
          <w:color w:val="94A3B8"/>
          <w:sz w:val="22"/>
        </w:rPr>
        <w:t>Phase 2  ·  Technical Architecture  ·  Version 1.0</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8"/>
        </w:rPr>
        <w:t>v1.0  ·  June 2026  ·  CONFIDENTIAL  ·  FOUNDER APPROVED</w:t>
      </w:r>
    </w:p>
    <w:p>
      <w:pPr>
        <w:spacing w:before="0" w:after="0"/>
      </w:pPr>
      <w:r>
        <w:t xml:space="preserve"> </w:t>
      </w:r>
    </w:p>
    <w:p>
      <w:pPr>
        <w:spacing w:before="0" w:after="0"/>
      </w:pPr>
      <w:r>
        <w:t xml:space="preserve"> </w:t>
      </w:r>
    </w:p>
    <w:tbl>
      <w:tblPr>
        <w:jc w:val="center"/>
        <w:tblLook w:firstColumn="1" w:firstRow="1" w:lastColumn="0" w:lastRow="0" w:noHBand="0" w:noVBand="1" w:val="04A0"/>
        <w:tblW w:w="8100" w:type="dxa"/>
      </w:tblPr>
      <w:tblGrid>
        <w:gridCol w:w="2700"/>
        <w:gridCol w:w="2700"/>
        <w:gridCol w:w="2700"/>
      </w:tblGrid>
      <w:tr>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Document</w:t>
              <w:br/>
            </w:r>
            <w:r>
              <w:rPr>
                <w:rFonts w:ascii="Arial" w:hAnsi="Arial"/>
                <w:color w:val="0B1220"/>
                <w:sz w:val="18"/>
              </w:rPr>
              <w:t>LeapMatch™ Technical Architecture</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Owner</w:t>
              <w:br/>
            </w:r>
            <w:r>
              <w:rPr>
                <w:rFonts w:ascii="Arial" w:hAnsi="Arial"/>
                <w:color w:val="0B1220"/>
                <w:sz w:val="18"/>
              </w:rPr>
              <w:t>LeapMoney Founding Team</w:t>
            </w:r>
          </w:p>
        </w:tc>
        <w:tc>
          <w:tcPr>
            <w:tcW w:w="2700" w:type="dxa"/>
            <w:tcBorders>
              <w:top w:val="single" w:sz="4" w:space="0" w:color="CCCCCC"/>
              <w:left w:val="single" w:sz="4" w:space="0" w:color="CCCCCC"/>
              <w:bottom w:val="single" w:sz="4" w:space="0" w:color="CCCCCC"/>
              <w:right w:val="single" w:sz="4" w:space="0" w:color="CCCCCC"/>
            </w:tcBorders>
            <w:shd w:val="clear" w:color="auto" w:fill="F8FAFC"/>
            <w:tcMar>
              <w:top w:w="80" w:type="dxa"/>
              <w:bottom w:w="80" w:type="dxa"/>
              <w:left w:w="140" w:type="dxa"/>
              <w:right w:w="140" w:type="dxa"/>
            </w:tcMar>
          </w:tcPr>
          <w:p>
            <w:r>
              <w:rPr>
                <w:rFonts w:ascii="Arial" w:hAnsi="Arial"/>
                <w:b/>
                <w:color w:val="94A3B8"/>
                <w:sz w:val="16"/>
              </w:rPr>
              <w:t>Status</w:t>
              <w:br/>
            </w:r>
            <w:r>
              <w:rPr>
                <w:rFonts w:ascii="Arial" w:hAnsi="Arial"/>
                <w:color w:val="0B1220"/>
                <w:sz w:val="18"/>
              </w:rPr>
              <w:t>FOUNDER APPROVED</w:t>
            </w:r>
          </w:p>
        </w:tc>
      </w:tr>
    </w:tbl>
    <w:p>
      <w:pPr>
        <w:spacing w:before="0" w:after="0"/>
      </w:pPr>
      <w:r>
        <w:t xml:space="preserve"> </w:t>
      </w:r>
    </w:p>
    <w:p>
      <w:pPr>
        <w:spacing w:before="0" w:after="0"/>
      </w:pPr>
      <w:r>
        <w:t xml:space="preserve"> </w:t>
      </w:r>
    </w:p>
    <w:p>
      <w:pPr>
        <w:spacing w:before="0" w:after="0"/>
      </w:pPr>
      <w:r>
        <w:t xml:space="preserve"> </w:t>
      </w:r>
    </w:p>
    <w:p>
      <w:pPr>
        <w:spacing w:before="240" w:after="100"/>
      </w:pPr>
      <w:r>
        <w:rPr>
          <w:rFonts w:ascii="Arial" w:hAnsi="Arial"/>
          <w:b/>
          <w:color w:val="94A3B8"/>
          <w:sz w:val="26"/>
        </w:rPr>
        <w:t>Document Purpose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bottom w:w="120" w:type="dxa"/>
              <w:left w:w="200" w:type="dxa"/>
              <w:right w:w="200" w:type="dxa"/>
            </w:tcMar>
          </w:tcPr>
          <w:p>
            <w:pPr>
              <w:spacing w:before="20" w:after="20"/>
            </w:pPr>
            <w:r>
              <w:rPr>
                <w:rFonts w:ascii="Arial" w:hAnsi="Arial"/>
                <w:b w:val="0"/>
                <w:color w:val="334155"/>
                <w:sz w:val="19"/>
              </w:rPr>
              <w:t>This document defines the complete technical architecture of the LeapMoney platform — covering LeapMatch™, LeapScore™, the Credit Intelligence Engine, AI Bank Comparison Engine, Approval Probability Engine, FOIR Engine, Bureau Integration Framework, Data Architecture, CRM Integration, DSA Integration, Customer Dashboard Integration, API Architecture, and Security &amp; Compliance Architecture.</w:t>
              <w:br/>
              <w:br/>
              <w:t>Intended audience: Founding team, product managers, engineering team, compliance officers, and future investors / technical due diligence reviewers.</w:t>
              <w:br/>
              <w:br/>
              <w:t>This is an architecture document — no implementation code is included. All architectural decisions are designed to be implementation-agnostic at the component level while specifying the platform technology stack at the infrastructure level.</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Table of Contents</w:t>
      </w:r>
    </w:p>
    <w:tbl>
      <w:tblPr>
        <w:jc w:val="left"/>
        <w:tblLook w:firstColumn="1" w:firstRow="1" w:lastColumn="0" w:lastRow="0" w:noHBand="0" w:noVBand="1" w:val="04A0"/>
        <w:tblW w:w="9360" w:type="dxa"/>
      </w:tblPr>
      <w:tblGrid>
        <w:gridCol w:w="600"/>
        <w:gridCol w:w="7560"/>
        <w:gridCol w:w="1200"/>
      </w:tblGrid>
      <w:tr>
        <w:tc>
          <w:tcPr>
            <w:tcW w:w="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t>
            </w:r>
          </w:p>
        </w:tc>
        <w:tc>
          <w:tcPr>
            <w:tcW w:w="7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Section</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Page</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Architecture Principles &amp; Technology Stack</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LeapMatch™ System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LeapScore™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Credit Intelligence Engine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7</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5</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AI Bank Comparison Engine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8</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6</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Approval Probability Engine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9</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7</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FOIR Engine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10</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8</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Bureau Integration Framework</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11</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9</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Data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12</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10</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CRM Integration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13</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11</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DSA Suite Integration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14</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12</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Customer Dashboard Integration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15</w:t>
            </w:r>
          </w:p>
        </w:tc>
      </w:tr>
      <w:tr>
        <w:tc>
          <w:tcPr>
            <w:tcW w:type="dxa" w:w="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8"/>
              </w:rPr>
              <w:t>13</w:t>
            </w:r>
          </w:p>
        </w:tc>
        <w:tc>
          <w:tcPr>
            <w:tcW w:type="dxa" w:w="7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8"/>
              </w:rPr>
              <w:t>API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val="0"/>
                <w:color w:val="000000"/>
                <w:sz w:val="18"/>
              </w:rPr>
              <w:t>16</w:t>
            </w:r>
          </w:p>
        </w:tc>
      </w:tr>
      <w:tr>
        <w:tc>
          <w:tcPr>
            <w:tcW w:type="dxa" w:w="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8"/>
              </w:rPr>
              <w:t>14</w:t>
            </w:r>
          </w:p>
        </w:tc>
        <w:tc>
          <w:tcPr>
            <w:tcW w:type="dxa" w:w="7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8"/>
              </w:rPr>
              <w:t>Security &amp; Compliance Architecture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val="0"/>
                <w:color w:val="000000"/>
                <w:sz w:val="18"/>
              </w:rPr>
              <w:t>17</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  Architecture Principles &amp; Technology Stack</w:t>
      </w:r>
    </w:p>
    <w:p>
      <w:pPr>
        <w:spacing w:before="240" w:after="100"/>
      </w:pPr>
      <w:r>
        <w:rPr>
          <w:rFonts w:ascii="Arial" w:hAnsi="Arial"/>
          <w:b/>
          <w:color w:val="2563EB"/>
          <w:sz w:val="26"/>
        </w:rPr>
        <w:t>1.1  Core Architecture Principles</w:t>
      </w:r>
    </w:p>
    <w:tbl>
      <w:tblPr>
        <w:jc w:val="left"/>
        <w:tblLook w:firstColumn="1" w:firstRow="1" w:lastColumn="0" w:lastRow="0" w:noHBand="0" w:noVBand="1" w:val="04A0"/>
        <w:tblW w:w="9360" w:type="dxa"/>
      </w:tblPr>
      <w:tblGrid>
        <w:gridCol w:w="2000"/>
        <w:gridCol w:w="3200"/>
        <w:gridCol w:w="41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Principle</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Definition</w:t>
            </w:r>
          </w:p>
        </w:tc>
        <w:tc>
          <w:tcPr>
            <w:tcW w:w="4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Application in LeapMoney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API-First</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Every capability is exposed as an API before building any UI. Internal services consume the same APIs that external partners use.</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FOIR Engine, APE — all API-first. DSA Suite and Customer Dashboard are API consumers, not tightly coupled modules.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Event-Driven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State changes trigger events. Services subscribe to events rather than polling or tight calling chains.</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Lead status changes, bureau pull completions, loan outcomes — all event-driven via message queue. CRM, DSA Suite, and ML pipeline subscribe to relevant events.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 Sovereignty</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borrower data is stored in LeapMoney-controlled infrastructure. No PII is passed to third-party services without explicit consent and encryption.</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data cached in encrypted Supabase tables. AA tokens stored in isolated KMS-encrypted vault. No PII in application logs.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Modular &amp; Composable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Each engine (FOIR, LeapScore™, APE, BME) is a standalone service that can be updated or replaced independently without affecting others.</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Engine v1 (rules-based) can be upgraded to v2 (ML-based) without changing LeapMatch orchestrator or any consuming UI.</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Compliance by Design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RBI Digital Lending Guidelines and DPDP Act 2023 requirements are architectural constraints, not post-hoc additions.</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 ledger, audit trail, data localisation, soft-pull enforcement — all baked into the core data model, not bolted 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Observability First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Every request, decision, and outcome is logged, traceable, and alertable. The system knows its own state at all times.</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Distributed tracing across all engines. Per-lender approval accuracy dashboards. Real-time anomaly detection on match quality scores.</w:t>
            </w:r>
          </w:p>
        </w:tc>
      </w:tr>
    </w:tbl>
    <w:p>
      <w:pPr>
        <w:spacing w:before="0" w:after="0"/>
      </w:pPr>
      <w:r>
        <w:t xml:space="preserve"> </w:t>
      </w:r>
    </w:p>
    <w:p>
      <w:pPr>
        <w:spacing w:before="240" w:after="100"/>
      </w:pPr>
      <w:r>
        <w:rPr>
          <w:rFonts w:ascii="Arial" w:hAnsi="Arial"/>
          <w:b/>
          <w:color w:val="2563EB"/>
          <w:sz w:val="26"/>
        </w:rPr>
        <w:t>1.2  Technology Stack</w:t>
      </w:r>
    </w:p>
    <w:tbl>
      <w:tblPr>
        <w:jc w:val="left"/>
        <w:tblLook w:firstColumn="1" w:firstRow="1" w:lastColumn="0" w:lastRow="0" w:noHBand="0" w:noVBand="1" w:val="04A0"/>
        <w:tblW w:w="9360" w:type="dxa"/>
      </w:tblPr>
      <w:tblGrid>
        <w:gridCol w:w="2200"/>
        <w:gridCol w:w="3200"/>
        <w:gridCol w:w="396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Layer</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Technology</w:t>
            </w:r>
          </w:p>
        </w:tc>
        <w:tc>
          <w:tcPr>
            <w:tcW w:w="3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Frontend Framework</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Next.js 14 (App Router)</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SSR + SSG for SEO; React Server Components for performance; TypeScript throughout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UI Library</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React 18 + Tailwind CSS + shadcn/ui</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Consistent design system; accessible components; rapid iteration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Backend Runtime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Node.js 20 + Express.js / Next.js API Routes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Unified JS/TS stack; shared types between frontend and backend</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Primary Database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PostgreSQL 16 (via Supabase)</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ACID compliance; row-level security; real-time subscriptions; managed infrastructure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Cache Layer</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Redis (Upstash)</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Session management; bureau data caching (30-day TTL); rate limiting; job queues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ML / Scoring Engine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Python 3.11 + FastAPI + scikit-learn / XGBoost</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Separate Python microservice for LeapScore™ and APE; called via internal REST API</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Message Queue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BullMQ (Redis-backed) or AWS SQS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Async bureau pull jobs; lender submission queues; outcome event processing</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File Storage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Supabase Storage (S3-compatible)</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 uploads; encrypted at rest; pre-signed URLs for secure lender submission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Authentication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Supabase Auth + JWT</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Email/OTP login for borrowers; DSA-specific auth with role-based access control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Email / SMS / WhatsApp</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SendGrid + MSG91 + WhatsApp Business API (360dialog)</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OTP delivery; notification pipeline; DSA automation flows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AI / LLM Layer</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Anthropic Claude API (claude-haiku for bulk; claude-opus for complex analysis)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Financial Readiness Insights generation; conversational LeapMatch AI (V3); document parsing</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Infrastructure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Vercel (frontend) + Railway / AWS ECS (backend services) + Supabase Cloud</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Zero-ops frontend; containerised backend; managed DB</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Monitoring</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Sentry (errors) + Datadog (APM) + Grafana (ML metrics)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Full-stack observability; per-engine performance dashboards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CI/CD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GitHub Actions + Vercel Preview Deployments</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Automated test + deploy pipeline; PR preview environments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2  LeapMatch™ System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LeapMatch™ is an orchestration layer that calls four sub-engines in sequence to produce a ranked, personalised list of lender matches for a given borrower profile. The orchestrator is stateless; all state lives in the database. Each sub-engine can be upgraded independently.</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2.1  LeapMatch™ High-Level Architecture</w:t>
      </w:r>
    </w:p>
    <w:p>
      <w:pPr>
        <w:spacing w:before="40" w:after="40"/>
      </w:pPr>
      <w:r>
        <w:rPr>
          <w:rFonts w:ascii="Arial" w:hAnsi="Arial"/>
          <w:b/>
          <w:color w:val="000000"/>
          <w:sz w:val="20"/>
        </w:rPr>
        <w:t>Request Flow (left to right):</w:t>
      </w:r>
    </w:p>
    <w:p>
      <w:pPr>
        <w:spacing w:before="40" w:after="40"/>
      </w:pPr>
      <w:r>
        <w:rPr>
          <w:rFonts w:ascii="Arial" w:hAnsi="Arial"/>
          <w:b w:val="0"/>
          <w:color w:val="000000"/>
          <w:sz w:val="20"/>
        </w:rPr>
        <w:t>[Borrower / DSA]  →  [API Gateway]  →  [LeapMatch Orchestrator]</w:t>
        <w:br/>
        <w:t xml:space="preserve">  →  [FOIR Engine]  →  [Credit Intelligence Engine / LeapScore™]</w:t>
        <w:br/>
        <w:t xml:space="preserve">  →  [Approval Probability Engine]  →  [Bank Matching Engine]</w:t>
        <w:br/>
        <w:t xml:space="preserve">  →  [Match Result Formatter]  →  [API Response]  →  [Customer Dashboard / DSA Suite]</w:t>
      </w:r>
    </w:p>
    <w:p>
      <w:pPr>
        <w:spacing w:before="0" w:after="0"/>
      </w:pPr>
      <w:r>
        <w:t xml:space="preserve"> </w:t>
      </w:r>
    </w:p>
    <w:tbl>
      <w:tblPr>
        <w:jc w:val="left"/>
        <w:tblLook w:firstColumn="1" w:firstRow="1" w:lastColumn="0" w:lastRow="0" w:noHBand="0" w:noVBand="1" w:val="04A0"/>
        <w:tblW w:w="9360" w:type="dxa"/>
      </w:tblPr>
      <w:tblGrid>
        <w:gridCol w:w="2200"/>
        <w:gridCol w:w="1200"/>
        <w:gridCol w:w="3800"/>
        <w:gridCol w:w="21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Type</w:t>
            </w:r>
          </w:p>
        </w:tc>
        <w:tc>
          <w:tcPr>
            <w:tcW w:w="3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Responsibility</w:t>
            </w:r>
          </w:p>
        </w:tc>
        <w:tc>
          <w:tcPr>
            <w:tcW w:w="2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Technology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 Gateway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Infrastructure</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Rate limiting, authentication, request routing, TLS termination, audit logging of all inbound requests</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AWS API Gateway or Kong; JWT validation middleware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LeapMatch Orchestrator</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Receives borrower profile, orchestrates sub-engine calls in sequence, assembles final ranked match list, caches results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Node.js service; stateless; horizontally scalable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Engine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Computes Fixed Obligation to Income Ratio; applies per-lender FOIR thresholds; returns eligible lender set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Python FastAPI microservice; rules-based v1; ML v2</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Intelligence Engine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Fetches/retrieves bureau data; computes LeapScore™; returns creditworthiness signals to orchestrator</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Python FastAPI microservice; XGBoost scoring model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Approval Probability Engine</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Per-lender ML model inference; returns approval probability score (0–100) for each eligible lender</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Python FastAPI; separate model file per lender; Redis model cache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 Matching Engine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Ranks lenders by composite score (APE score × TCB weight × processing speed weight); applies borrower preferences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Python FastAPI; configurable weight matrix per borrower segment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Match Result Formatter</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Service</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Assembles Lender Cards: approval probability, interest rate, TCB, documentation checklist, disbursement timeline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Node.js; calls Lender Policy Engine for real-time data</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Policy Engine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Service</w:t>
            </w:r>
          </w:p>
        </w:tc>
        <w:tc>
          <w:tcPr>
            <w:tcW w:type="dxa" w:w="3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Maintains per-lender eligibility criteria, current rate cards, processing SLAs, documentation requirements</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PostgreSQL table + Redis cache; updated via lender onboarding and outcome feedback</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 Event Processor</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Background Worker</w:t>
            </w:r>
          </w:p>
        </w:tc>
        <w:tc>
          <w:tcPr>
            <w:tcW w:type="dxa" w:w="3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Consumes loan outcome events (approved/rejected/disbursed); updates ML training dataset; triggers model retraining pipeline</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BullMQ worker; PostgreSQL append-only outcomes table; Python ML pipeline trigger</w:t>
            </w:r>
          </w:p>
        </w:tc>
      </w:tr>
    </w:tbl>
    <w:p>
      <w:pPr>
        <w:spacing w:before="0" w:after="0"/>
      </w:pPr>
      <w:r>
        <w:t xml:space="preserve"> </w:t>
      </w:r>
    </w:p>
    <w:p>
      <w:pPr>
        <w:spacing w:before="240" w:after="100"/>
      </w:pPr>
      <w:r>
        <w:rPr>
          <w:rFonts w:ascii="Arial" w:hAnsi="Arial"/>
          <w:b/>
          <w:color w:val="2563EB"/>
          <w:sz w:val="26"/>
        </w:rPr>
        <w:t>2.2  LeapMatch Data Flow — Detailed Sequence</w:t>
      </w:r>
    </w:p>
    <w:tbl>
      <w:tblPr>
        <w:jc w:val="left"/>
        <w:tblLook w:firstColumn="1" w:firstRow="1" w:lastColumn="0" w:lastRow="0" w:noHBand="0" w:noVBand="1" w:val="04A0"/>
        <w:tblW w:w="8360" w:type="dxa"/>
      </w:tblPr>
      <w:tblGrid>
        <w:gridCol w:w="450"/>
        <w:gridCol w:w="2200"/>
        <w:gridCol w:w="1800"/>
        <w:gridCol w:w="2400"/>
        <w:gridCol w:w="1510"/>
      </w:tblGrid>
      <w:tr>
        <w:tc>
          <w:tcPr>
            <w:tcW w:w="45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Step</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In</w:t>
            </w:r>
          </w:p>
        </w:tc>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Out</w:t>
            </w:r>
          </w:p>
        </w:tc>
        <w:tc>
          <w:tcPr>
            <w:tcW w:w="151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Latency SLA</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1</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Borrower submits loan request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 amount, tenure, purpose, borrower_id</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Request ID created; async job queued</w:t>
            </w:r>
          </w:p>
        </w:tc>
        <w:tc>
          <w:tcPr>
            <w:tcW w:type="dxa" w:w="15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&lt; 50ms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2</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Profile fetch</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Employment, income, existing obligations, KYC status from PostgreSQL</w:t>
            </w:r>
          </w:p>
        </w:tc>
        <w:tc>
          <w:tcPr>
            <w:tcW w:type="dxa" w:w="15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&lt; 30ms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3</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check</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Cached LeapScore™ (if &lt; 24h old) or trigger fresh computation</w:t>
            </w:r>
          </w:p>
        </w:tc>
        <w:tc>
          <w:tcPr>
            <w:tcW w:type="dxa" w:w="15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&lt; 100ms cached; &lt; 3s fresh</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4</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FOIR computation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Income, EMI obligations, lender FOIR limits</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Eligible lender IDs (lenders where FOIR would remain ≤ threshold)</w:t>
            </w:r>
          </w:p>
        </w:tc>
        <w:tc>
          <w:tcPr>
            <w:tcW w:type="dxa" w:w="15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&lt; 200ms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5</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APE inference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components + borrower profile → each eligible lender model</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Per-lender approval probability scores</w:t>
            </w:r>
          </w:p>
        </w:tc>
        <w:tc>
          <w:tcPr>
            <w:tcW w:type="dxa" w:w="15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&lt; 500ms (batch inference)</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6</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TCB computation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Loan amount, tenure, per-lender rate + fee</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TCB figure per lender</w:t>
            </w:r>
          </w:p>
        </w:tc>
        <w:tc>
          <w:tcPr>
            <w:tcW w:type="dxa" w:w="15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&lt; 100ms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7</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Ranking</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APE scores, TCB, processing speed, borrower preferences</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Ranked lender list (top 10 shown)</w:t>
            </w:r>
          </w:p>
        </w:tc>
        <w:tc>
          <w:tcPr>
            <w:tcW w:type="dxa" w:w="15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&lt; 50ms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8</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Card assembly</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Ranked list + Lender Policy Engine + document checklist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Lender Card objects with all display fields</w:t>
            </w:r>
          </w:p>
        </w:tc>
        <w:tc>
          <w:tcPr>
            <w:tcW w:type="dxa" w:w="151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center"/>
            </w:pPr>
            <w:r>
              <w:rPr>
                <w:rFonts w:ascii="Arial" w:hAnsi="Arial"/>
                <w:b/>
                <w:color w:val="000000"/>
                <w:sz w:val="17"/>
              </w:rPr>
              <w:t>&lt; 150ms</w:t>
            </w:r>
          </w:p>
        </w:tc>
      </w:tr>
      <w:tr>
        <w:tc>
          <w:tcPr>
            <w:tcW w:type="dxa" w:w="45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9</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Response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Assembled match result</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JSON response to API caller</w:t>
            </w:r>
          </w:p>
        </w:tc>
        <w:tc>
          <w:tcPr>
            <w:tcW w:type="dxa" w:w="151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center"/>
            </w:pPr>
            <w:r>
              <w:rPr>
                <w:rFonts w:ascii="Arial" w:hAnsi="Arial"/>
                <w:b/>
                <w:color w:val="000000"/>
                <w:sz w:val="17"/>
              </w:rPr>
              <w:t>&lt; 50ms</w:t>
            </w:r>
          </w:p>
        </w:tc>
      </w:tr>
    </w:tbl>
    <w:p>
      <w:pPr>
        <w:spacing w:before="0" w:after="0"/>
      </w:pPr>
      <w:r>
        <w:t xml:space="preserve"> </w:t>
      </w:r>
    </w:p>
    <w:p>
      <w:pPr>
        <w:spacing w:before="240" w:after="100"/>
      </w:pPr>
      <w:r>
        <w:rPr>
          <w:rFonts w:ascii="Arial" w:hAnsi="Arial"/>
          <w:b/>
          <w:color w:val="2563EB"/>
          <w:sz w:val="26"/>
        </w:rPr>
        <w:t>2.3  LeapMatch Scalability Design</w:t>
      </w:r>
    </w:p>
    <w:tbl>
      <w:tblPr>
        <w:jc w:val="left"/>
        <w:tblLook w:firstColumn="1" w:firstRow="1" w:lastColumn="0" w:lastRow="0" w:noHBand="0" w:noVBand="1" w:val="04A0"/>
        <w:tblW w:w="9360" w:type="dxa"/>
      </w:tblPr>
      <w:tblGrid>
        <w:gridCol w:w="1800"/>
        <w:gridCol w:w="4200"/>
        <w:gridCol w:w="3360"/>
      </w:tblGrid>
      <w:tr>
        <w:tc>
          <w:tcPr>
            <w:tcW w:w="1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Concern</w:t>
            </w:r>
          </w:p>
        </w:tc>
        <w:tc>
          <w:tcPr>
            <w:tcW w:w="4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Architecture Decision</w:t>
            </w:r>
          </w:p>
        </w:tc>
        <w:tc>
          <w:tcPr>
            <w:tcW w:w="33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Peak Load</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Each sub-engine is a separate horizontally scalable container. LeapMatch orchestrator is stateless — add instances without coordination.</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Suite onboarding events and marketing campaigns create traffic spikes; horizontal scale handles this with no re-architecture.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ML Model Latency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lender models are loaded into memory at service startup. Batch inference over all eligible lenders in single forward pass.</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Eliminates model load latency per request. 50-lender inference completes in &lt; 500ms even at 10,000 RPS.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Rate Limits</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API calls are queued via BullMQ with per-bureau rate limiting. Results cached in Redis for 30 days. Cache-first; API-fallback.</w:t>
            </w:r>
          </w:p>
        </w:tc>
        <w:tc>
          <w:tcPr>
            <w:tcW w:type="dxa" w:w="3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CIBIL and Experian charge per pull and enforce rate limits. Caching reduces cost and eliminates throttling risk.</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Consistency</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PostgreSQL as source of truth. Redis cache has TTL. Cache invalidation on explicit bureau refresh or user-triggered update.</w:t>
            </w:r>
          </w:p>
        </w:tc>
        <w:tc>
          <w:tcPr>
            <w:tcW w:type="dxa" w:w="3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Eventual consistency acceptable for cached scores; strong consistency required only for financial outcome recording.</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3  LeapScore™ Architecture</w:t>
      </w:r>
    </w:p>
    <w:p>
      <w:pPr>
        <w:spacing w:before="240" w:after="100"/>
      </w:pPr>
      <w:r>
        <w:rPr>
          <w:rFonts w:ascii="Arial" w:hAnsi="Arial"/>
          <w:b/>
          <w:color w:val="2563EB"/>
          <w:sz w:val="26"/>
        </w:rPr>
        <w:t>3.1  LeapScore™ Service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LeapScore™ is implemented as a Python FastAPI microservice. It consumes bureau data, income data, banking behaviour data, employment data, and platform signals — applies a weighted composite scoring model — and returns a 0–100 score with component-level breakdowns for UI display and diagnostic purposes.</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2200"/>
        <w:gridCol w:w="3400"/>
        <w:gridCol w:w="2000"/>
        <w:gridCol w:w="17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3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Implementation</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Source</w:t>
            </w:r>
          </w:p>
        </w:tc>
        <w:tc>
          <w:tcPr>
            <w:tcW w:w="1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Output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Score Normaliser</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Maps CIBIL (300–900) and Experian scores to a 0–30 normalised Credit Health sub-score. Multi-bureau: weighted average, higher-weight to CIBIL as primary bureau.</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API response (cached in PostgreSQL bureau_reports table)</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credit_health_score: 0–30</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Stability Calculator</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Analyses 6-month income history from AA or bank statements. Computes coefficient of variation (low variation = stable = higher score). Applies growth trend bonus.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AA Framework (FI:DEPOSIT account data) or parsed bank statement (BullMQ async job)</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income_stability_score: 0–20</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Calculator</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Sums all EMI obligations from bureau tradelines and bank statement recurring debits. Divides by net monthly income. Maps to 0–20 score (lower FOIR = higher score).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tradeline data + bank statement debit analysis</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foir_score: 0–20</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Banking Behaviour Scorer</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Analyses 6-month bank statement: average balance (normalised by income), overdraft count, salary credit regularity, savings pattern. Rules-based v1; ML v2.</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AA or bank statement parser</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banking_score: 0–15</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Employment Stability Scorer</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Employer type weight (PSU &gt; MNC &gt; Pvt &gt; Self-Employed), tenure in years (capped at 5 for full score), Form 16 confirmation bonus.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Document upload + employer verification API</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employment_score: 0–10</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Readiness Scorer</w:t>
            </w:r>
          </w:p>
        </w:tc>
        <w:tc>
          <w:tcPr>
            <w:tcW w:type="dxa" w:w="3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 completeness % × KYC status weight + consent flag bonus. Incentivises users to complete their profile.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LeapMoney internal user_profiles table</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readiness_score: 0–5</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Aggregator</w:t>
            </w:r>
          </w:p>
        </w:tc>
        <w:tc>
          <w:tcPr>
            <w:tcW w:type="dxa" w:w="3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Sums all component scores. Applies confidence weight (if data is missing/stale, score is lower confidence). Returns score + confidence + component breakdown.</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above sub-scores</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leap_score: 0–100, confidence: high/med/low, components: {}</w:t>
            </w:r>
          </w:p>
        </w:tc>
      </w:tr>
    </w:tbl>
    <w:p>
      <w:pPr>
        <w:spacing w:before="0" w:after="0"/>
      </w:pPr>
      <w:r>
        <w:t xml:space="preserve"> </w:t>
      </w:r>
    </w:p>
    <w:p>
      <w:pPr>
        <w:spacing w:before="240" w:after="100"/>
      </w:pPr>
      <w:r>
        <w:rPr>
          <w:rFonts w:ascii="Arial" w:hAnsi="Arial"/>
          <w:b/>
          <w:color w:val="2563EB"/>
          <w:sz w:val="26"/>
        </w:rPr>
        <w:t>3.2  LeapScore™ Computation Triggers</w:t>
      </w:r>
    </w:p>
    <w:tbl>
      <w:tblPr>
        <w:jc w:val="left"/>
        <w:tblLook w:firstColumn="1" w:firstRow="1" w:lastColumn="0" w:lastRow="0" w:noHBand="0" w:noVBand="1" w:val="04A0"/>
        <w:tblW w:w="9360" w:type="dxa"/>
      </w:tblPr>
      <w:tblGrid>
        <w:gridCol w:w="3000"/>
        <w:gridCol w:w="2160"/>
        <w:gridCol w:w="4200"/>
      </w:tblGrid>
      <w:tr>
        <w:tc>
          <w:tcPr>
            <w:tcW w:w="3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Trigger</w:t>
            </w:r>
          </w:p>
        </w:tc>
        <w:tc>
          <w:tcPr>
            <w:tcW w:w="2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Frequency</w:t>
            </w:r>
          </w:p>
        </w:tc>
        <w:tc>
          <w:tcPr>
            <w:tcW w:w="4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Scope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 registration completion</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Once — on first full profile submission</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Initial LeapScore™ computation from available data</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refresh (scheduled)</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Every 30 days per user</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recomputation using fresh bureau data</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User-triggered refresh</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On-demand (max 2/month per user)</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recomputation + UI push notification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document upload</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document parse completion</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Partial recompute: income_stability_score + foir_score only</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 statement / AA link</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 new data availability</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Partial recompute: banking_score + income_stability_score</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outcome event</w:t>
            </w:r>
          </w:p>
        </w:tc>
        <w:tc>
          <w:tcPr>
            <w:tcW w:type="dxa" w:w="2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disbursement or rejection</w:t>
            </w:r>
          </w:p>
        </w:tc>
        <w:tc>
          <w:tcPr>
            <w:tcW w:type="dxa" w:w="4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Update outcome labels for ML training; no score recomputation</w:t>
            </w:r>
          </w:p>
        </w:tc>
      </w:tr>
      <w:tr>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LeapMatch request</w:t>
            </w:r>
          </w:p>
        </w:tc>
        <w:tc>
          <w:tcPr>
            <w:tcW w:type="dxa" w:w="2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match results are generated</w:t>
            </w:r>
          </w:p>
        </w:tc>
        <w:tc>
          <w:tcPr>
            <w:tcW w:type="dxa" w:w="4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 cached score if &lt; 24h; trigger fresh computation if stale</w:t>
            </w:r>
          </w:p>
        </w:tc>
      </w:tr>
    </w:tbl>
    <w:p>
      <w:pPr>
        <w:spacing w:before="0" w:after="0"/>
      </w:pPr>
      <w:r>
        <w:t xml:space="preserve"> </w:t>
      </w:r>
    </w:p>
    <w:p>
      <w:pPr>
        <w:spacing w:before="240" w:after="100"/>
      </w:pPr>
      <w:r>
        <w:rPr>
          <w:rFonts w:ascii="Arial" w:hAnsi="Arial"/>
          <w:b/>
          <w:color w:val="2563EB"/>
          <w:sz w:val="26"/>
        </w:rPr>
        <w:t>3.3  LeapScore™ Database Schema (Conceptual)</w:t>
      </w:r>
    </w:p>
    <w:tbl>
      <w:tblPr>
        <w:jc w:val="left"/>
        <w:tblLook w:firstColumn="1" w:firstRow="1" w:lastColumn="0" w:lastRow="0" w:noHBand="0" w:noVBand="1" w:val="04A0"/>
        <w:tblW w:w="9360" w:type="dxa"/>
      </w:tblPr>
      <w:tblGrid>
        <w:gridCol w:w="2000"/>
        <w:gridCol w:w="5160"/>
        <w:gridCol w:w="2200"/>
      </w:tblGrid>
      <w:tr>
        <w:tc>
          <w:tcPr>
            <w:tcW w:w="20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Table</w:t>
            </w:r>
          </w:p>
        </w:tc>
        <w:tc>
          <w:tcPr>
            <w:tcW w:w="51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Key Columns</w:t>
            </w:r>
          </w:p>
        </w:tc>
        <w:tc>
          <w:tcPr>
            <w:tcW w:w="2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Purpose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leap_scores</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score_id, borrower_id, leap_score, credit_health, income_stability, foir_score, banking_score, employment_score, readiness_score, confidence, computed_at, data_sources[]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Primary score record; immutable append-only (new row per computation for history)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bureau_reports</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report_id, borrower_id, bureau_name, raw_score, tradelines_json, enquiries_json, pulled_at, expires_at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30-day cache of bureau API responses; soft-pull flag</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bank_statements</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statement_id, borrower_id, account_id, source (AA/upload), parsed_data_json, analysis_json, created_at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Parsed bank statement data; analysis includes avg balance, salary dates, EMI debits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income_records</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income_id, borrower_id, type (salary/ITR/business), monthly_net, source_doc_id, verified_at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Structured income data from document parsing or AA</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score_history</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leap_score, computed_at, trigger_event</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Time series of LeapScore™ values for dashboard trend chart</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4  Credit Intelligence Engine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The Credit Intelligence Engine (CIE) is the data platform layer — not a single service but a collection of interconnected services that share data models and event streams. LeapScore™, APE, and Financial Readiness Insights are all CIE consumers.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4.1  CIE Service Map</w:t>
      </w:r>
    </w:p>
    <w:tbl>
      <w:tblPr>
        <w:jc w:val="left"/>
        <w:tblLook w:firstColumn="1" w:firstRow="1" w:lastColumn="0" w:lastRow="0" w:noHBand="0" w:noVBand="1" w:val="04A0"/>
        <w:tblW w:w="10360" w:type="dxa"/>
      </w:tblPr>
      <w:tblGrid>
        <w:gridCol w:w="2000"/>
        <w:gridCol w:w="2800"/>
        <w:gridCol w:w="1800"/>
        <w:gridCol w:w="1800"/>
        <w:gridCol w:w="19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Service</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Function</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Inputs</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Outputs</w:t>
            </w:r>
          </w:p>
        </w:tc>
        <w:tc>
          <w:tcPr>
            <w:tcW w:w="19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Scaling Model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Bureau Aggregator Service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Manages all bureau API connections; handles authentication, rate limiting, soft vs. hard pull routing, response caching, error handling and retry logic</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Pull request (borrower_id, bureau_name, pull_type)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Standardised BureauReport object; stored in bureau_reports table; event emitted to CIE event bus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Stateless; rate-limited worker pool; 1 worker per bureau</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AA Integration Service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Manages Account Aggregator consent flow, FIP data fetch, financial data parsing, and mapping to LeapMoney internal data models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User consent token (from AA consent UI), account selection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Parsed financial data: account transactions, balance history, recurring payments identified</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Stateless; async; BullMQ job per AA data fetch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Document Intelligence Service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Parses uploaded documents (salary slips, bank statements, ITR, Form 16) using OCR + LLM extraction. Validates document authenticity signals.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Document file (PDF/image), document_type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Structured data object matching income_records or bank_statements schema</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GPU-optional; scales on document upload events; Claude API for LLM extraction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LeapScore™ Engine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See Section 3. Consumes outputs of Bureau Aggregator, AA Integration, and Document Intelligence services.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borrower_id (fetches all available data from DB)</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leap_scores record; event emitted on score change</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CPU-intensive Python service; horizontally scalable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Approval Probability Engine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See Section 5. Per-lender ML inference service.</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LeapScore™ components + borrower profile features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Per-lender probability scores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Memory-intensive (model storage); GPU-optional; Redis model cache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Financial Readiness Insights Generator</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Consumes LeapScore™ output and generates natural language recommendations using Claude API. Caches recommendations by score range to minimise API calls.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LeapScore™ record + borrower segment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Structured recommendation list (3–5 action items with projected score impact)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I/O-bound (LLM API); rate-limited; cached by score bucket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Outcome Event Processor</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Consumes loan outcome events from lenders (via webhook or DSA confirmation); appends to outcomes table; triggers ML model retraining pipeline when batch threshold met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Outcome event (borrower_id, lender_id, decision, loan_terms)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outcomes record; ML retraining job if 1,000+ new outcomes since last training</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Single consumer group; append-only write; retraining is async batch job</w:t>
            </w:r>
          </w:p>
        </w:tc>
      </w:tr>
    </w:tbl>
    <w:p>
      <w:pPr>
        <w:spacing w:before="0" w:after="0"/>
      </w:pPr>
      <w:r>
        <w:t xml:space="preserve"> </w:t>
      </w:r>
    </w:p>
    <w:p>
      <w:pPr>
        <w:spacing w:before="240" w:after="100"/>
      </w:pPr>
      <w:r>
        <w:rPr>
          <w:rFonts w:ascii="Arial" w:hAnsi="Arial"/>
          <w:b/>
          <w:color w:val="2563EB"/>
          <w:sz w:val="26"/>
        </w:rPr>
        <w:t>4.2  CIE Event Bus Architecture</w:t>
      </w:r>
    </w:p>
    <w:p>
      <w:pPr>
        <w:spacing w:before="40" w:after="40"/>
      </w:pPr>
      <w:r>
        <w:rPr>
          <w:rFonts w:ascii="Arial" w:hAnsi="Arial"/>
          <w:b/>
          <w:color w:val="000000"/>
          <w:sz w:val="20"/>
        </w:rPr>
        <w:t>All CIE services communicate via an event bus (BullMQ / AWS SQS). Key event types:</w:t>
      </w:r>
    </w:p>
    <w:tbl>
      <w:tblPr>
        <w:jc w:val="left"/>
        <w:tblLook w:firstColumn="1" w:firstRow="1" w:lastColumn="0" w:lastRow="0" w:noHBand="0" w:noVBand="1" w:val="04A0"/>
        <w:tblW w:w="9360" w:type="dxa"/>
      </w:tblPr>
      <w:tblGrid>
        <w:gridCol w:w="2000"/>
        <w:gridCol w:w="2200"/>
        <w:gridCol w:w="2800"/>
        <w:gridCol w:w="23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Event</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Producer</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Consumers</w:t>
            </w:r>
          </w:p>
        </w:tc>
        <w:tc>
          <w:tcPr>
            <w:tcW w:w="23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Payload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bureau.pulled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Bureau Aggregator</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Engine, Credit Health Dashboard</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bureau_name, report_id, pulled_at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aa.data.received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AA Integration Service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Engine, Document Intelligence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 account_ids, data_period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document.parsed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Document Intelligence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LeapScore™ Engine, Income Records</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doc_type, extracted_data_id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leapscore.computed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LeapScore™ Engine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APE, Dashboard, Notification Service, CRM</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 leap_score, confidence, delta_from_previous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loan.outcome</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Suite / Lender Webhook</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Outcome Processor, CRM, Commission Service</w:t>
            </w:r>
          </w:p>
        </w:tc>
        <w:tc>
          <w:tcPr>
            <w:tcW w:type="dxa" w:w="2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lender_id, application_id, outcome, loan_amount, rate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match.requested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LeapMatch Orchestrator</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Engine, LeapScore™ Engine, APE</w:t>
            </w:r>
          </w:p>
        </w:tc>
        <w:tc>
          <w:tcPr>
            <w:tcW w:type="dxa" w:w="2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 loan_request_params</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5  AI Bank Comparison Engine Architecture</w:t>
      </w:r>
    </w:p>
    <w:p>
      <w:pPr>
        <w:spacing w:before="240" w:after="100"/>
      </w:pPr>
      <w:r>
        <w:rPr>
          <w:rFonts w:ascii="Arial" w:hAnsi="Arial"/>
          <w:b/>
          <w:color w:val="2563EB"/>
          <w:sz w:val="26"/>
        </w:rPr>
        <w:t>5.1  Comparison Engine Components</w:t>
      </w:r>
    </w:p>
    <w:tbl>
      <w:tblPr>
        <w:jc w:val="left"/>
        <w:tblLook w:firstColumn="1" w:firstRow="1" w:lastColumn="0" w:lastRow="0" w:noHBand="0" w:noVBand="1" w:val="04A0"/>
        <w:tblW w:w="9360" w:type="dxa"/>
      </w:tblPr>
      <w:tblGrid>
        <w:gridCol w:w="2200"/>
        <w:gridCol w:w="3600"/>
        <w:gridCol w:w="2200"/>
        <w:gridCol w:w="13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Component</w:t>
            </w:r>
          </w:p>
        </w:tc>
        <w:tc>
          <w:tcPr>
            <w:tcW w:w="3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Description</w:t>
            </w:r>
          </w:p>
        </w:tc>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Source</w:t>
            </w:r>
          </w:p>
        </w:tc>
        <w:tc>
          <w:tcPr>
            <w:tcW w:w="1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Update Frequency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Rate Fetcher</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Pulls current interest rates, processing fee structures, and product parameters from each lender. Two methods: (1) Lender API integration (preferred), (2) DSA intelligence feed with manual validation.</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API or Lender Policy Engine (manual + DSA-sourced)</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Real-time (lender API) or daily (manual)</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TCB Calculator</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Computes Total Cost of Borrowing for a specific loan amount and tenure: TCB = Interest (reducing balance) + Processing Fee + GST on fee + Insurance (if mandatory) + Prepayment fee amortised.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rate data + borrower loan request params</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Computed per request (fast arithmetic — no I/O)</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Documentation Matcher</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For each eligible lender, compares lender documentation requirements against borrower's uploaded/linked documents. Returns: Ready (all docs present), Partial (list of missing docs), Not Ready.</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Policy Engine (doc requirements) + borrower document_uploads table</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Per-request (document status from DB)</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Disbursement Timeline Estimator</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Returns estimated days from application to disbursement for each lender × product combination. Based on historical outcome data + lender-stated SLAs + current processing queue estimates.</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outcomes table (historical SLA analysis) + Lender Policy Engine (stated SLA)</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Weekly recalibration from outcome data; real-time for lender SLA changes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Customer Experience Aggregator</w:t>
            </w:r>
          </w:p>
        </w:tc>
        <w:tc>
          <w:tcPr>
            <w:tcW w:type="dxa" w:w="3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Computes average post-disbursement rating per lender from LeapMoney user feedback. Minimum 10 ratings required before displaying score. Bayesian average to avoid small-sample bias.</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user_feedback table (post-disbursement survey)</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Real-time (updated on each new feedback submission)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Card Assembler</w:t>
            </w:r>
          </w:p>
        </w:tc>
        <w:tc>
          <w:tcPr>
            <w:tcW w:type="dxa" w:w="3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Combines APE approval probability + TCB + doc readiness + disbursement timeline + experience rating into a unified Lender Card JSON object for the UI.</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above components</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Per-request assembly from cached sub-components</w:t>
            </w:r>
          </w:p>
        </w:tc>
      </w:tr>
    </w:tbl>
    <w:p>
      <w:pPr>
        <w:spacing w:before="0" w:after="0"/>
      </w:pPr>
      <w:r>
        <w:t xml:space="preserve"> </w:t>
      </w:r>
    </w:p>
    <w:p>
      <w:pPr>
        <w:spacing w:before="240" w:after="100"/>
      </w:pPr>
      <w:r>
        <w:rPr>
          <w:rFonts w:ascii="Arial" w:hAnsi="Arial"/>
          <w:b/>
          <w:color w:val="2563EB"/>
          <w:sz w:val="26"/>
        </w:rPr>
        <w:t>5.2  Lender Policy Engine — Data Model</w:t>
      </w:r>
    </w:p>
    <w:tbl>
      <w:tblPr>
        <w:jc w:val="left"/>
        <w:tblLook w:firstColumn="1" w:firstRow="1" w:lastColumn="0" w:lastRow="0" w:noHBand="0" w:noVBand="1" w:val="04A0"/>
        <w:tblW w:w="9360" w:type="dxa"/>
      </w:tblPr>
      <w:tblGrid>
        <w:gridCol w:w="2200"/>
        <w:gridCol w:w="4560"/>
        <w:gridCol w:w="260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Table</w:t>
            </w:r>
          </w:p>
        </w:tc>
        <w:tc>
          <w:tcPr>
            <w:tcW w:w="4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Key Fields</w:t>
            </w:r>
          </w:p>
        </w:tc>
        <w:tc>
          <w:tcPr>
            <w:tcW w:w="26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Purpose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lender_id, name, type (bank/NBFC/fintech), logo_url, active, onboarded_at</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Master lender registry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lender_products</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product_id, lender_id, product_type, min_amount, max_amount, min_tenure, max_tenure, active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Per-lender product catalogue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lender_rates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rate_id, product_id, rate_type (fixed/floating), rate_min, rate_max, processing_fee_pct, gst_applicable, effective_from, effective_to</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Rate card with effective date ranges; historical rates preserved</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lender_eligibility</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eligibility_id, product_id, min_cibil, max_foir, min_income, employment_types[], age_min, age_max, geographies[], updated_at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Eligibility criteria per product — FOIR Engine primary input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lender_documents</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doc_req_id, product_id, employment_type, documents_required[], documents_optional[]</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Documentation requirements matrix</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lender_sla</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sla_id, product_id, stated_days, p50_actual_days, p90_actual_days, updated_at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Disbursement SLA from policy + outcome data calibration</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6  Approval Probability Engine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The Approval Probability Engine (APE) is the ML core of LeapMatch™. It outputs a probability (0–100%) that a given borrower profile will be approved by a specific lender for a specific product. Separate models are trained per lender to capture each lender's unique underwriting behaviour.</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6.1  APE — V1 (Rules-Based) Architecture</w:t>
      </w:r>
    </w:p>
    <w:p>
      <w:pPr>
        <w:spacing w:before="40" w:after="40"/>
      </w:pPr>
      <w:r>
        <w:rPr>
          <w:rFonts w:ascii="Arial" w:hAnsi="Arial"/>
          <w:b w:val="0"/>
          <w:color w:val="000000"/>
          <w:sz w:val="20"/>
        </w:rPr>
        <w:t>Version 1 is a deterministic rules engine — no ML required. It maps borrower profile attributes to per-lender eligibility rules from the Lender Policy Engine. Output: binary eligible/ineligible + a synthetic "confidence probability" derived from how far the borrower is above or below each threshold.</w:t>
      </w:r>
    </w:p>
    <w:p>
      <w:pPr>
        <w:spacing w:before="0" w:after="0"/>
      </w:pPr>
      <w:r>
        <w:t xml:space="preserve"> </w:t>
      </w:r>
    </w:p>
    <w:tbl>
      <w:tblPr>
        <w:jc w:val="left"/>
        <w:tblLook w:firstColumn="1" w:firstRow="1" w:lastColumn="0" w:lastRow="0" w:noHBand="0" w:noVBand="1" w:val="04A0"/>
        <w:tblW w:w="9360" w:type="dxa"/>
      </w:tblPr>
      <w:tblGrid>
        <w:gridCol w:w="2200"/>
        <w:gridCol w:w="4560"/>
        <w:gridCol w:w="2600"/>
      </w:tblGrid>
      <w:tr>
        <w:tc>
          <w:tcPr>
            <w:tcW w:w="22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Rule Category</w:t>
            </w:r>
          </w:p>
        </w:tc>
        <w:tc>
          <w:tcPr>
            <w:tcW w:w="4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Implementation</w:t>
            </w:r>
          </w:p>
        </w:tc>
        <w:tc>
          <w:tcPr>
            <w:tcW w:w="26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V1 Data Requirement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CIBIL Threshold</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borrower_cibil &gt;= lender_min_cibil → eligible. Confidence = min(100, (borrower_cibil - min_cibil) / 50 × 100)</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 eligibility table + borrower bureau_report</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FOIR Check</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borrower_foir &lt;= lender_max_foir → eligible. Confidence = (lender_max_foir - borrower_foir) / lender_max_foir × 100</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Engine output + lender eligibility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Income Threshold</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borrower_net_income &gt;= lender_min_income → eligible</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income_records + lender eligibility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Employment Type</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borrower_employment_type in lender_allowed_types → eligible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 profile + lender eligibility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Geography</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borrower_city in lender_serviceable_geographies → eligible</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 KYC + lender eligibility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Age Range</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lender_age_min &lt;= borrower_age &lt;= lender_age_max → eligible</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 KYC + lender eligibility table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Composite Confidence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Geometric mean of all individual confidence scores. Ineligible on any hard rule = 0% probability.</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above</w:t>
            </w:r>
          </w:p>
        </w:tc>
      </w:tr>
    </w:tbl>
    <w:p>
      <w:pPr>
        <w:spacing w:before="0" w:after="0"/>
      </w:pPr>
      <w:r>
        <w:t xml:space="preserve"> </w:t>
      </w:r>
    </w:p>
    <w:p>
      <w:pPr>
        <w:spacing w:before="240" w:after="100"/>
      </w:pPr>
      <w:r>
        <w:rPr>
          <w:rFonts w:ascii="Arial" w:hAnsi="Arial"/>
          <w:b/>
          <w:color w:val="2563EB"/>
          <w:sz w:val="26"/>
        </w:rPr>
        <w:t>6.2  APE — V2 (ML-Based) Architecture</w:t>
      </w:r>
    </w:p>
    <w:p>
      <w:pPr>
        <w:spacing w:before="40" w:after="40"/>
      </w:pPr>
      <w:r>
        <w:rPr>
          <w:rFonts w:ascii="Arial" w:hAnsi="Arial"/>
          <w:b w:val="0"/>
          <w:color w:val="000000"/>
          <w:sz w:val="20"/>
        </w:rPr>
        <w:t>Version 2 replaces the rules-based confidence calculation with per-lender gradient boosting models (XGBoost) trained on historical outcome data. V2 activates when a lender accumulates 1,000+ outcome data points (typically Month 9–18 depending on lender volume).</w:t>
      </w:r>
    </w:p>
    <w:p>
      <w:pPr>
        <w:spacing w:before="0" w:after="0"/>
      </w:pPr>
      <w:r>
        <w:t xml:space="preserve"> </w:t>
      </w:r>
    </w:p>
    <w:tbl>
      <w:tblPr>
        <w:jc w:val="left"/>
        <w:tblLook w:firstColumn="1" w:firstRow="1" w:lastColumn="0" w:lastRow="0" w:noHBand="0" w:noVBand="1" w:val="04A0"/>
        <w:tblW w:w="9360" w:type="dxa"/>
      </w:tblPr>
      <w:tblGrid>
        <w:gridCol w:w="2200"/>
        <w:gridCol w:w="4160"/>
        <w:gridCol w:w="300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Architecture Element</w:t>
            </w:r>
          </w:p>
        </w:tc>
        <w:tc>
          <w:tcPr>
            <w:tcW w:w="4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Design Decision</w:t>
            </w:r>
          </w:p>
        </w:tc>
        <w:tc>
          <w:tcPr>
            <w:tcW w:w="3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Rationale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Model Granularity</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One XGBoost model per lender per product type (e.g., HDFC_personal_loan model, HDFC_home_loan model)</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Each lender has unique underwriting behaviour that a global model cannot capture accurately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Feature Engineering</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40+ features from LeapScore™ components + loan request params + geographic indicators + employment sector coding + credit utilisation buckets</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Rich feature set captures nuances that simple CIBIL threshold rules miss — particularly for thin-file and self-employed borrowers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Training Pipeline</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Weekly automated retraining if 500+ new labelled outcomes. Manual trigger available. Challenger/champion A/B framework for model promotion.</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Continuous learning as more outcomes accumulate; prevents model drift; safe rollout via champion/challenger</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Model Storage</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Serialised model files in Supabase Storage (S3). Loaded into APE service memory at startup. Redis cache for inference results (10-minute TTL per borrower × lender pair).</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Fast inference (&lt; 5ms per model call); no disk I/O during request; Redis cache handles repeated calls for same borrower</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Output</w:t>
            </w:r>
          </w:p>
        </w:tc>
        <w:tc>
          <w:tcPr>
            <w:tcW w:type="dxa" w:w="4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approval_probability (float 0.0–1.0) + model_version + feature_importance top-3 (for explainability / lender card tooltip)</w:t>
            </w:r>
          </w:p>
        </w:tc>
        <w:tc>
          <w:tcPr>
            <w:tcW w:type="dxa" w:w="3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Transparency for borrower (why am I 73% likely?) and lender (what drove this score?)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Fallback</w:t>
            </w:r>
          </w:p>
        </w:tc>
        <w:tc>
          <w:tcPr>
            <w:tcW w:type="dxa" w:w="4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If a lender model has insufficient data (&lt; 1,000 outcomes), fall back to V1 rules-based confidence score automatically</w:t>
            </w:r>
          </w:p>
        </w:tc>
        <w:tc>
          <w:tcPr>
            <w:tcW w:type="dxa" w:w="3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Graceful degradation; no cold-start failure; V1 always available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7  FOIR Engine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FOIR (Fixed Obligation to Income Ratio) Engine is the first filter in the LeapMatch pipeline. It computes the borrower's current debt-service burden as a percentage of income, then applies per-lender FOIR tolerance thresholds to return the set of lenders where this borrower remains within acceptable obligation limits.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7.1  FOIR Computation Logic</w:t>
      </w:r>
    </w:p>
    <w:tbl>
      <w:tblPr>
        <w:jc w:val="left"/>
        <w:tblLook w:firstColumn="1" w:firstRow="1" w:lastColumn="0" w:lastRow="0" w:noHBand="0" w:noVBand="1" w:val="04A0"/>
        <w:tblW w:w="9360" w:type="dxa"/>
      </w:tblPr>
      <w:tblGrid>
        <w:gridCol w:w="2200"/>
        <w:gridCol w:w="4560"/>
        <w:gridCol w:w="260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Step</w:t>
            </w:r>
          </w:p>
        </w:tc>
        <w:tc>
          <w:tcPr>
            <w:tcW w:w="4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Computation</w:t>
            </w:r>
          </w:p>
        </w:tc>
        <w:tc>
          <w:tcPr>
            <w:tcW w:w="2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Source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Gross Monthly Income</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Net monthly income = Salary (post-tax) OR ITR annual ÷ 12 OR average monthly credit (from bank statement)</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income_records table (verified) or bank_statements analysis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Existing EMI Obligations</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Sum of all active EMI debits: bureau tradelines (active loans × monthly EMI) + recurring debits from bank statement identified as loan payments. Cross-validated: bureau vs. statement.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bureau_reports tradelines + bank_statements recurring_debits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FOIR (Current)</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current_foir = total_monthly_emi / net_monthly_income × 100. Stored in borrower profile. Updated on bureau refresh or bank statement upload.</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Computed from above two inputs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FOIR (Post-Loan)</w:t>
            </w:r>
          </w:p>
        </w:tc>
        <w:tc>
          <w:tcPr>
            <w:tcW w:type="dxa" w:w="4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For each loan request: post_loan_foir = (current_emi + new_emi_for_requested_loan) / income × 100. Computed for each potential loan amount + tenure combination.</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Current FOIR + requested loan parameters + per-lender rate from Lender Policy Engine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Threshold Check</w:t>
            </w:r>
          </w:p>
        </w:tc>
        <w:tc>
          <w:tcPr>
            <w:tcW w:type="dxa" w:w="4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For each lender: if post_loan_foir &lt;= lender_max_foir → eligible. LeapMoney platform cap: 65% FOIR (borrower protection guardrail — will not recommend loans beyond this regardless of lender policy).</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lender_eligibility table + platform FOIR cap (config variable)</w:t>
            </w:r>
          </w:p>
        </w:tc>
      </w:tr>
    </w:tbl>
    <w:p>
      <w:pPr>
        <w:spacing w:before="0" w:after="0"/>
      </w:pPr>
      <w:r>
        <w:t xml:space="preserve"> </w:t>
      </w:r>
    </w:p>
    <w:p>
      <w:pPr>
        <w:spacing w:before="240" w:after="100"/>
      </w:pPr>
      <w:r>
        <w:rPr>
          <w:rFonts w:ascii="Arial" w:hAnsi="Arial"/>
          <w:b/>
          <w:color w:val="2563EB"/>
          <w:sz w:val="26"/>
        </w:rPr>
        <w:t>7.2  FOIR Edge Cases &amp; Handling</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Edge Case</w:t>
            </w:r>
          </w:p>
        </w:tc>
        <w:tc>
          <w:tcPr>
            <w:tcW w:w="65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Handling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Self-employed / irregular income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 12-month average from bank statement credits (AA preferred). Apply 80% haircut to self-employed income to account for seasonal variation in lender underwriting.</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Income not verifiable (no AA, no document)</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FOIR computation flagged as "unverified". LeapScore™ readiness_score deducted. Only NBFC lenders (who accept self-declared income) remain eligible.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missing loan data</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If borrower claims lower obligations than bureau shows → use bureau figure (conservative). If bureau shows closed loans still active → flag for borrower to dispute; use stated figure in match but note discrepancy.</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Salary credited in parts / variable pay</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Fixed + variable pay separation: use fixed component for FOIR. Variable/bonus treated as income buffer, flagged in borrower profile as positive signal.</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Joint income (spouse)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Phase 2 feature: joint application FOIR using combined income. Phase 1: single applicant only with note suggesting joint application where FOIR is borderline.</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8  Bureau Integration Framework</w:t>
      </w:r>
    </w:p>
    <w:p>
      <w:pPr>
        <w:spacing w:before="240" w:after="100"/>
      </w:pPr>
      <w:r>
        <w:rPr>
          <w:rFonts w:ascii="Arial" w:hAnsi="Arial"/>
          <w:b/>
          <w:color w:val="2563EB"/>
          <w:sz w:val="26"/>
        </w:rPr>
        <w:t>8.1  Bureau Integration Architecture</w:t>
      </w:r>
    </w:p>
    <w:tbl>
      <w:tblPr>
        <w:jc w:val="left"/>
        <w:tblLook w:firstColumn="1" w:firstRow="1" w:lastColumn="0" w:lastRow="0" w:noHBand="0" w:noVBand="1" w:val="04A0"/>
        <w:tblW w:w="9360" w:type="dxa"/>
      </w:tblPr>
      <w:tblGrid>
        <w:gridCol w:w="1400"/>
        <w:gridCol w:w="2000"/>
        <w:gridCol w:w="1400"/>
        <w:gridCol w:w="1200"/>
        <w:gridCol w:w="2000"/>
        <w:gridCol w:w="1360"/>
      </w:tblGrid>
      <w:tr>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Bureau</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Integration Method</w:t>
            </w:r>
          </w:p>
        </w:tc>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Auth</w:t>
            </w:r>
          </w:p>
        </w:tc>
        <w:tc>
          <w:tcPr>
            <w:tcW w:w="1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Soft Pull Support</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Format</w:t>
            </w:r>
          </w:p>
        </w:tc>
        <w:tc>
          <w:tcPr>
            <w:tcW w:w="13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Cost Model</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TransUnion CIBIL</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REST API (CIBIL commercial API). LeapMoney registers as authorised user under RBI Digital Lending Guidelines.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API Key + Client Certificate (mTLS). Rotated quarterly.</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Yes — Consumer Soft Enquiry product available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CIBIL Credit Information Report (CIR) JSON response; mapped to LeapMoney BureauReport schema</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Per-pull pricing (₹30–120 depending on product tier and volume commitment)</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Experian India</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REST API (Experian Digital API). Separate commercial agreement.</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OAuth 2.0 client credentials flow. Token cached with 50-minute TTL.</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Yes — Soft Pull product</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Experian Credit Report XML/JSON; mapped to BureauReport schema</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Per-pull pricing; volume discounts at 10,000+ pulls/month</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CRIF High Mark</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REST API. Phase 2. Priority for MSME and microfinance borrower segments.</w:t>
            </w:r>
          </w:p>
        </w:tc>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API Key + IP whitelisting</w:t>
            </w:r>
          </w:p>
        </w:tc>
        <w:tc>
          <w:tcPr>
            <w:tcW w:type="dxa" w:w="1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Soft pull available for consumer; MSME queries are hard pull</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CRIF report JSON; MSME data has different tradeline schema</w:t>
            </w:r>
          </w:p>
        </w:tc>
        <w:tc>
          <w:tcPr>
            <w:tcW w:type="dxa" w:w="13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Per-pull; MSME pricing higher than consumer</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Account Aggregator (AA)</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AA API (Sahamati network). LeapMoney registers as Financial Information User (FIU). Connects to 40+ FIPs via AA operator (Finvu, OneMoney, or direct).</w:t>
            </w:r>
          </w:p>
        </w:tc>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PKCE OAuth flow for user consent. Consent artifact signed by AA operator. LeapMoney stores consent handle.</w:t>
            </w:r>
          </w:p>
        </w:tc>
        <w:tc>
          <w:tcPr>
            <w:tcW w:type="dxa" w:w="1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Consent-based — not a credit pull; no bureau impact</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JSON: account statements, balance, insurance, MF holdings. FI Types: DEPOSIT, TERM_DEPOSIT, RECURRING_DEPOSIT</w:t>
            </w:r>
          </w:p>
        </w:tc>
        <w:tc>
          <w:tcPr>
            <w:tcW w:type="dxa" w:w="13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Transaction fee per consent (AA operator pricing ~₹5–15 per data fetch)</w:t>
            </w:r>
          </w:p>
        </w:tc>
      </w:tr>
    </w:tbl>
    <w:p>
      <w:pPr>
        <w:spacing w:before="0" w:after="0"/>
      </w:pPr>
      <w:r>
        <w:t xml:space="preserve"> </w:t>
      </w:r>
    </w:p>
    <w:p>
      <w:pPr>
        <w:spacing w:before="240" w:after="100"/>
      </w:pPr>
      <w:r>
        <w:rPr>
          <w:rFonts w:ascii="Arial" w:hAnsi="Arial"/>
          <w:b/>
          <w:color w:val="2563EB"/>
          <w:sz w:val="26"/>
        </w:rPr>
        <w:t>8.2  Bureau Data Flow Architecture</w:t>
      </w:r>
    </w:p>
    <w:p>
      <w:pPr>
        <w:spacing w:before="40" w:after="40"/>
      </w:pPr>
      <w:r>
        <w:rPr>
          <w:rFonts w:ascii="Arial" w:hAnsi="Arial"/>
          <w:b/>
          <w:color w:val="000000"/>
          <w:sz w:val="20"/>
        </w:rPr>
        <w:t>Bureau Pull Request Flow:</w:t>
      </w:r>
    </w:p>
    <w:p>
      <w:pPr>
        <w:spacing w:before="40" w:after="40"/>
      </w:pPr>
      <w:r>
        <w:rPr>
          <w:rFonts w:ascii="Arial" w:hAnsi="Arial"/>
          <w:b w:val="0"/>
          <w:color w:val="000000"/>
          <w:sz w:val="20"/>
        </w:rPr>
        <w:t>[LeapScore™ Engine] → [Bureau Aggregator Service]</w:t>
        <w:br/>
        <w:t xml:space="preserve">  → [Pull Type Router: Soft/Hard based on context]</w:t>
        <w:br/>
        <w:t xml:space="preserve">  → [Bureau API (CIBIL / Experian / CRIF)]</w:t>
        <w:br/>
        <w:t xml:space="preserve">  → [Response Mapper: Raw → BureauReport schema]</w:t>
        <w:br/>
        <w:t xml:space="preserve">  → [Encryption at Rest: AES-256 in bureau_reports table]</w:t>
        <w:br/>
        <w:t xml:space="preserve">  → [Event: bureau.pulled]</w:t>
        <w:br/>
        <w:t xml:space="preserve">  → [CIE: LeapScore™ recomputation queued]</w:t>
        <w:br/>
        <w:t xml:space="preserve">  → [Cache TTL: 30 days in Redis]</w:t>
      </w:r>
    </w:p>
    <w:p>
      <w:pPr>
        <w:spacing w:before="0" w:after="0"/>
      </w:pPr>
      <w:r>
        <w:t xml:space="preserve"> </w:t>
      </w:r>
    </w:p>
    <w:p>
      <w:pPr>
        <w:spacing w:before="240" w:after="100"/>
      </w:pPr>
      <w:r>
        <w:rPr>
          <w:rFonts w:ascii="Arial" w:hAnsi="Arial"/>
          <w:b/>
          <w:color w:val="2563EB"/>
          <w:sz w:val="26"/>
        </w:rPr>
        <w:t>8.3  Consent Management Architecture</w:t>
      </w:r>
    </w:p>
    <w:tbl>
      <w:tblPr>
        <w:jc w:val="left"/>
        <w:tblLook w:firstColumn="1" w:firstRow="1" w:lastColumn="0" w:lastRow="0" w:noHBand="0" w:noVBand="1" w:val="04A0"/>
        <w:tblW w:w="9400" w:type="dxa"/>
      </w:tblPr>
      <w:tblGrid>
        <w:gridCol w:w="2200"/>
        <w:gridCol w:w="2800"/>
        <w:gridCol w:w="2400"/>
        <w:gridCol w:w="200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Consent Type</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When Required</w:t>
            </w:r>
          </w:p>
        </w:tc>
        <w:tc>
          <w:tcPr>
            <w:tcW w:w="24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Storage</w:t>
            </w:r>
          </w:p>
        </w:tc>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RBI/DPDP Compliance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Soft Pull Consent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first LeapScore™ computation and on each 30-day refresh</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consent_logs table: borrower_id, type, timestamp, IP, purpose, expiry</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DPDP Act 2023 §4: explicit, informed, specific consent. Logged immutably.</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 Hard Pull Consent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Before submitting loan application to lender (triggers hard enquiry)</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Same consent_logs table; hard_pull=true flag; linked to application_id</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RBI DL Guidelines 2022: borrower must consent to bureau pull before application forwarding.</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AA Data Access Consent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Before AA framework data fetch; user selects accounts and data period</w:t>
            </w:r>
          </w:p>
        </w:tc>
        <w:tc>
          <w:tcPr>
            <w:tcW w:type="dxa" w:w="2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AA consent handle stored (not decryptable by LeapMoney); Sahamati consent artifact retained</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AA Framework: consent is time-bound, purpose-specific, revocable. LeapMoney honours revocation within 24 hours.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Marketing Communications Consent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registration; separate from loan processing consent</w:t>
            </w:r>
          </w:p>
        </w:tc>
        <w:tc>
          <w:tcPr>
            <w:tcW w:type="dxa" w:w="2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user_preferences: communication_consent boolean + channels[]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DPDP Act 2023 + TRAI DND registry compliance for SMS/WhatsApp</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9  Data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20"/>
              </w:rPr>
              <w:t>LeapMoney's data architecture follows a medallion pattern: raw data ingestion (Bronze), cleaned and structured domain entities (Silver), and analytics-ready aggregates (Gold). PostgreSQL (Supabase) is the operational database. A separate analytics layer (dbt + read replica) serves reporting without impacting production.</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9.1  Core Domain Data Model</w:t>
      </w:r>
    </w:p>
    <w:tbl>
      <w:tblPr>
        <w:jc w:val="left"/>
        <w:tblLook w:firstColumn="1" w:firstRow="1" w:lastColumn="0" w:lastRow="0" w:noHBand="0" w:noVBand="1" w:val="04A0"/>
        <w:tblW w:w="9360" w:type="dxa"/>
      </w:tblPr>
      <w:tblGrid>
        <w:gridCol w:w="1800"/>
        <w:gridCol w:w="4000"/>
        <w:gridCol w:w="3560"/>
      </w:tblGrid>
      <w:tr>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Domain</w:t>
            </w:r>
          </w:p>
        </w:tc>
        <w:tc>
          <w:tcPr>
            <w:tcW w:w="4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Primary Tables</w:t>
            </w:r>
          </w:p>
        </w:tc>
        <w:tc>
          <w:tcPr>
            <w:tcW w:w="3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Key Relationships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Identity &amp; KYC</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users, kyc_verifications, addresses, pan_records, aadhaar_records (masked)</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users.id → all domain tables via borrower_id FK</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Data</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bureau_reports, leap_scores, score_history, credit_health_snapshots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bureau_reports → leap_scores (one-to-many: multiple scores per bureau state)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Financial Data</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income_records, bank_statements, bank_accounts, aa_consents, aa_data_fetches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bank_accounts → bank_statements (one-to-many); aa_consents → aa_data_fetches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Document Management</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document_uploads, document_types, document_verifications, document_expiries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document_uploads → document_verifications (OCR + LLM parse status)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Matching</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loan_requests, match_results, lender_cards, applications, application_events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loan_requests → match_results → applications (funnel tracking)</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Ecosystem</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lender_products, lender_rates, lender_eligibility, lender_documents, lender_sla</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lenders → all lender_* tables; lender_eligibility → FOIR Engine input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Outcomes</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loan_outcomes, outcome_events, repayment_records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applications → loan_outcomes; loan_outcomes → ML training dataset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&amp; CRM</w:t>
            </w:r>
          </w:p>
        </w:tc>
        <w:tc>
          <w:tcPr>
            <w:tcW w:type="dxa" w:w="4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dsa_agents, dsa_teams, leads, lead_events, commissions, commission_payouts</w:t>
            </w:r>
          </w:p>
        </w:tc>
        <w:tc>
          <w:tcPr>
            <w:tcW w:type="dxa" w:w="3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dsa_agents → leads → applications; applications → commissions</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Platform &amp; Consent</w:t>
            </w:r>
          </w:p>
        </w:tc>
        <w:tc>
          <w:tcPr>
            <w:tcW w:type="dxa" w:w="4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consent_logs, audit_logs, notification_logs, feature_flags, rate_limits</w:t>
            </w:r>
          </w:p>
        </w:tc>
        <w:tc>
          <w:tcPr>
            <w:tcW w:type="dxa" w:w="3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consent_logs.borrower_id + consent_type + timestamp (immutable append-only)</w:t>
            </w:r>
          </w:p>
        </w:tc>
      </w:tr>
    </w:tbl>
    <w:p>
      <w:pPr>
        <w:spacing w:before="0" w:after="0"/>
      </w:pPr>
      <w:r>
        <w:t xml:space="preserve"> </w:t>
      </w:r>
    </w:p>
    <w:p>
      <w:pPr>
        <w:spacing w:before="240" w:after="100"/>
      </w:pPr>
      <w:r>
        <w:rPr>
          <w:rFonts w:ascii="Arial" w:hAnsi="Arial"/>
          <w:b/>
          <w:color w:val="2563EB"/>
          <w:sz w:val="26"/>
        </w:rPr>
        <w:t>9.2  Data Partitioning &amp; Retention</w:t>
      </w:r>
    </w:p>
    <w:tbl>
      <w:tblPr>
        <w:jc w:val="left"/>
        <w:tblLook w:firstColumn="1" w:firstRow="1" w:lastColumn="0" w:lastRow="0" w:noHBand="0" w:noVBand="1" w:val="04A0"/>
        <w:tblW w:w="9360" w:type="dxa"/>
      </w:tblPr>
      <w:tblGrid>
        <w:gridCol w:w="2000"/>
        <w:gridCol w:w="2800"/>
        <w:gridCol w:w="2800"/>
        <w:gridCol w:w="17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Category</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Retention Policy</w:t>
            </w:r>
          </w:p>
        </w:tc>
        <w:tc>
          <w:tcPr>
            <w:tcW w:w="28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Partitioning Strategy</w:t>
            </w:r>
          </w:p>
        </w:tc>
        <w:tc>
          <w:tcPr>
            <w:tcW w:w="17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DPDP Compliance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Bureau Reports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 days in hot cache (Redis); 7 years in cold storage (encrypted S3)</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Partitioned by pulled_at month</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Access log on every read; borrower deletion right exercisable within 72h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Outcomes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Indefinite (ML training corpus)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Partitioned by lender_id + outcome_date year</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Anonymised after 7 years (borrower PII replaced with pseudonym hash)</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Bank Statements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6 months active; archived after account closure</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Partitioned by borrower_id + statement_month</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Encrypted at column level; KMS key per borrower</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Audit Logs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years (regulatory requirement)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Partitioned by event_date month; cold storage after 1 year</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Immutable; append-only; no deletion (regulatory hold)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Application Events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7 years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Partitioned by created_at year</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PII fields encrypted; accessible to borrower on request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Communication Logs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 years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Partitioned by sent_at month</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Opt-out flag enforced; channel preferences stored</w:t>
            </w:r>
          </w:p>
        </w:tc>
      </w:tr>
    </w:tbl>
    <w:p>
      <w:pPr>
        <w:spacing w:before="0" w:after="0"/>
      </w:pPr>
      <w:r>
        <w:t xml:space="preserve"> </w:t>
      </w:r>
    </w:p>
    <w:p>
      <w:pPr>
        <w:spacing w:before="240" w:after="100"/>
      </w:pPr>
      <w:r>
        <w:rPr>
          <w:rFonts w:ascii="Arial" w:hAnsi="Arial"/>
          <w:b/>
          <w:color w:val="2563EB"/>
          <w:sz w:val="26"/>
        </w:rPr>
        <w:t>9.3  Analytics Architecture</w:t>
      </w:r>
    </w:p>
    <w:p>
      <w:pPr>
        <w:spacing w:before="40" w:after="40"/>
      </w:pPr>
      <w:r>
        <w:rPr>
          <w:rFonts w:ascii="Arial" w:hAnsi="Arial"/>
          <w:b/>
          <w:color w:val="000000"/>
          <w:sz w:val="20"/>
        </w:rPr>
        <w:t>Analytics layer runs on a read replica of the PostgreSQL database + dbt transformations:</w:t>
      </w:r>
    </w:p>
    <w:p>
      <w:pPr>
        <w:pStyle w:val="ListBullet"/>
        <w:spacing w:before="20" w:after="20"/>
      </w:pPr>
      <w:r>
        <w:rPr>
          <w:rFonts w:ascii="Arial" w:hAnsi="Arial"/>
          <w:color w:val="000000"/>
          <w:sz w:val="20"/>
        </w:rPr>
        <w:t>Read Replica: Supabase read replica (1 replica in Phase 1; 2 in Phase 2) — all analytics queries route here, zero production DB impact.</w:t>
      </w:r>
    </w:p>
    <w:p>
      <w:pPr>
        <w:pStyle w:val="ListBullet"/>
        <w:spacing w:before="20" w:after="20"/>
      </w:pPr>
      <w:r>
        <w:rPr>
          <w:rFonts w:ascii="Arial" w:hAnsi="Arial"/>
          <w:color w:val="000000"/>
          <w:sz w:val="20"/>
        </w:rPr>
        <w:t>dbt Core: Transformation layer that produces Gold layer tables: daily_match_metrics, per_lender_approval_rates, dsa_performance_aggregates, leapscore_distribution.</w:t>
      </w:r>
    </w:p>
    <w:p>
      <w:pPr>
        <w:pStyle w:val="ListBullet"/>
        <w:spacing w:before="20" w:after="20"/>
      </w:pPr>
      <w:r>
        <w:rPr>
          <w:rFonts w:ascii="Arial" w:hAnsi="Arial"/>
          <w:color w:val="000000"/>
          <w:sz w:val="20"/>
        </w:rPr>
        <w:t>Grafana Dashboards: Real-time operational metrics (match volume, APE accuracy, FOIR distribution, bureau pull costs).</w:t>
      </w:r>
    </w:p>
    <w:p>
      <w:pPr>
        <w:pStyle w:val="ListBullet"/>
        <w:spacing w:before="20" w:after="20"/>
      </w:pPr>
      <w:r>
        <w:rPr>
          <w:rFonts w:ascii="Arial" w:hAnsi="Arial"/>
          <w:color w:val="000000"/>
          <w:sz w:val="20"/>
        </w:rPr>
        <w:t>Metabase (internal): Business intelligence for product team — funnel analysis, lender performance, DSA productivity, cohort retention.</w:t>
      </w:r>
    </w:p>
    <w:p>
      <w:pPr>
        <w:spacing w:before="0" w:after="0"/>
      </w:pPr>
      <w:r>
        <w:br w:type="page"/>
      </w:r>
    </w:p>
    <w:p>
      <w:pPr>
        <w:spacing w:before="320" w:after="120"/>
        <w:pBdr>
          <w:bottom w:val="single" w:sz="8" w:space="2" w:color="2563EB"/>
        </w:pBdr>
      </w:pPr>
      <w:r>
        <w:rPr>
          <w:rFonts w:ascii="Arial" w:hAnsi="Arial"/>
          <w:b/>
          <w:color w:val="0B1220"/>
          <w:sz w:val="36"/>
        </w:rPr>
        <w:t>10  CRM Integration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0FDF4"/>
            <w:tcMar>
              <w:top w:w="120" w:type="dxa"/>
              <w:bottom w:w="120" w:type="dxa"/>
              <w:left w:w="200" w:type="dxa"/>
              <w:right w:w="200" w:type="dxa"/>
            </w:tcMar>
          </w:tcPr>
          <w:p>
            <w:pPr>
              <w:spacing w:before="20" w:after="20"/>
            </w:pPr>
            <w:r>
              <w:rPr>
                <w:rFonts w:ascii="Arial" w:hAnsi="Arial"/>
                <w:b w:val="0"/>
                <w:color w:val="0B1220"/>
                <w:sz w:val="20"/>
              </w:rPr>
              <w:t>LeapMoney's CRM is not a third-party SaaS deployment — it is a first-party CRM built into the LeapMoney platform data model. This design choice ensures that borrower data, loan history, credit score history, and communication logs are all natively available in the CRM without integration overhead or data residency risks.</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10.1  CRM Data Architecture</w:t>
      </w:r>
    </w:p>
    <w:tbl>
      <w:tblPr>
        <w:jc w:val="left"/>
        <w:tblLook w:firstColumn="1" w:firstRow="1" w:lastColumn="0" w:lastRow="0" w:noHBand="0" w:noVBand="1" w:val="04A0"/>
        <w:tblW w:w="9360" w:type="dxa"/>
      </w:tblPr>
      <w:tblGrid>
        <w:gridCol w:w="2000"/>
        <w:gridCol w:w="2800"/>
        <w:gridCol w:w="2800"/>
        <w:gridCol w:w="17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CRM Entity</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Source Data</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Key CRM Fields</w:t>
            </w:r>
          </w:p>
        </w:tc>
        <w:tc>
          <w:tcPr>
            <w:tcW w:w="1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Automated Updates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Contact Record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users, kyc_verifications, addresses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Name, phone, email, PAN, employment type, city, date of registration, KYC status, last login</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 registration, KYC update, profile update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Profile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leap_scores, bureau_reports, score_history</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Current LeapScore™, CIBIL, Experian, FOIR, credit health rating, score trend (30/60/90 day)</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each LeapScore™ computation (event: leapscore.computed)</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History</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loan_requests, applications, loan_outcomes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All loan applications: date, amount, tenure, lender applied, outcome, disbursement date</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 application creation and outcome events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Communication Log</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notification_logs, email_logs, whatsapp_logs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Chronological log of all communications sent to this borrower; read/click status</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On each notification send + delivery webhook</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Lead Attribution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leads, lead_events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Source channel (organic/DSA/referral), DSA ID if DSA-referred, lead campaign tag</w:t>
            </w:r>
          </w:p>
        </w:tc>
        <w:tc>
          <w:tcPr>
            <w:tcW w:type="dxa" w:w="1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 lead creation; immutable (attribution locked at lead creation)</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Engagement Score</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Computed from: login frequency, notification CTR, document completion, feature engagement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Engagement tier (High/Medium/Low/Churning); last active date; churn risk flag</w:t>
            </w:r>
          </w:p>
        </w:tc>
        <w:tc>
          <w:tcPr>
            <w:tcW w:type="dxa" w:w="1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Weekly batch computation; real-time churn flag trigger</w:t>
            </w:r>
          </w:p>
        </w:tc>
      </w:tr>
    </w:tbl>
    <w:p>
      <w:pPr>
        <w:spacing w:before="0" w:after="0"/>
      </w:pPr>
      <w:r>
        <w:t xml:space="preserve"> </w:t>
      </w:r>
    </w:p>
    <w:p>
      <w:pPr>
        <w:spacing w:before="240" w:after="100"/>
      </w:pPr>
      <w:r>
        <w:rPr>
          <w:rFonts w:ascii="Arial" w:hAnsi="Arial"/>
          <w:b/>
          <w:color w:val="2563EB"/>
          <w:sz w:val="26"/>
        </w:rPr>
        <w:t>10.2  CRM Automation Flows</w:t>
      </w:r>
    </w:p>
    <w:tbl>
      <w:tblPr>
        <w:jc w:val="left"/>
        <w:tblLook w:firstColumn="1" w:firstRow="1" w:lastColumn="0" w:lastRow="0" w:noHBand="0" w:noVBand="1" w:val="04A0"/>
        <w:tblW w:w="9360" w:type="dxa"/>
      </w:tblPr>
      <w:tblGrid>
        <w:gridCol w:w="2000"/>
        <w:gridCol w:w="2200"/>
        <w:gridCol w:w="3200"/>
        <w:gridCol w:w="1960"/>
      </w:tblGrid>
      <w:tr>
        <w:tc>
          <w:tcPr>
            <w:tcW w:w="20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Automation</w:t>
            </w:r>
          </w:p>
        </w:tc>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Trigger</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Action</w:t>
            </w:r>
          </w:p>
        </w:tc>
        <w:tc>
          <w:tcPr>
            <w:tcW w:w="1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Channel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Welcome Flow</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User registers</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KYC prompt + LeapScore™ computation invitation</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Email + WhatsApp</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Score Computed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leapscore.computed event (first time)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Score reveal message + matched lender count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Push notification + SMS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 Improved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increases by 5+ points</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"Your score improved! See new lender matches."</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Push + Email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Score Declined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LeapScore™ decreases by 5+ points</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Improvement recommendations + Credit Health check prompt</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Email (not push — low-anxiety delivery)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Application Submitted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Application created in system</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Confirmation + expected timeline + document checklist</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WhatsApp + Email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 Approved</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loan_outcomes.outcome = approved</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Congratulations + next steps + disbursement timeline</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WhatsApp + Push + Email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Rejected</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loan_outcomes.outcome = rejected</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Empathy message + alternative lender suggestions + improvement plan</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Email (sensitive — WhatsApp secondary)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Churn Risk</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Engagement score falls to Low tier</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30-day win-back sequence: value reminder + new offers</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Email drip + SMS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Pre-Approved Offer</w:t>
            </w:r>
          </w:p>
        </w:tc>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pre-approval flag set</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"You are pre-approved for ₹X at Y%"</w:t>
            </w:r>
          </w:p>
        </w:tc>
        <w:tc>
          <w:tcPr>
            <w:tcW w:type="dxa" w:w="1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Push + WhatsApp + Email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Refinance Alert</w:t>
            </w:r>
          </w:p>
        </w:tc>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Rate delta calculation triggers savings &gt; ₹10,000</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"Save ₹X by refinancing your existing loan"</w:t>
            </w:r>
          </w:p>
        </w:tc>
        <w:tc>
          <w:tcPr>
            <w:tcW w:type="dxa" w:w="1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Push + Email</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11  DSA Suite Integration Architecture</w:t>
      </w:r>
    </w:p>
    <w:p>
      <w:pPr>
        <w:spacing w:before="240" w:after="100"/>
      </w:pPr>
      <w:r>
        <w:rPr>
          <w:rFonts w:ascii="Arial" w:hAnsi="Arial"/>
          <w:b/>
          <w:color w:val="2563EB"/>
          <w:sz w:val="26"/>
        </w:rPr>
        <w:t>11.1  DSA Suite Technical Architecture</w:t>
      </w:r>
    </w:p>
    <w:tbl>
      <w:tblPr>
        <w:jc w:val="left"/>
        <w:tblLook w:firstColumn="1" w:firstRow="1" w:lastColumn="0" w:lastRow="0" w:noHBand="0" w:noVBand="1" w:val="04A0"/>
        <w:tblW w:w="9360" w:type="dxa"/>
      </w:tblPr>
      <w:tblGrid>
        <w:gridCol w:w="1700"/>
        <w:gridCol w:w="2800"/>
        <w:gridCol w:w="2800"/>
        <w:gridCol w:w="2060"/>
      </w:tblGrid>
      <w:tr>
        <w:tc>
          <w:tcPr>
            <w:tcW w:w="17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Module</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Architecture</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Integration Points</w:t>
            </w:r>
          </w:p>
        </w:tc>
        <w:tc>
          <w:tcPr>
            <w:tcW w:w="20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Key APIs</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Lead Management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React frontend consuming LeapMoney internal API. Lead pipeline stored in leads + lead_events tables. Real-time updates via Supabase Realtime subscriptions.</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WhatsApp webhook (inbound leads), web form embed (DSA site), referral link tracker</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POST /dsa/leads, GET /dsa/leads/{id}, PATCH /dsa/leads/{id}/stage</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Customer CRM</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DSA-view of borrower CRM record. Read-only access to borrower credit profile (with borrower consent). DSA-specific notes and follow-up fields.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LeapMoney CRM data model; borrower consent required for credit data access</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GET /dsa/customers/{borrower_id}/profile, GET /dsa/customers/{borrower_id}/credit</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Document Collection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DSA triggers document request via platform. Borrower receives WhatsApp / email link to secure upload portal. Document stored in Supabase Storage; DSA notified on upload.</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Supabase Storage; WhatsApp Business API; document_uploads table; document_verifications</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POST /dsa/document-requests, GET /dsa/document-requests/{id}/status</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Eligibility Check</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enters borrower income, obligations, loan request. FOIR Engine + LeapMatch V1 called. Returns eligible lenders + LeapScore™ preview without bureau pull (soft pre-check).</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FOIR Engine; LeapScore™ Engine (partial — no bureau); Lender Policy Engine</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POST /dsa/eligibility-check (income, foir, loan_params) → eligible_lenders[]</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Commission Tracking</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Commissions table linked to applications and loan_outcomes. Pending (applied) → Approved (sanctioned) → Disbursed (paid) state machine. DSA dashboard with export to PDF/Excel.</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loan_outcomes; lender commission rate table; GST invoice generator</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GET /dsa/commissions, GET /dsa/commissions/summary, POST /dsa/commissions/{id}/invoice</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Team Management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hierarchy: Team Lead → Sub-Agent. Lead assignment, performance aggregation up the hierarchy. Commission split rules per team configuration.</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dsa_teams, dsa_agents tables; role-based access control (Team Lead vs. Agent)</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GET /dsa/team, POST /dsa/team/agents, GET /dsa/team/performance</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6"/>
              </w:rPr>
              <w:t>WhatsApp Automation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360dialog WhatsApp Business API integration. DSA configures template messages for lead stages. Automated sends triggered by lead_events. DSA can also send manual messages from platform.</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WhatsApp Business API (360dialog); notification_logs; lead_events event triggers</w:t>
            </w:r>
          </w:p>
        </w:tc>
        <w:tc>
          <w:tcPr>
            <w:tcW w:type="dxa" w:w="20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6"/>
              </w:rPr>
              <w:t>POST /dsa/whatsapp/send, GET /dsa/whatsapp/templates, POST /dsa/whatsapp/campaigns</w:t>
            </w:r>
          </w:p>
        </w:tc>
      </w:tr>
      <w:tr>
        <w:tc>
          <w:tcPr>
            <w:tcW w:type="dxa" w:w="17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6"/>
              </w:rPr>
              <w:t>Performance Analytics</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DSA performance computed from: leads created, applications submitted, approvals, disbursals, commission earned, conversion rate. Lender mix analysis. Trend charts vs. prior period.</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leads, applications, loan_outcomes, commissions tables via analytics read replica</w:t>
            </w:r>
          </w:p>
        </w:tc>
        <w:tc>
          <w:tcPr>
            <w:tcW w:type="dxa" w:w="20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6"/>
              </w:rPr>
              <w:t>GET /dsa/analytics/summary?period=MTD, GET /dsa/analytics/lender-mix</w:t>
            </w:r>
          </w:p>
        </w:tc>
      </w:tr>
    </w:tbl>
    <w:p>
      <w:pPr>
        <w:spacing w:before="0" w:after="0"/>
      </w:pPr>
      <w:r>
        <w:t xml:space="preserve"> </w:t>
      </w:r>
    </w:p>
    <w:p>
      <w:pPr>
        <w:spacing w:before="240" w:after="100"/>
      </w:pPr>
      <w:r>
        <w:rPr>
          <w:rFonts w:ascii="Arial" w:hAnsi="Arial"/>
          <w:b/>
          <w:color w:val="2563EB"/>
          <w:sz w:val="26"/>
        </w:rPr>
        <w:t>11.2  DSA Authentication &amp; Access Control</w:t>
      </w:r>
    </w:p>
    <w:tbl>
      <w:tblPr>
        <w:jc w:val="left"/>
        <w:tblLook w:firstColumn="1" w:firstRow="1" w:lastColumn="0" w:lastRow="0" w:noHBand="0" w:noVBand="1" w:val="04A0"/>
        <w:tblW w:w="9360" w:type="dxa"/>
      </w:tblPr>
      <w:tblGrid>
        <w:gridCol w:w="2200"/>
        <w:gridCol w:w="3200"/>
        <w:gridCol w:w="3960"/>
      </w:tblGrid>
      <w:tr>
        <w:tc>
          <w:tcPr>
            <w:tcW w:w="2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Role</w:t>
            </w:r>
          </w:p>
        </w:tc>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Access Level</w:t>
            </w:r>
          </w:p>
        </w:tc>
        <w:tc>
          <w:tcPr>
            <w:tcW w:w="39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Data Scope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Agent (Solo)</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access to own leads, customers, documents, commissions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Own data only; no team data</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Team Agent</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Access to own leads + customers assigned by team lead</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Own + assigned data; cannot see other agents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Team Lead / DSA Principal</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team visibility: all agent leads, performance, commissions</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team scope; cannot see other teams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DSA Admin (Enterprise)</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Multi-team management; white-label configuration; API key management</w:t>
            </w:r>
          </w:p>
        </w:tc>
        <w:tc>
          <w:tcPr>
            <w:tcW w:type="dxa" w:w="39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Full organisation scope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LeapMoney Internal</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Platform admin: all DSA data, onboarding, commission configuration</w:t>
            </w:r>
          </w:p>
        </w:tc>
        <w:tc>
          <w:tcPr>
            <w:tcW w:type="dxa" w:w="39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Full platform scope (internal tooling only)</w:t>
            </w:r>
          </w:p>
        </w:tc>
      </w:tr>
    </w:tbl>
    <w:p>
      <w:pPr>
        <w:spacing w:before="0" w:after="0"/>
      </w:pPr>
      <w:r>
        <w:t xml:space="preserve"> </w:t>
      </w:r>
    </w:p>
    <w:p>
      <w:pPr>
        <w:spacing w:before="0" w:after="0"/>
      </w:pPr>
      <w:r>
        <w:br w:type="page"/>
      </w:r>
    </w:p>
    <w:p>
      <w:pPr>
        <w:spacing w:before="320" w:after="120"/>
        <w:pBdr>
          <w:bottom w:val="single" w:sz="8" w:space="2" w:color="2563EB"/>
        </w:pBdr>
      </w:pPr>
      <w:r>
        <w:rPr>
          <w:rFonts w:ascii="Arial" w:hAnsi="Arial"/>
          <w:b/>
          <w:color w:val="0B1220"/>
          <w:sz w:val="36"/>
        </w:rPr>
        <w:t>12  Customer Dashboard Integration Architecture</w:t>
      </w:r>
    </w:p>
    <w:p>
      <w:pPr>
        <w:spacing w:before="240" w:after="100"/>
      </w:pPr>
      <w:r>
        <w:rPr>
          <w:rFonts w:ascii="Arial" w:hAnsi="Arial"/>
          <w:b/>
          <w:color w:val="2563EB"/>
          <w:sz w:val="26"/>
        </w:rPr>
        <w:t>12.1  Dashboard Architecture Overview</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EFF6FF"/>
            <w:tcMar>
              <w:top w:w="120" w:type="dxa"/>
              <w:bottom w:w="120" w:type="dxa"/>
              <w:left w:w="200" w:type="dxa"/>
              <w:right w:w="200" w:type="dxa"/>
            </w:tcMar>
          </w:tcPr>
          <w:p>
            <w:pPr>
              <w:spacing w:before="20" w:after="20"/>
            </w:pPr>
            <w:r>
              <w:rPr>
                <w:rFonts w:ascii="Arial" w:hAnsi="Arial"/>
                <w:b w:val="0"/>
                <w:color w:val="0B1220"/>
                <w:sz w:val="20"/>
              </w:rPr>
              <w:t>The Customer Dashboard is a Next.js 14 App Router application. Data is fetched server-side (React Server Components) for critical metrics (LeapScore™, credit health) and client-side (React Client Components) for interactive elements (lender card actions, document upload, score history charts). Supabase Realtime subscriptions push score updates without polling.</w:t>
            </w:r>
          </w:p>
        </w:tc>
      </w:tr>
    </w:tbl>
    <w:p>
      <w:pPr>
        <w:spacing w:before="0" w:after="0"/>
      </w:pPr>
      <w:r>
        <w:t xml:space="preserve"> </w:t>
      </w:r>
    </w:p>
    <w:p>
      <w:pPr>
        <w:spacing w:before="0" w:after="0"/>
      </w:pPr>
      <w:r>
        <w:t xml:space="preserve"> </w:t>
      </w:r>
    </w:p>
    <w:tbl>
      <w:tblPr>
        <w:jc w:val="left"/>
        <w:tblLook w:firstColumn="1" w:firstRow="1" w:lastColumn="0" w:lastRow="0" w:noHBand="0" w:noVBand="1" w:val="04A0"/>
        <w:tblW w:w="9360" w:type="dxa"/>
      </w:tblPr>
      <w:tblGrid>
        <w:gridCol w:w="2200"/>
        <w:gridCol w:w="1800"/>
        <w:gridCol w:w="2600"/>
        <w:gridCol w:w="2760"/>
      </w:tblGrid>
      <w:tr>
        <w:tc>
          <w:tcPr>
            <w:tcW w:w="2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Dashboard Section</w:t>
            </w:r>
          </w:p>
        </w:tc>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Rendering</w:t>
            </w:r>
          </w:p>
        </w:tc>
        <w:tc>
          <w:tcPr>
            <w:tcW w:w="2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Data Source</w:t>
            </w:r>
          </w:p>
        </w:tc>
        <w:tc>
          <w:tcPr>
            <w:tcW w:w="27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Update Mechanism</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 Panel</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Server Component (initial) + Client hydration for animation</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leap_scores table (latest record for borrower_id)</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Supabase Realtime subscription on leapscore.computed event; client re-fetches on update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Health Dashboard</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Server Component (initial render with cached data)</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credit_health_snapshots + bureau_reports</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Refreshed on bureau pull trigger; 30-day TTL cache with manual refresh available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Lender Match Results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Client Component (on loan request submission)</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LeapMatch API call (async — shows loading state)</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On-demand per loan request submission; results cached 4 hours per request hash</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AI Bank Comparison</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Client Component with interactive sort/filter</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Comparison Engine API response (same call as match results)</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Same as lender match; comparison metrics updated daily for rate changes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Score History Chart</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Client Component (Chart.js)</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score_history table — time series query</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Appends on each LeapScore™ computation; chart re-renders via SWR revalidation</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Improvement Recommendations</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Server Component (initial) + Client polling every 24h</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Financial Readiness Insights Generator cache</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Generated on LeapScore™ computation; cached by score bucket; invalidated on score change</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Active Applications</w:t>
            </w:r>
          </w:p>
        </w:tc>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Client Component with Realtime subscription</w:t>
            </w:r>
          </w:p>
        </w:tc>
        <w:tc>
          <w:tcPr>
            <w:tcW w:type="dxa" w:w="2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applications + application_events table</w:t>
            </w:r>
          </w:p>
        </w:tc>
        <w:tc>
          <w:tcPr>
            <w:tcW w:type="dxa" w:w="27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Supabase Realtime subscription on application_events inserts; live status updates</w:t>
            </w:r>
          </w:p>
        </w:tc>
      </w:tr>
      <w:tr>
        <w:tc>
          <w:tcPr>
            <w:tcW w:type="dxa" w:w="2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Document Checklist</w:t>
            </w:r>
          </w:p>
        </w:tc>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Client Component</w:t>
            </w:r>
          </w:p>
        </w:tc>
        <w:tc>
          <w:tcPr>
            <w:tcW w:type="dxa" w:w="2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document_uploads + document_types for active loan request</w:t>
            </w:r>
          </w:p>
        </w:tc>
        <w:tc>
          <w:tcPr>
            <w:tcW w:type="dxa" w:w="27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Refreshed on document upload event; shows real-time completeness percentage</w:t>
            </w:r>
          </w:p>
        </w:tc>
      </w:tr>
    </w:tbl>
    <w:p>
      <w:pPr>
        <w:spacing w:before="0" w:after="0"/>
      </w:pPr>
      <w:r>
        <w:t xml:space="preserve"> </w:t>
      </w:r>
    </w:p>
    <w:p>
      <w:pPr>
        <w:spacing w:before="240" w:after="100"/>
      </w:pPr>
      <w:r>
        <w:rPr>
          <w:rFonts w:ascii="Arial" w:hAnsi="Arial"/>
          <w:b/>
          <w:color w:val="2563EB"/>
          <w:sz w:val="26"/>
        </w:rPr>
        <w:t>12.2  Mobile-First Architecture Considerations</w:t>
      </w:r>
    </w:p>
    <w:p>
      <w:pPr>
        <w:pStyle w:val="ListBullet"/>
        <w:spacing w:before="20" w:after="20"/>
      </w:pPr>
      <w:r>
        <w:rPr>
          <w:rFonts w:ascii="Arial" w:hAnsi="Arial"/>
          <w:color w:val="000000"/>
          <w:sz w:val="20"/>
        </w:rPr>
        <w:t>Progressive Web App (PWA): Service worker enables offline access to cached LeapScore™ and last-viewed lender matches. Critical for Tier 2/3 users on intermittent connectivity.</w:t>
      </w:r>
    </w:p>
    <w:p>
      <w:pPr>
        <w:pStyle w:val="ListBullet"/>
        <w:spacing w:before="20" w:after="20"/>
      </w:pPr>
      <w:r>
        <w:rPr>
          <w:rFonts w:ascii="Arial" w:hAnsi="Arial"/>
          <w:color w:val="000000"/>
          <w:sz w:val="20"/>
        </w:rPr>
        <w:t>Low-bandwidth mode: Lazy-loads images (lender logos); defers chart rendering; compresses API responses via gzip. Detects connection quality on page load (Navigator.connection API).</w:t>
      </w:r>
    </w:p>
    <w:p>
      <w:pPr>
        <w:pStyle w:val="ListBullet"/>
        <w:spacing w:before="20" w:after="20"/>
      </w:pPr>
      <w:r>
        <w:rPr>
          <w:rFonts w:ascii="Arial" w:hAnsi="Arial"/>
          <w:color w:val="000000"/>
          <w:sz w:val="20"/>
        </w:rPr>
        <w:t>WhatsApp Deep Links: Every critical user action (document upload, score check, application status) has a WhatsApp deeplink fallback for users who prefer to access LeapMoney via WhatsApp bot.</w:t>
      </w:r>
    </w:p>
    <w:p>
      <w:pPr>
        <w:pStyle w:val="ListBullet"/>
        <w:spacing w:before="20" w:after="20"/>
      </w:pPr>
      <w:r>
        <w:rPr>
          <w:rFonts w:ascii="Arial" w:hAnsi="Arial"/>
          <w:color w:val="000000"/>
          <w:sz w:val="20"/>
        </w:rPr>
        <w:t>Vernacular language support: Next.js i18n routing (next-intl). Hindi + 8 regional languages. UI strings in locale JSON files; LLM-generated content (recommendations) rendered in user's language preference.</w:t>
      </w:r>
    </w:p>
    <w:p>
      <w:pPr>
        <w:spacing w:before="0" w:after="0"/>
      </w:pPr>
      <w:r>
        <w:br w:type="page"/>
      </w:r>
    </w:p>
    <w:p>
      <w:pPr>
        <w:spacing w:before="320" w:after="120"/>
        <w:pBdr>
          <w:bottom w:val="single" w:sz="8" w:space="2" w:color="2563EB"/>
        </w:pBdr>
      </w:pPr>
      <w:r>
        <w:rPr>
          <w:rFonts w:ascii="Arial" w:hAnsi="Arial"/>
          <w:b/>
          <w:color w:val="0B1220"/>
          <w:sz w:val="36"/>
        </w:rPr>
        <w:t>13  API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5F3FF"/>
            <w:tcMar>
              <w:top w:w="120" w:type="dxa"/>
              <w:bottom w:w="120" w:type="dxa"/>
              <w:left w:w="200" w:type="dxa"/>
              <w:right w:w="200" w:type="dxa"/>
            </w:tcMar>
          </w:tcPr>
          <w:p>
            <w:pPr>
              <w:spacing w:before="20" w:after="20"/>
            </w:pPr>
            <w:r>
              <w:rPr>
                <w:rFonts w:ascii="Arial" w:hAnsi="Arial"/>
                <w:b w:val="0"/>
                <w:color w:val="0B1220"/>
                <w:sz w:val="20"/>
              </w:rPr>
              <w:t>LeapMoney's API architecture follows REST conventions with JSON:API-influenced response envelopes. All APIs are versioned (/api/v1/). Internal service-to-service communication uses the same API contracts — no separate internal protocol. All APIs are documented via OpenAPI 3.1.</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13.1  API Surface Map</w:t>
      </w:r>
    </w:p>
    <w:tbl>
      <w:tblPr>
        <w:jc w:val="left"/>
        <w:tblLook w:firstColumn="1" w:firstRow="1" w:lastColumn="0" w:lastRow="0" w:noHBand="0" w:noVBand="1" w:val="04A0"/>
        <w:tblW w:w="9360" w:type="dxa"/>
      </w:tblPr>
      <w:tblGrid>
        <w:gridCol w:w="1800"/>
        <w:gridCol w:w="2000"/>
        <w:gridCol w:w="2000"/>
        <w:gridCol w:w="2000"/>
        <w:gridCol w:w="1560"/>
      </w:tblGrid>
      <w:tr>
        <w:tc>
          <w:tcPr>
            <w:tcW w:w="1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API Group</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Base Path</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Consumer</w:t>
            </w:r>
          </w:p>
        </w:tc>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Auth Method</w:t>
            </w:r>
          </w:p>
        </w:tc>
        <w:tc>
          <w:tcPr>
            <w:tcW w:w="1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Rate Limit</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Auth</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/api/v1/auth/</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Web app, mobile PWA</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Supabase OTP + JWT</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 req/min per IP</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Borrower Profile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/api/v1/profile/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Web app, mobile PWA</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JWT Bearer</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60 req/min per user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LeapScore™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/api/v1/score/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Web app, CRM, 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JWT Bearer (borrower) or API Key (DSA)</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 req/min per borrower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LeapMatch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/api/v1/match/</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Web app, 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JWT Bearer</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req/min per borrower (match is compute-intensive)</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Comparison Engine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/api/v1/compare/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Web app, 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JWT Bearer</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 req/min per user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Bureau</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/api/v1/bureau/</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(LeapScore™ Engine only)</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Internal service token (not exposed externally)</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Bureau rate limits applied</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Documents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/api/v1/documents/</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Web app, 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JWT Bearer + pre-signed upload URL</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20 uploads/hour per user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Applications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/api/v1/applications/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Web app, 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JWT Bearer</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20 req/min per user</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DSA Suite</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/api/v1/dsa/</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web application</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DSA API Key + JWT (role-scoped)</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120 req/min per DSA key</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Lender Webhook</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/api/v1/webhooks/lender/</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Lender systems (inbound)</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Shared secret HMAC-SHA256 signature verification</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Per-lender IP whitelist + 100 req/min</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Admin</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/api/v1/admin/</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Internal tooling</w:t>
            </w:r>
          </w:p>
        </w:tc>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Admin JWT + MFA</w:t>
            </w:r>
          </w:p>
        </w:tc>
        <w:tc>
          <w:tcPr>
            <w:tcW w:type="dxa" w:w="1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30 req/min; all calls logged</w:t>
            </w:r>
          </w:p>
        </w:tc>
      </w:tr>
      <w:tr>
        <w:tc>
          <w:tcPr>
            <w:tcW w:type="dxa" w:w="1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Partner (B2B)</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/api/v1/partner/</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Bank partners, ecosystem APIs</w:t>
            </w:r>
          </w:p>
        </w:tc>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OAuth 2.0 client credentials</w:t>
            </w:r>
          </w:p>
        </w:tc>
        <w:tc>
          <w:tcPr>
            <w:tcW w:type="dxa" w:w="1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Custom per partner SLA</w:t>
            </w:r>
          </w:p>
        </w:tc>
      </w:tr>
    </w:tbl>
    <w:p>
      <w:pPr>
        <w:spacing w:before="0" w:after="0"/>
      </w:pPr>
      <w:r>
        <w:t xml:space="preserve"> </w:t>
      </w:r>
    </w:p>
    <w:p>
      <w:pPr>
        <w:spacing w:before="240" w:after="100"/>
      </w:pPr>
      <w:r>
        <w:rPr>
          <w:rFonts w:ascii="Arial" w:hAnsi="Arial"/>
          <w:b/>
          <w:color w:val="2563EB"/>
          <w:sz w:val="26"/>
        </w:rPr>
        <w:t>13.2  API Response Envelope Standard</w:t>
      </w:r>
    </w:p>
    <w:p>
      <w:pPr>
        <w:spacing w:before="40" w:after="40"/>
      </w:pPr>
      <w:r>
        <w:rPr>
          <w:rFonts w:ascii="Arial" w:hAnsi="Arial"/>
          <w:b/>
          <w:color w:val="000000"/>
          <w:sz w:val="20"/>
        </w:rPr>
        <w:t>All LeapMoney API responses follow a consistent envelope: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1E293B"/>
            <w:tcMar>
              <w:top w:w="120" w:type="dxa"/>
              <w:bottom w:w="120" w:type="dxa"/>
              <w:left w:w="200" w:type="dxa"/>
              <w:right w:w="200" w:type="dxa"/>
            </w:tcMar>
          </w:tcPr>
          <w:p>
            <w:pPr>
              <w:spacing w:before="20" w:after="20"/>
            </w:pPr>
            <w:r>
              <w:rPr>
                <w:rFonts w:ascii="Arial" w:hAnsi="Arial"/>
                <w:b w:val="0"/>
                <w:color w:val="86EFAC"/>
                <w:sz w:val="18"/>
              </w:rPr>
              <w:t>{</w:t>
              <w:br/>
              <w:t xml:space="preserve">  "success": true,</w:t>
              <w:br/>
              <w:t xml:space="preserve">  "data": { ... },</w:t>
              <w:br/>
              <w:t xml:space="preserve">  "meta": {</w:t>
              <w:br/>
              <w:t xml:space="preserve">    "request_id": "req_01H2XYZ...",</w:t>
              <w:br/>
              <w:t xml:space="preserve">    "timestamp": "2025-06-15T14:32:00Z",</w:t>
              <w:br/>
              <w:t xml:space="preserve">    "version": "v1"</w:t>
              <w:br/>
              <w:t xml:space="preserve">  },</w:t>
              <w:br/>
              <w:t xml:space="preserve">  "errors": []    // populated on failure; success: false</w:t>
              <w:br/>
              <w:t>}</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13.3  API Versioning &amp; Deprecation Policy</w:t>
      </w:r>
    </w:p>
    <w:p>
      <w:pPr>
        <w:pStyle w:val="ListBullet"/>
        <w:spacing w:before="20" w:after="20"/>
      </w:pPr>
      <w:r>
        <w:rPr>
          <w:rFonts w:ascii="Arial" w:hAnsi="Arial"/>
          <w:color w:val="000000"/>
          <w:sz w:val="20"/>
        </w:rPr>
        <w:t>All APIs are versioned at the path level (/api/v1/, /api/v2/). Breaking changes always increment major version.</w:t>
      </w:r>
    </w:p>
    <w:p>
      <w:pPr>
        <w:pStyle w:val="ListBullet"/>
        <w:spacing w:before="20" w:after="20"/>
      </w:pPr>
      <w:r>
        <w:rPr>
          <w:rFonts w:ascii="Arial" w:hAnsi="Arial"/>
          <w:color w:val="000000"/>
          <w:sz w:val="20"/>
        </w:rPr>
        <w:t>Minimum 6-month deprecation notice for any /v1/ endpoint before removal.</w:t>
      </w:r>
    </w:p>
    <w:p>
      <w:pPr>
        <w:pStyle w:val="ListBullet"/>
        <w:spacing w:before="20" w:after="20"/>
      </w:pPr>
      <w:r>
        <w:rPr>
          <w:rFonts w:ascii="Arial" w:hAnsi="Arial"/>
          <w:color w:val="000000"/>
          <w:sz w:val="20"/>
        </w:rPr>
        <w:t>Non-breaking additions (new optional fields, new endpoints) are added to current version without versioning.</w:t>
      </w:r>
    </w:p>
    <w:p>
      <w:pPr>
        <w:pStyle w:val="ListBullet"/>
        <w:spacing w:before="20" w:after="20"/>
      </w:pPr>
      <w:r>
        <w:rPr>
          <w:rFonts w:ascii="Arial" w:hAnsi="Arial"/>
          <w:color w:val="000000"/>
          <w:sz w:val="20"/>
        </w:rPr>
        <w:t>OpenAPI 3.1 spec auto-generated from code (Zod schema → OpenAPI via zod-to-openapi). Documentation published at /api/docs.</w:t>
      </w:r>
    </w:p>
    <w:p>
      <w:pPr>
        <w:spacing w:before="0" w:after="0"/>
      </w:pPr>
      <w:r>
        <w:br w:type="page"/>
      </w:r>
    </w:p>
    <w:p>
      <w:pPr>
        <w:spacing w:before="320" w:after="120"/>
        <w:pBdr>
          <w:bottom w:val="single" w:sz="8" w:space="2" w:color="2563EB"/>
        </w:pBdr>
      </w:pPr>
      <w:r>
        <w:rPr>
          <w:rFonts w:ascii="Arial" w:hAnsi="Arial"/>
          <w:b/>
          <w:color w:val="0B1220"/>
          <w:sz w:val="36"/>
        </w:rPr>
        <w:t>14  Security &amp; Compliance Architecture</w:t>
      </w:r>
    </w:p>
    <w:tbl>
      <w:tblPr>
        <w:jc w:val="left"/>
        <w:tblLook w:firstColumn="1" w:firstRow="1" w:lastColumn="0" w:lastRow="0" w:noHBand="0" w:noVBand="1" w:val="04A0"/>
        <w:tblW w:w="9360" w:type="dxa"/>
      </w:tblPr>
      <w:tblGrid>
        <w:gridCol w:w="9360"/>
      </w:tblGrid>
      <w:tr>
        <w:tc>
          <w:tcPr>
            <w:tcW w:w="9360" w:type="dxa"/>
            <w:tcBorders>
              <w:top w:val="single" w:sz="4" w:space="0" w:color="E2E8F0"/>
              <w:left w:val="single" w:sz="4" w:space="0" w:color="E2E8F0"/>
              <w:bottom w:val="single" w:sz="4" w:space="0" w:color="E2E8F0"/>
              <w:right w:val="single" w:sz="4" w:space="0" w:color="E2E8F0"/>
            </w:tcBorders>
            <w:shd w:val="clear" w:color="auto" w:fill="FEF3C7"/>
            <w:tcMar>
              <w:top w:w="120" w:type="dxa"/>
              <w:bottom w:w="120" w:type="dxa"/>
              <w:left w:w="200" w:type="dxa"/>
              <w:right w:w="200" w:type="dxa"/>
            </w:tcMar>
          </w:tcPr>
          <w:p>
            <w:pPr>
              <w:spacing w:before="20" w:after="20"/>
            </w:pPr>
            <w:r>
              <w:rPr>
                <w:rFonts w:ascii="Arial" w:hAnsi="Arial"/>
                <w:b w:val="0"/>
                <w:color w:val="334155"/>
                <w:sz w:val="20"/>
              </w:rPr>
              <w:t>Security and compliance are not post-launch additions — they are architectural constraints that shape every design decision in the LeapMoney platform. This section covers encryption, access control, data privacy (DPDP Act 2023), RBI Digital Lending compliance, and audit architecture.</w:t>
            </w:r>
          </w:p>
        </w:tc>
      </w:tr>
    </w:tbl>
    <w:p>
      <w:pPr>
        <w:spacing w:before="0" w:after="0"/>
      </w:pPr>
      <w:r>
        <w:t xml:space="preserve"> </w:t>
      </w:r>
    </w:p>
    <w:p>
      <w:pPr>
        <w:spacing w:before="0" w:after="0"/>
      </w:pPr>
      <w:r>
        <w:t xml:space="preserve"> </w:t>
      </w:r>
    </w:p>
    <w:p>
      <w:pPr>
        <w:spacing w:before="240" w:after="100"/>
      </w:pPr>
      <w:r>
        <w:rPr>
          <w:rFonts w:ascii="Arial" w:hAnsi="Arial"/>
          <w:b/>
          <w:color w:val="2563EB"/>
          <w:sz w:val="26"/>
        </w:rPr>
        <w:t>14.1  Security Architecture Layers</w:t>
      </w:r>
    </w:p>
    <w:tbl>
      <w:tblPr>
        <w:jc w:val="left"/>
        <w:tblLook w:firstColumn="1" w:firstRow="1" w:lastColumn="0" w:lastRow="0" w:noHBand="0" w:noVBand="1" w:val="04A0"/>
        <w:tblW w:w="9360" w:type="dxa"/>
      </w:tblPr>
      <w:tblGrid>
        <w:gridCol w:w="1400"/>
        <w:gridCol w:w="2800"/>
        <w:gridCol w:w="5160"/>
      </w:tblGrid>
      <w:tr>
        <w:tc>
          <w:tcPr>
            <w:tcW w:w="14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Layer</w:t>
            </w:r>
          </w:p>
        </w:tc>
        <w:tc>
          <w:tcPr>
            <w:tcW w:w="28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Control</w:t>
            </w:r>
          </w:p>
        </w:tc>
        <w:tc>
          <w:tcPr>
            <w:tcW w:w="51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Implementation</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Network</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TLS 1.3 everywhere; no HTTP. mTLS for bureau API connections. IP whitelisting for lender webhook endpoints.</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Vercel / Cloudflare edge enforces TLS. mTLS certificates for CIBIL and Experian managed via AWS Certificate Manager.</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Authentication</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JWT (short-lived, 15 min access tokens + 7-day refresh tokens). OTP-based login (no passwords for borrowers). API keys for DSA + partners (rotatable, scopeable).</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Supabase Auth handles JWT issuance. OTP via MSG91 (SMS) or SendGrid (email). API keys hashed before storage (SHA-256, never stored in plain text).</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Authorisation</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Row-Level Security (RLS) in PostgreSQL. Borrowers can only read their own rows. DSAs can read borrower rows they are assigned (linked via leads table). Admins have explicit GRANT.</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Supabase RLS policies defined at table level. Service role (backend) bypasses RLS only within authenticated service context — never exposed to client.</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Encryption at Rest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AES-256 encryption for all PII fields. Column-level encryption for: PAN, Aadhaar (masked), mobile, bank account numbers, bureau report raw JSON.</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Supabase column encryption (pgsodium). KMS key management (AWS KMS — one key per data category). Bureau report JSON encrypted before insert.</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Data Encryption in Transit</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All API calls over HTTPS. Internal service-to-service calls over mTLS within VPC. Database connections over TLS (Supabase enforces, no plaintext connections accepted).</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Vercel edge → Node.js backend → Supabase: all TLS. BullMQ → Redis: TLS (Upstash enforced).</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Secrets Management</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Zero secrets in code or environment variables in source code. All secrets in AWS Secrets Manager. Rotated quarterly for API keys; immediately on suspected compromise.</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GitHub Actions pulls secrets from AWS Secrets Manager at deploy time. No .env files committed. Supabase service role key stored in Secrets Manager only.</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Application Security</w:t>
            </w:r>
          </w:p>
        </w:tc>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OWASP Top 10 review at each major release. SQL injection impossible (parameterised queries via Supabase client). XSS prevention (Next.js built-in CSP headers).</w:t>
            </w:r>
          </w:p>
        </w:tc>
        <w:tc>
          <w:tcPr>
            <w:tcW w:type="dxa" w:w="5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Automated SAST (Snyk) on every PR. Manual penetration test before production launch and annually. Dependency vulnerability scanning (npm audit, pip audit) in CI.</w:t>
            </w:r>
          </w:p>
        </w:tc>
      </w:tr>
      <w:tr>
        <w:tc>
          <w:tcPr>
            <w:tcW w:type="dxa" w:w="14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Rate Limiting</w:t>
            </w:r>
          </w:p>
        </w:tc>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Per-user and per-IP rate limits on all API endpoints (see Section 13.1). Bureau pull rate limiting applied at Bureau Aggregator Service level.</w:t>
            </w:r>
          </w:p>
        </w:tc>
        <w:tc>
          <w:tcPr>
            <w:tcW w:type="dxa" w:w="5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Redis-based rate limiter (Upstash Rate Limit library). Returns 429 with Retry-After header. Separate limits for anonymous vs. authenticated.</w:t>
            </w:r>
          </w:p>
        </w:tc>
      </w:tr>
    </w:tbl>
    <w:p>
      <w:pPr>
        <w:spacing w:before="0" w:after="0"/>
      </w:pPr>
      <w:r>
        <w:t xml:space="preserve"> </w:t>
      </w:r>
    </w:p>
    <w:p>
      <w:pPr>
        <w:spacing w:before="240" w:after="100"/>
      </w:pPr>
      <w:r>
        <w:rPr>
          <w:rFonts w:ascii="Arial" w:hAnsi="Arial"/>
          <w:b/>
          <w:color w:val="2563EB"/>
          <w:sz w:val="26"/>
        </w:rPr>
        <w:t>14.2  RBI Digital Lending Guidelines 2022 — Compliance Mapping</w:t>
      </w:r>
    </w:p>
    <w:tbl>
      <w:tblPr>
        <w:jc w:val="left"/>
        <w:tblLook w:firstColumn="1" w:firstRow="1" w:lastColumn="0" w:lastRow="0" w:noHBand="0" w:noVBand="1" w:val="04A0"/>
        <w:tblW w:w="9360" w:type="dxa"/>
      </w:tblPr>
      <w:tblGrid>
        <w:gridCol w:w="3200"/>
        <w:gridCol w:w="6160"/>
      </w:tblGrid>
      <w:tr>
        <w:tc>
          <w:tcPr>
            <w:tcW w:w="320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RBI Requirement</w:t>
            </w:r>
          </w:p>
        </w:tc>
        <w:tc>
          <w:tcPr>
            <w:tcW w:w="6160" w:type="dxa"/>
            <w:tcBorders>
              <w:top w:val="single" w:sz="4" w:space="0" w:color="CCCCCC"/>
              <w:left w:val="single" w:sz="4" w:space="0" w:color="CCCCCC"/>
              <w:bottom w:val="single" w:sz="4" w:space="0" w:color="CCCCCC"/>
              <w:right w:val="single" w:sz="4" w:space="0" w:color="CCCCCC"/>
            </w:tcBorders>
            <w:shd w:val="clear" w:color="auto" w:fill="2563EB"/>
            <w:tcMar>
              <w:top w:w="60" w:type="dxa"/>
              <w:bottom w:w="60" w:type="dxa"/>
              <w:left w:w="100" w:type="dxa"/>
              <w:right w:w="100" w:type="dxa"/>
            </w:tcMar>
            <w:vAlign w:val="center"/>
          </w:tcPr>
          <w:p>
            <w:pPr>
              <w:jc w:val="center"/>
            </w:pPr>
            <w:r>
              <w:rPr>
                <w:rFonts w:ascii="Arial" w:hAnsi="Arial"/>
                <w:b/>
                <w:color w:val="FFFFFF"/>
                <w:sz w:val="18"/>
              </w:rPr>
              <w:t>LeapMoney Implementation</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Loan agreement must be digital and signed before disbursal</w:t>
            </w:r>
          </w:p>
        </w:tc>
        <w:tc>
          <w:tcPr>
            <w:tcW w:type="dxa" w:w="6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Application flow generates loan agreement PDF from lender template; borrower e-signs via Aadhaar eSign or OTP-based acceptance; agreement stored immutably in Supabase Storage.</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Annual Percentage Rate (APR) disclosure mandatory before acceptance</w:t>
            </w:r>
          </w:p>
        </w:tc>
        <w:tc>
          <w:tcPr>
            <w:tcW w:type="dxa" w:w="6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TCB / APR displayed prominently in Lender Card before application submission. APR computed per RBI formula (all-inclusive cost). Borrower must acknowledge APR before proceeding.</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No data storage beyond purpose</w:t>
            </w:r>
          </w:p>
        </w:tc>
        <w:tc>
          <w:tcPr>
            <w:tcW w:type="dxa" w:w="6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Data Purpose Matrix maps every data field to its specific use. Fields not required for loan processing are flagged. Automated purge jobs respect retention policies.</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Cooling-off period (3 days for loans up to ₹50,000 / 7 days for above)</w:t>
            </w:r>
          </w:p>
        </w:tc>
        <w:tc>
          <w:tcPr>
            <w:tcW w:type="dxa" w:w="6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 flow includes mandatory disclosure of cooling-off period. Cancellation API available during cooling-off window. Lender webhook on cancellation triggers reversal.</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Grievance Redressal Officer contact mandatory</w:t>
            </w:r>
          </w:p>
        </w:tc>
        <w:tc>
          <w:tcPr>
            <w:tcW w:type="dxa" w:w="61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GRO contact displayed in footer, loan agreement, and post-disbursal communication. GRO ticket system integrated into LeapMoney admin panel for tracking and resolution SLAs.</w:t>
            </w:r>
          </w:p>
        </w:tc>
      </w:tr>
      <w:tr>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Credit bureau report must be basis of lending decision</w:t>
            </w:r>
          </w:p>
        </w:tc>
        <w:tc>
          <w:tcPr>
            <w:tcW w:type="dxa" w:w="61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LeapMatch recommendations include bureau pull (soft at match stage; hard at application). Bureau report ID linked to application record. Compliance audit trail complete.</w:t>
            </w:r>
          </w:p>
        </w:tc>
      </w:tr>
    </w:tbl>
    <w:p>
      <w:pPr>
        <w:spacing w:before="0" w:after="0"/>
      </w:pPr>
      <w:r>
        <w:t xml:space="preserve"> </w:t>
      </w:r>
    </w:p>
    <w:p>
      <w:pPr>
        <w:spacing w:before="240" w:after="100"/>
      </w:pPr>
      <w:r>
        <w:rPr>
          <w:rFonts w:ascii="Arial" w:hAnsi="Arial"/>
          <w:b/>
          <w:color w:val="2563EB"/>
          <w:sz w:val="26"/>
        </w:rPr>
        <w:t>14.3  DPDP Act 2023 — Compliance Architecture</w:t>
      </w:r>
    </w:p>
    <w:tbl>
      <w:tblPr>
        <w:jc w:val="left"/>
        <w:tblLook w:firstColumn="1" w:firstRow="1" w:lastColumn="0" w:lastRow="0" w:noHBand="0" w:noVBand="1" w:val="04A0"/>
        <w:tblW w:w="9360" w:type="dxa"/>
      </w:tblPr>
      <w:tblGrid>
        <w:gridCol w:w="2800"/>
        <w:gridCol w:w="6560"/>
      </w:tblGrid>
      <w:tr>
        <w:tc>
          <w:tcPr>
            <w:tcW w:w="280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DPDP Requirement</w:t>
            </w:r>
          </w:p>
        </w:tc>
        <w:tc>
          <w:tcPr>
            <w:tcW w:w="6560" w:type="dxa"/>
            <w:tcBorders>
              <w:top w:val="single" w:sz="4" w:space="0" w:color="CCCCCC"/>
              <w:left w:val="single" w:sz="4" w:space="0" w:color="CCCCCC"/>
              <w:bottom w:val="single" w:sz="4" w:space="0" w:color="CCCCCC"/>
              <w:right w:val="single" w:sz="4" w:space="0" w:color="CCCCCC"/>
            </w:tcBorders>
            <w:shd w:val="clear" w:color="auto" w:fill="14B8A6"/>
            <w:tcMar>
              <w:top w:w="60" w:type="dxa"/>
              <w:bottom w:w="60" w:type="dxa"/>
              <w:left w:w="100" w:type="dxa"/>
              <w:right w:w="100" w:type="dxa"/>
            </w:tcMar>
            <w:vAlign w:val="center"/>
          </w:tcPr>
          <w:p>
            <w:pPr>
              <w:jc w:val="center"/>
            </w:pPr>
            <w:r>
              <w:rPr>
                <w:rFonts w:ascii="Arial" w:hAnsi="Arial"/>
                <w:b/>
                <w:color w:val="FFFFFF"/>
                <w:sz w:val="18"/>
              </w:rPr>
              <w:t>Architecture Response</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Explicit, informed consent before data collection</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Consent collection is a first-class UI flow — not a pre-ticked checkbox. Consent purpose, duration, and scope explicitly stated in plain language (Hindi + English).</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Right to access personal data</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GET /api/v1/profile/data-export — returns all borrower data as JSON within 48 hours of request. Automated pipeline; no manual fulfilment required.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Right to erasure</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DELETE /api/v1/profile — pseudonymises PII; deletes bureau reports (not in regulatory hold); removes from active marketing lists. Audit log of deletion retained (required by RBI).</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localisation</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All infrastructure (Supabase, Vercel, Redis) deployed in AWS ap-south-1 (Mumbai) region. No personal data transferred outside India without explicit consent.</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Significant Data Fiduciary obligations</w:t>
            </w:r>
          </w:p>
        </w:tc>
        <w:tc>
          <w:tcPr>
            <w:tcW w:type="dxa" w:w="6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As a financial data processor, LeapMoney registers as Significant Data Fiduciary. Data Protection Officer (DPO) appointed. Annual data audit conducted.</w:t>
            </w:r>
          </w:p>
        </w:tc>
      </w:tr>
      <w:tr>
        <w:tc>
          <w:tcPr>
            <w:tcW w:type="dxa" w:w="28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Data breach notification (72h)</w:t>
            </w:r>
          </w:p>
        </w:tc>
        <w:tc>
          <w:tcPr>
            <w:tcW w:type="dxa" w:w="6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Incident response plan defines 72-hour notification window. Automated breach detection via anomaly alerts in Datadog. Breach notification template pre-approved.</w:t>
            </w:r>
          </w:p>
        </w:tc>
      </w:tr>
    </w:tbl>
    <w:p>
      <w:pPr>
        <w:spacing w:before="0" w:after="0"/>
      </w:pPr>
      <w:r>
        <w:t xml:space="preserve"> </w:t>
      </w:r>
    </w:p>
    <w:p>
      <w:pPr>
        <w:spacing w:before="240" w:after="100"/>
      </w:pPr>
      <w:r>
        <w:rPr>
          <w:rFonts w:ascii="Arial" w:hAnsi="Arial"/>
          <w:b/>
          <w:color w:val="2563EB"/>
          <w:sz w:val="26"/>
        </w:rPr>
        <w:t>14.4  Audit Architecture</w:t>
      </w:r>
    </w:p>
    <w:tbl>
      <w:tblPr>
        <w:jc w:val="left"/>
        <w:tblLook w:firstColumn="1" w:firstRow="1" w:lastColumn="0" w:lastRow="0" w:noHBand="0" w:noVBand="1" w:val="04A0"/>
        <w:tblW w:w="9360" w:type="dxa"/>
      </w:tblPr>
      <w:tblGrid>
        <w:gridCol w:w="2000"/>
        <w:gridCol w:w="3200"/>
        <w:gridCol w:w="1600"/>
        <w:gridCol w:w="2560"/>
      </w:tblGrid>
      <w:tr>
        <w:tc>
          <w:tcPr>
            <w:tcW w:w="20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Audit Event</w:t>
            </w:r>
          </w:p>
        </w:tc>
        <w:tc>
          <w:tcPr>
            <w:tcW w:w="32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What Is Logged</w:t>
            </w:r>
          </w:p>
        </w:tc>
        <w:tc>
          <w:tcPr>
            <w:tcW w:w="160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Retention</w:t>
            </w:r>
          </w:p>
        </w:tc>
        <w:tc>
          <w:tcPr>
            <w:tcW w:w="2560" w:type="dxa"/>
            <w:tcBorders>
              <w:top w:val="single" w:sz="4" w:space="0" w:color="CCCCCC"/>
              <w:left w:val="single" w:sz="4" w:space="0" w:color="CCCCCC"/>
              <w:bottom w:val="single" w:sz="4" w:space="0" w:color="CCCCCC"/>
              <w:right w:val="single" w:sz="4" w:space="0" w:color="CCCCCC"/>
            </w:tcBorders>
            <w:shd w:val="clear" w:color="auto" w:fill="0B1220"/>
            <w:tcMar>
              <w:top w:w="60" w:type="dxa"/>
              <w:bottom w:w="60" w:type="dxa"/>
              <w:left w:w="100" w:type="dxa"/>
              <w:right w:w="100" w:type="dxa"/>
            </w:tcMar>
            <w:vAlign w:val="center"/>
          </w:tcPr>
          <w:p>
            <w:pPr>
              <w:jc w:val="center"/>
            </w:pPr>
            <w:r>
              <w:rPr>
                <w:rFonts w:ascii="Arial" w:hAnsi="Arial"/>
                <w:b/>
                <w:color w:val="FFFFFF"/>
                <w:sz w:val="18"/>
              </w:rPr>
              <w:t>Access</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Every API call</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request_id, user_id, endpoint, method, status, latency, IP, user_agent, timestamp</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 year hot; 10 years cold</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Internal security team only</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Every bureau pull</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 bureau, pull_type, consent_id, pulled_at, report_id, cost</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years</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Compliance + Legal</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Every consent action</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consent_type, action (granted/revoked), timestamp, IP, device_fingerprint</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10 years (immutable)</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Regulatory audit on request</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Every data export/deletion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borrower_id, request_type, fulfilled_at, fields_affected</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years</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Compliance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color w:val="000000"/>
                <w:sz w:val="17"/>
              </w:rPr>
              <w:t>Every ML model inference</w:t>
            </w:r>
          </w:p>
        </w:tc>
        <w:tc>
          <w:tcPr>
            <w:tcW w:type="dxa" w:w="32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borrower_id, model_version, features_used_hash, output_score, lenders_evaluated</w:t>
            </w:r>
          </w:p>
        </w:tc>
        <w:tc>
          <w:tcPr>
            <w:tcW w:type="dxa" w:w="160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7 years</w:t>
            </w:r>
          </w:p>
        </w:tc>
        <w:tc>
          <w:tcPr>
            <w:tcW w:type="dxa" w:w="2560"/>
            <w:tcBorders>
              <w:top w:val="single" w:sz="4" w:space="0" w:color="CCCCCC"/>
              <w:left w:val="single" w:sz="4" w:space="0" w:color="CCCCCC"/>
              <w:bottom w:val="single" w:sz="4" w:space="0" w:color="CCCCCC"/>
              <w:right w:val="single" w:sz="4" w:space="0" w:color="CCCCCC"/>
            </w:tcBorders>
            <w:shd w:val="clear" w:color="auto" w:fill="FFFFFF"/>
            <w:tcMar>
              <w:top w:w="50" w:type="dxa"/>
              <w:bottom w:w="50" w:type="dxa"/>
              <w:left w:w="100" w:type="dxa"/>
              <w:right w:w="100" w:type="dxa"/>
            </w:tcMar>
            <w:vAlign w:val="top"/>
          </w:tcPr>
          <w:p>
            <w:pPr>
              <w:jc w:val="left"/>
            </w:pPr>
            <w:r>
              <w:rPr>
                <w:rFonts w:ascii="Arial" w:hAnsi="Arial"/>
                <w:b w:val="0"/>
                <w:color w:val="000000"/>
                <w:sz w:val="17"/>
              </w:rPr>
              <w:t>ML team + Compliance</w:t>
            </w:r>
          </w:p>
        </w:tc>
      </w:tr>
      <w:tr>
        <w:tc>
          <w:tcPr>
            <w:tcW w:type="dxa" w:w="20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color w:val="000000"/>
                <w:sz w:val="17"/>
              </w:rPr>
              <w:t>Every lender submission</w:t>
            </w:r>
          </w:p>
        </w:tc>
        <w:tc>
          <w:tcPr>
            <w:tcW w:type="dxa" w:w="32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application_id, lender_id, borrower_id, submitted_at, documents_included, hard_pull_consent_id</w:t>
            </w:r>
          </w:p>
        </w:tc>
        <w:tc>
          <w:tcPr>
            <w:tcW w:type="dxa" w:w="160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10 years</w:t>
            </w:r>
          </w:p>
        </w:tc>
        <w:tc>
          <w:tcPr>
            <w:tcW w:type="dxa" w:w="2560"/>
            <w:tcBorders>
              <w:top w:val="single" w:sz="4" w:space="0" w:color="CCCCCC"/>
              <w:left w:val="single" w:sz="4" w:space="0" w:color="CCCCCC"/>
              <w:bottom w:val="single" w:sz="4" w:space="0" w:color="CCCCCC"/>
              <w:right w:val="single" w:sz="4" w:space="0" w:color="CCCCCC"/>
            </w:tcBorders>
            <w:shd w:val="clear" w:color="auto" w:fill="F8FAFC"/>
            <w:tcMar>
              <w:top w:w="50" w:type="dxa"/>
              <w:bottom w:w="50" w:type="dxa"/>
              <w:left w:w="100" w:type="dxa"/>
              <w:right w:w="100" w:type="dxa"/>
            </w:tcMar>
            <w:vAlign w:val="top"/>
          </w:tcPr>
          <w:p>
            <w:pPr>
              <w:jc w:val="left"/>
            </w:pPr>
            <w:r>
              <w:rPr>
                <w:rFonts w:ascii="Arial" w:hAnsi="Arial"/>
                <w:b w:val="0"/>
                <w:color w:val="000000"/>
                <w:sz w:val="17"/>
              </w:rPr>
              <w:t>Operations + Compliance</w:t>
            </w:r>
          </w:p>
        </w:tc>
      </w:tr>
    </w:tbl>
    <w:p>
      <w:pPr>
        <w:spacing w:before="0" w:after="0"/>
      </w:pPr>
      <w:r>
        <w:t xml:space="preserve"> </w:t>
      </w:r>
    </w:p>
    <w:p>
      <w:pPr>
        <w:spacing w:before="0" w:after="0"/>
      </w:pPr>
      <w:r>
        <w:t xml:space="preserve"> </w:t>
      </w:r>
    </w:p>
    <w:p>
      <w:pPr>
        <w:spacing w:before="0" w:after="0"/>
      </w:pPr>
      <w:r>
        <w:t xml:space="preserve"> </w:t>
      </w:r>
    </w:p>
    <w:p>
      <w:pPr>
        <w:spacing w:before="0" w:after="0"/>
      </w:pPr>
      <w:r>
        <w:t xml:space="preserve"> </w:t>
      </w:r>
    </w:p>
    <w:p>
      <w:pPr>
        <w:spacing w:before="60" w:after="60"/>
        <w:pBdr>
          <w:bottom w:val="single" w:sz="4" w:space="1" w:color="E2E8F0"/>
        </w:pBdr>
      </w:pPr>
    </w:p>
    <w:p>
      <w:pPr>
        <w:spacing w:before="0" w:after="0"/>
      </w:pPr>
      <w:r>
        <w:t xml:space="preserve"> </w:t>
      </w:r>
    </w:p>
    <w:p>
      <w:pPr>
        <w:jc w:val="center"/>
      </w:pPr>
      <w:r>
        <w:rPr>
          <w:rFonts w:ascii="Arial" w:hAnsi="Arial"/>
          <w:color w:val="94A3B8"/>
          <w:sz w:val="16"/>
        </w:rPr>
        <w:t>LeapMatch Phase 2 — Technical Architecture v1.0  ·  v1.1  ·  June 2026  ·  LeapMoney Confidential</w:t>
      </w:r>
    </w:p>
    <w:p>
      <w:pPr>
        <w:spacing w:before="0" w:after="0"/>
      </w:pPr>
      <w:r>
        <w:t xml:space="preserve"> </w:t>
      </w:r>
    </w:p>
    <w:p>
      <w:pPr>
        <w:jc w:val="center"/>
      </w:pPr>
      <w:r>
        <w:rPr>
          <w:rFonts w:ascii="Arial" w:hAnsi="Arial"/>
          <w:b/>
          <w:color w:val="D97706"/>
          <w:sz w:val="20"/>
        </w:rPr>
        <w:t>✅  PHASE 2 COMPLETE — READY FOR FOUNDER REVIEW — PHASE 3: DATA MODEL &amp; SCORING ENGINE PENDING APPROVAL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