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 xml:space="preserve"> </w:t>
      </w:r>
    </w:p>
    <w:p>
      <w:pPr>
        <w:spacing w:before="0" w:after="0"/>
      </w:pPr>
      <w:r>
        <w:t xml:space="preserve"> </w:t>
      </w:r>
    </w:p>
    <w:p>
      <w:pPr>
        <w:spacing w:before="0" w:after="0"/>
      </w:pPr>
      <w:r>
        <w:t xml:space="preserve"> </w:t>
      </w:r>
    </w:p>
    <w:p>
      <w:pPr>
        <w:jc w:val="center"/>
      </w:pPr>
      <w:r>
        <w:rPr>
          <w:rFonts w:ascii="Arial" w:hAnsi="Arial"/>
          <w:b/>
          <w:color w:val="0B1220"/>
          <w:sz w:val="72"/>
        </w:rPr>
        <w:t>LeapMatch™ Phase 3 Addendum</w:t>
      </w:r>
    </w:p>
    <w:p>
      <w:pPr>
        <w:jc w:val="center"/>
      </w:pPr>
      <w:r>
        <w:rPr>
          <w:rFonts w:ascii="Arial" w:hAnsi="Arial"/>
          <w:b/>
          <w:color w:val="2563EB"/>
          <w:sz w:val="32"/>
        </w:rPr>
        <w:t>Score Bands · Match Confidence · Super App Expansion</w:t>
      </w:r>
    </w:p>
    <w:p>
      <w:pPr>
        <w:jc w:val="center"/>
      </w:pPr>
      <w:r>
        <w:rPr>
          <w:rFonts w:ascii="Arial" w:hAnsi="Arial"/>
          <w:b w:val="0"/>
          <w:color w:val="94A3B8"/>
          <w:sz w:val="22"/>
        </w:rPr>
        <w:t>Phase 3 Addendum  ·  Supplementary Scoring Definitions  ·  Version 1.0</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8"/>
        </w:rPr>
        <w:t>v1.0  ·  June 2026  ·  CONFIDENTIAL  ·  FOUNDER APPROVED — ADDENDUM TO PHASE 3</w:t>
      </w:r>
    </w:p>
    <w:p>
      <w:pPr>
        <w:spacing w:before="0" w:after="0"/>
      </w:pPr>
      <w:r>
        <w:t xml:space="preserve"> </w:t>
      </w:r>
    </w:p>
    <w:p>
      <w:pPr>
        <w:spacing w:before="0" w:after="0"/>
      </w:pPr>
      <w:r>
        <w:t xml:space="preserve"> </w:t>
      </w:r>
    </w:p>
    <w:tbl>
      <w:tblPr>
        <w:jc w:val="center"/>
        <w:tblLook w:firstColumn="1" w:firstRow="1" w:lastColumn="0" w:lastRow="0" w:noHBand="0" w:noVBand="1" w:val="04A0"/>
        <w:tblW w:w="8100" w:type="dxa"/>
      </w:tblPr>
      <w:tblGrid>
        <w:gridCol w:w="2700"/>
        <w:gridCol w:w="2700"/>
        <w:gridCol w:w="2700"/>
      </w:tblGrid>
      <w:tr>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Document</w:t>
              <w:br/>
            </w:r>
            <w:r>
              <w:rPr>
                <w:rFonts w:ascii="Arial" w:hAnsi="Arial"/>
                <w:color w:val="0B1220"/>
                <w:sz w:val="18"/>
              </w:rPr>
              <w:t>LeapMatch™ Phase 3 Addendum</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Owner</w:t>
              <w:br/>
            </w:r>
            <w:r>
              <w:rPr>
                <w:rFonts w:ascii="Arial" w:hAnsi="Arial"/>
                <w:color w:val="0B1220"/>
                <w:sz w:val="18"/>
              </w:rPr>
              <w:t>LeapMoney Founding Team</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Status</w:t>
              <w:br/>
            </w:r>
            <w:r>
              <w:rPr>
                <w:rFonts w:ascii="Arial" w:hAnsi="Arial"/>
                <w:color w:val="0B1220"/>
                <w:sz w:val="18"/>
              </w:rPr>
              <w:t>FOUNDER APPROVED — ADDENDUM TO PHASE 3</w:t>
            </w:r>
          </w:p>
        </w:tc>
      </w:tr>
    </w:tbl>
    <w:p>
      <w:pPr>
        <w:spacing w:before="0" w:after="0"/>
      </w:pPr>
      <w:r>
        <w:t xml:space="preserve"> </w:t>
      </w:r>
    </w:p>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bottom w:w="120" w:type="dxa"/>
              <w:left w:w="200" w:type="dxa"/>
              <w:right w:w="200" w:type="dxa"/>
            </w:tcMar>
          </w:tcPr>
          <w:p>
            <w:pPr>
              <w:spacing w:before="20" w:after="20"/>
            </w:pPr>
            <w:r>
              <w:rPr>
                <w:rFonts w:ascii="Arial" w:hAnsi="Arial"/>
                <w:b w:val="0"/>
                <w:color w:val="334155"/>
                <w:sz w:val="19"/>
              </w:rPr>
              <w:t>This addendum supplements LeapMatch Phase 3: Data Model &amp; Scoring Engine (v1.0) with three definitional sections arising from the founder review. The Phase 3 document is unchanged. These definitions provide the product team, engineering team, and UX designers with precise band thresholds and future-state expansion framework needed before Phase 4 (UI/UX Architecture) begins.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Table of Contents</w:t>
      </w:r>
    </w:p>
    <w:tbl>
      <w:tblPr>
        <w:jc w:val="left"/>
        <w:tblLook w:firstColumn="1" w:firstRow="1" w:lastColumn="0" w:lastRow="0" w:noHBand="0" w:noVBand="1" w:val="04A0"/>
        <w:tblW w:w="9360" w:type="dxa"/>
      </w:tblPr>
      <w:tblGrid>
        <w:gridCol w:w="600"/>
        <w:gridCol w:w="7560"/>
        <w:gridCol w:w="1200"/>
      </w:tblGrid>
      <w:tr>
        <w:tc>
          <w:tcPr>
            <w:tcW w:w="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t>
            </w:r>
          </w:p>
        </w:tc>
        <w:tc>
          <w:tcPr>
            <w:tcW w:w="7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Section</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Page</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B1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LeapScore™ Band Definitions</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B2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Match Confidence Rating Bands</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5</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B3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LeapScore™ Future Expansion Framework — Financial Super App</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7</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B1  LeapScore™ Band Definitions</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Band definitions are the user-facing translation of a numeric LeapScore™ (0–100) into a label, colour, and behavioural prescription. These definitions govern what the platform shows, offers, and communicates at each score level — across the borrower dashboard, DSA Suite, and WhatsApp flow. All band thresholds are calibrated against observed Indian lender approval patterns.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B1.1  Primary Band Table</w:t>
      </w:r>
    </w:p>
    <w:tbl>
      <w:tblPr>
        <w:jc w:val="left"/>
        <w:tblLook w:firstColumn="1" w:firstRow="1" w:lastColumn="0" w:lastRow="0" w:noHBand="0" w:noVBand="1" w:val="04A0"/>
        <w:tblW w:w="9360" w:type="dxa"/>
      </w:tblPr>
      <w:tblGrid>
        <w:gridCol w:w="1200"/>
        <w:gridCol w:w="900"/>
        <w:gridCol w:w="1800"/>
        <w:gridCol w:w="2200"/>
        <w:gridCol w:w="3260"/>
      </w:tblGrid>
      <w:tr>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Band</w:t>
            </w:r>
          </w:p>
        </w:tc>
        <w:tc>
          <w:tcPr>
            <w:tcW w:w="9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Score</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Label</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Colour Token</w:t>
            </w:r>
          </w:p>
        </w:tc>
        <w:tc>
          <w:tcPr>
            <w:tcW w:w="32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Summary Meaning</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 Band 5</w:t>
            </w:r>
          </w:p>
        </w:tc>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80–100</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Ready</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GREEN (#16A34A)</w:t>
            </w:r>
          </w:p>
        </w:tc>
        <w:tc>
          <w:tcPr>
            <w:tcW w:type="dxa" w:w="32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Strong credit profile. Eligible for top-tier lenders. Platform surfaces pre-approved offers. DSA can submit with confidence.</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 Band 4</w:t>
            </w:r>
          </w:p>
        </w:tc>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65–79</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Strong Candidate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BLUE (#2563EB)</w:t>
            </w:r>
          </w:p>
        </w:tc>
        <w:tc>
          <w:tcPr>
            <w:tcW w:type="dxa" w:w="32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Good profile with minor gaps. Eligible for 10+ lenders. Matches shown with high approval probability. Small documentation guidance provided.</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 Band 3</w:t>
            </w:r>
          </w:p>
        </w:tc>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50–64</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Improvable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AMBER (#D97706)</w:t>
            </w:r>
          </w:p>
        </w:tc>
        <w:tc>
          <w:tcPr>
            <w:tcW w:type="dxa" w:w="32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Moderate profile. Eligible for NBFC and fintech lenders. Credit Health improvement plan auto-activated. Lender matches shown with realistic expectations.</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 Band 2</w:t>
            </w:r>
          </w:p>
        </w:tc>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35–49</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Developing</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ORANGE (#EA580C)</w:t>
            </w:r>
          </w:p>
        </w:tc>
        <w:tc>
          <w:tcPr>
            <w:tcW w:type="dxa" w:w="32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Weak profile for most lenders. Very limited matches (specialist NBFCs only). 90-day improvement roadmap presented as primary CTA. No mainstream bank matches.</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 Band 1</w:t>
            </w:r>
          </w:p>
        </w:tc>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0–34</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Not Ready</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RED (#DC2626)</w:t>
            </w:r>
          </w:p>
        </w:tc>
        <w:tc>
          <w:tcPr>
            <w:tcW w:type="dxa" w:w="32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Below minimum threshold for most lenders. No lender matches shown. Credit Health counselling activated. Platform focuses entirely on improvement, not application.</w:t>
            </w:r>
          </w:p>
        </w:tc>
      </w:tr>
    </w:tbl>
    <w:p>
      <w:pPr>
        <w:spacing w:before="0" w:after="0"/>
      </w:pPr>
      <w:r>
        <w:t xml:space="preserve"> </w:t>
      </w:r>
    </w:p>
    <w:p>
      <w:pPr>
        <w:spacing w:before="240" w:after="100"/>
      </w:pPr>
      <w:r>
        <w:rPr>
          <w:rFonts w:ascii="Arial" w:hAnsi="Arial"/>
          <w:b/>
          <w:color w:val="2563EB"/>
          <w:sz w:val="26"/>
        </w:rPr>
        <w:t>B1.2  Band Behaviour Matrix — What the Platform Does at Each Band</w:t>
      </w:r>
    </w:p>
    <w:tbl>
      <w:tblPr>
        <w:jc w:val="left"/>
        <w:tblLook w:firstColumn="1" w:firstRow="1" w:lastColumn="0" w:lastRow="0" w:noHBand="0" w:noVBand="1" w:val="04A0"/>
        <w:tblW w:w="9360" w:type="dxa"/>
      </w:tblPr>
      <w:tblGrid>
        <w:gridCol w:w="2200"/>
        <w:gridCol w:w="1432"/>
        <w:gridCol w:w="1432"/>
        <w:gridCol w:w="1432"/>
        <w:gridCol w:w="1432"/>
        <w:gridCol w:w="1432"/>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Behaviour</w:t>
            </w:r>
          </w:p>
        </w:tc>
        <w:tc>
          <w:tcPr>
            <w:tcW w:w="1432"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Band 5</w:t>
              <w:br/>
              <w:t>(80–100)</w:t>
            </w:r>
          </w:p>
        </w:tc>
        <w:tc>
          <w:tcPr>
            <w:tcW w:w="1432"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Band 4</w:t>
              <w:br/>
              <w:t>(65–79)</w:t>
            </w:r>
          </w:p>
        </w:tc>
        <w:tc>
          <w:tcPr>
            <w:tcW w:w="1432"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Band 3</w:t>
              <w:br/>
              <w:t>(50–64)</w:t>
            </w:r>
          </w:p>
        </w:tc>
        <w:tc>
          <w:tcPr>
            <w:tcW w:w="1432"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Band 2</w:t>
              <w:br/>
              <w:t>(35–49)</w:t>
            </w:r>
          </w:p>
        </w:tc>
        <w:tc>
          <w:tcPr>
            <w:tcW w:w="1432"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Band 1</w:t>
              <w:br/>
              <w:t>(0–34)</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 Matches Shown</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All eligible (15–25)</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10–15 lenders</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3–8 NBFCs</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1–3 specialist</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None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Pre-Approved Offers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 Shown</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 Limited</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 Not shown</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Top Lender APE Range</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65–92%</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45–75%</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25–55%</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10–35%</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N/A</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Credit Health Plan</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Optional (maintenance tips)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Optional</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 Auto-activated</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 Primary CTA</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 Only CTA</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DSA Pre-Qualification</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Green light — submit</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Amber — proceed with guidance</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Conditional — review first</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Red — advise improvement</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Stop — do not submit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WhatsApp Message Tone</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"Great news — you qualify for X lenders!"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"You qualify for [N] lenders. Here's your best match."</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"You have matches. Here's how to improve your chances first."</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"Let's improve your score before applying."</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"Your score needs work. Let's fix the biggest issues first."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Improvement Plan Duration</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N/A (maintenance)</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30-day optional</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60-day recommended</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90-day roadmap</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6-month roadmap</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Score Refresh Prompt</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Every 30 days (routine)</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Every 30 days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Every 21 days (engagement)</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Every 14 days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Every 7 days (action-oriented)</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LeapMatch CTA Label</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"See Your Matches"</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"See Your Matches"</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"See Available Matches"</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"Check Limited Matches"</w:t>
            </w:r>
          </w:p>
        </w:tc>
        <w:tc>
          <w:tcPr>
            <w:tcW w:type="dxa" w:w="1432"/>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"Improve First, Match Later"</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Dashboard Primary Widget</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Lender Match Cards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Lender Match Cards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Improvement Plan + Matches</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Improvement Plan (dominant)</w:t>
            </w:r>
          </w:p>
        </w:tc>
        <w:tc>
          <w:tcPr>
            <w:tcW w:type="dxa" w:w="1432"/>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Credit Health Dashboard (only)</w:t>
            </w:r>
          </w:p>
        </w:tc>
      </w:tr>
    </w:tbl>
    <w:p>
      <w:pPr>
        <w:spacing w:before="0" w:after="0"/>
      </w:pPr>
      <w:r>
        <w:t xml:space="preserve"> </w:t>
      </w:r>
    </w:p>
    <w:p>
      <w:pPr>
        <w:spacing w:before="240" w:after="100"/>
      </w:pPr>
      <w:r>
        <w:rPr>
          <w:rFonts w:ascii="Arial" w:hAnsi="Arial"/>
          <w:b/>
          <w:color w:val="2563EB"/>
          <w:sz w:val="26"/>
        </w:rPr>
        <w:t>B1.3  Band Transition Notifications</w:t>
      </w:r>
    </w:p>
    <w:tbl>
      <w:tblPr>
        <w:jc w:val="left"/>
        <w:tblLook w:firstColumn="1" w:firstRow="1" w:lastColumn="0" w:lastRow="0" w:noHBand="0" w:noVBand="1" w:val="04A0"/>
        <w:tblW w:w="9360" w:type="dxa"/>
      </w:tblPr>
      <w:tblGrid>
        <w:gridCol w:w="2800"/>
        <w:gridCol w:w="4800"/>
        <w:gridCol w:w="1760"/>
      </w:tblGrid>
      <w:tr>
        <w:tc>
          <w:tcPr>
            <w:tcW w:w="2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Transition</w:t>
            </w:r>
          </w:p>
        </w:tc>
        <w:tc>
          <w:tcPr>
            <w:tcW w:w="4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Notification Copy</w:t>
            </w:r>
          </w:p>
        </w:tc>
        <w:tc>
          <w:tcPr>
            <w:tcW w:w="17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Channel</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Any band → higher band</w:t>
            </w:r>
          </w:p>
        </w:tc>
        <w:tc>
          <w:tcPr>
            <w:tcW w:type="dxa" w:w="4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"Your LeapScore™ improved from [X] to [Y] 🎉 You've moved to [New Band Label]. [N] new lenders are now available for you."</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Push notification + WhatsApp + Email</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Band 3 → Band 4 (crossover)</w:t>
            </w:r>
          </w:p>
        </w:tc>
        <w:tc>
          <w:tcPr>
            <w:tcW w:type="dxa" w:w="4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"Big milestone! Your LeapScore™ crossed 65. You're now a Strong Candidate — mainstream bank loans are now within reach."</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Push + WhatsApp + Email (elevated priority)</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Band 4 → Band 5 (crossover)</w:t>
            </w:r>
          </w:p>
        </w:tc>
        <w:tc>
          <w:tcPr>
            <w:tcW w:type="dxa" w:w="4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"You're now Loan Ready. Your LeapScore™ of [X] puts you in the top [N]% of LeapMoney users. Pre-approved offers are waiting."</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Push + WhatsApp + Email + In-app celebration animation</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Any band → lower band</w:t>
            </w:r>
          </w:p>
        </w:tc>
        <w:tc>
          <w:tcPr>
            <w:tcW w:type="dxa" w:w="4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"Your LeapScore™ changed to [Y]. Here's what shifted and how to get back on track."</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Email only (sensitive — no push for score declines)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Band 2 → Band 3 (crossover)</w:t>
            </w:r>
          </w:p>
        </w:tc>
        <w:tc>
          <w:tcPr>
            <w:tcW w:type="dxa" w:w="4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"Progress! Your score crossed 50. You now have [N] lender options available."</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Push + WhatsApp</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Score stable for 60 days</w:t>
            </w:r>
          </w:p>
        </w:tc>
        <w:tc>
          <w:tcPr>
            <w:tcW w:type="dxa" w:w="4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"Your LeapScore™ has held steady at [X] for 60 days. [Tip of the month for their band]."</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Email (monthly engagement)</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B2  Match Confidence Rating Bands</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Match Confidence is a separate signal from LeapScore™. While LeapScore™ describes the borrower's overall creditworthiness, Match Confidence describes the quality and completeness of the data used to produce a specific set of match results. A borrower can have a high LeapScore™ but low Match Confidence if key data (bureau pull, bank statement) is missing or stale.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B2.1  Match Confidence Band Definitions</w:t>
      </w:r>
    </w:p>
    <w:tbl>
      <w:tblPr>
        <w:jc w:val="left"/>
        <w:tblLook w:firstColumn="1" w:firstRow="1" w:lastColumn="0" w:lastRow="0" w:noHBand="0" w:noVBand="1" w:val="04A0"/>
        <w:tblW w:w="10360" w:type="dxa"/>
      </w:tblPr>
      <w:tblGrid>
        <w:gridCol w:w="1200"/>
        <w:gridCol w:w="1600"/>
        <w:gridCol w:w="1200"/>
        <w:gridCol w:w="3400"/>
        <w:gridCol w:w="2960"/>
      </w:tblGrid>
      <w:tr>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Band</w:t>
            </w:r>
          </w:p>
        </w:tc>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Label</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Colour</w:t>
            </w:r>
          </w:p>
        </w:tc>
        <w:tc>
          <w:tcPr>
            <w:tcW w:w="3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Criteria</w:t>
            </w:r>
          </w:p>
        </w:tc>
        <w:tc>
          <w:tcPr>
            <w:tcW w:w="29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Platform Behaviour</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High Confidence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GREEN</w:t>
              <w:br/>
              <w:t>#16A34A</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of the following:</w:t>
              <w:br/>
              <w:t>• Bureau pull ≤ 30 days old</w:t>
              <w:br/>
              <w:t>• Income verified (AA or doc upload)</w:t>
              <w:br/>
              <w:t>• Banking data available (AA or 6m statement)</w:t>
              <w:br/>
              <w:t>• FOIR computed from verified sources</w:t>
              <w:br/>
              <w:t>• KYC = full</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Match results shown with full approval probabilities. No disclaimer shown. "X% likely to approve you" displayed prominently. DSA can submit.</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Moderate Confidence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AMBER</w:t>
              <w:br/>
              <w:t>#D97706</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ANY of the following (but not majority missing):</w:t>
              <w:br/>
              <w:t>• Bureau pull 30–60 days old</w:t>
              <w:br/>
              <w:t>• Income declared (not verified)</w:t>
              <w:br/>
              <w:t>• Banking data from PDF statement (not AA)</w:t>
              <w:br/>
              <w:t>• 1–2 components missing/stale</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Match results shown with mild disclaimer: "Results are based on partially verified data. Complete your profile to see more accurate matches." Approval probabilities shown but with ± range.</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LOW</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Low Confidence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RED</w:t>
              <w:br/>
              <w:t>#DC2626</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ANY of the following:</w:t>
              <w:br/>
              <w:t>• No bureau pull (score estimated from declared data)</w:t>
              <w:br/>
              <w:t>• Income self-declared with no verification</w:t>
              <w:br/>
              <w:t>• No banking data at all</w:t>
              <w:br/>
              <w:t>• &gt;2 LeapScore™ components missing</w:t>
              <w:br/>
              <w:t>• LeapScore™ confidence = LOW flag set</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Match results shown but heavily caveated: "These results are estimates only. Your actual eligibility may differ. Complete your profile for accurate matches." Approval probabilities replaced with "Estimated" label. Strong CTA to complete profile.</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STALE</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Refresh Required</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GREY</w:t>
              <w:br/>
              <w:t>#94A3B8</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 pull &gt; 60 days old OR last LeapScore™ computation &gt; 60 days ago</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Match results NOT shown from stale data. Borrower prompted to refresh: "Your last score check was [N] days ago. Refresh to see current matches." One-click refresh CTA.</w:t>
            </w:r>
          </w:p>
        </w:tc>
      </w:tr>
    </w:tbl>
    <w:p>
      <w:pPr>
        <w:spacing w:before="0" w:after="0"/>
      </w:pPr>
      <w:r>
        <w:t xml:space="preserve"> </w:t>
      </w:r>
    </w:p>
    <w:p>
      <w:pPr>
        <w:spacing w:before="240" w:after="100"/>
      </w:pPr>
      <w:r>
        <w:rPr>
          <w:rFonts w:ascii="Arial" w:hAnsi="Arial"/>
          <w:b/>
          <w:color w:val="2563EB"/>
          <w:sz w:val="26"/>
        </w:rPr>
        <w:t>B2.2  Match Confidence Factors &amp; Weights</w:t>
      </w:r>
    </w:p>
    <w:tbl>
      <w:tblPr>
        <w:jc w:val="left"/>
        <w:tblLook w:firstColumn="1" w:firstRow="1" w:lastColumn="0" w:lastRow="0" w:noHBand="0" w:noVBand="1" w:val="04A0"/>
        <w:tblW w:w="9360" w:type="dxa"/>
      </w:tblPr>
      <w:tblGrid>
        <w:gridCol w:w="2800"/>
        <w:gridCol w:w="3200"/>
        <w:gridCol w:w="3360"/>
      </w:tblGrid>
      <w:tr>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Signal</w:t>
            </w:r>
          </w:p>
        </w:tc>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Confidence Contribution</w:t>
            </w:r>
          </w:p>
        </w:tc>
        <w:tc>
          <w:tcPr>
            <w:tcW w:w="3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If Missing/Stale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Pull (CIBIL or Experian)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 contributor — 35% of confidence determination</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Confidence drops to MEDIUM minimum; to LOW if &gt; 60 days or absent</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 Pull Recency</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≤30 days = full; 31–60 days = partial; &gt;60 days = stale flag</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STALE band if &gt;60 days regardless of other signals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Income Verification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 contributor — 25% of confidence determination</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MEDIUM if self-declared; LOW if completely absent</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Banking Data</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 contributor — 20% of confidence determination</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 if missing; LOW if both banking and income missing</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Computation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10% — requires income data; if income unverified, FOIR is estimated</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MEDIUM if estimated FOIR; LOW if FOIR cannot be computed at all</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KYC Level</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 — full KYC = full; PAN only = partial</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 if PAN only; LOW if KYC incomplete</w:t>
            </w:r>
          </w:p>
        </w:tc>
      </w:tr>
    </w:tbl>
    <w:p>
      <w:pPr>
        <w:spacing w:before="0" w:after="0"/>
      </w:pPr>
      <w:r>
        <w:t xml:space="preserve"> </w:t>
      </w:r>
    </w:p>
    <w:p>
      <w:pPr>
        <w:spacing w:before="240" w:after="100"/>
      </w:pPr>
      <w:r>
        <w:rPr>
          <w:rFonts w:ascii="Arial" w:hAnsi="Arial"/>
          <w:b/>
          <w:color w:val="2563EB"/>
          <w:sz w:val="26"/>
        </w:rPr>
        <w:t>B2.3  Confidence Band × LeapScore Band Matrix</w:t>
      </w:r>
    </w:p>
    <w:p>
      <w:pPr>
        <w:spacing w:before="40" w:after="40"/>
      </w:pPr>
      <w:r>
        <w:rPr>
          <w:rFonts w:ascii="Arial" w:hAnsi="Arial"/>
          <w:b/>
          <w:color w:val="000000"/>
          <w:sz w:val="20"/>
        </w:rPr>
        <w:t>How Match Confidence and LeapScore™ Band combine to determine the primary user CTA:</w:t>
      </w:r>
    </w:p>
    <w:tbl>
      <w:tblPr>
        <w:jc w:val="left"/>
        <w:tblLook w:firstColumn="1" w:firstRow="1" w:lastColumn="0" w:lastRow="0" w:noHBand="0" w:noVBand="1" w:val="04A0"/>
        <w:tblW w:w="10360" w:type="dxa"/>
      </w:tblPr>
      <w:tblGrid>
        <w:gridCol w:w="2000"/>
        <w:gridCol w:w="2090"/>
        <w:gridCol w:w="2090"/>
        <w:gridCol w:w="2090"/>
        <w:gridCol w:w="2090"/>
      </w:tblGrid>
      <w:tr>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LeapScore Band →</w:t>
            </w:r>
          </w:p>
        </w:tc>
        <w:tc>
          <w:tcPr>
            <w:tcW w:w="209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Band 5 (Loan Ready)</w:t>
            </w:r>
          </w:p>
        </w:tc>
        <w:tc>
          <w:tcPr>
            <w:tcW w:w="209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Band 4 (Strong)</w:t>
            </w:r>
          </w:p>
        </w:tc>
        <w:tc>
          <w:tcPr>
            <w:tcW w:w="209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Band 3 (Improvable)</w:t>
            </w:r>
          </w:p>
        </w:tc>
        <w:tc>
          <w:tcPr>
            <w:tcW w:w="209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Band 2/1 (Developing/Not Ready)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Confidence = HIGH</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Show matches + full APE + Submit CTA</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Show matches + full APE + Submit CTA</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Show matches + improvement plan</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Improvement plan only (no matches for Band 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Confidence = MEDIUM</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Show matches + APE with range + disclaimer</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Show matches + disclaimer + profile completion CTA</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Show estimated matches + strong completion CTA</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Improvement + completion CTA</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Confidence = LOW</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Show estimated matches + strong "Complete Profile" banner</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Estimated results + completion CTA dominant</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Estimates only + complete profile CTA dominant</w:t>
            </w:r>
          </w:p>
        </w:tc>
        <w:tc>
          <w:tcPr>
            <w:tcW w:type="dxa" w:w="209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Do not show matches — only "Build Your Profile" CTA</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Confidence = STALE</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"Refresh your score to see current matches" (for all LeapScore bands)</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Same</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Same</w:t>
            </w:r>
          </w:p>
        </w:tc>
        <w:tc>
          <w:tcPr>
            <w:tcW w:type="dxa" w:w="209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Same</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B3  LeapScore™ Future Expansion Framework — Financial Super App</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LeapScore™ v1.0 is calibrated for loan eligibility. As LeapMoney expands into insurance (Phase 2), mutual funds (Phase 3), credit cards (Phase 4), and the full financial super app (Phase 5), LeapScore™ must evolve to serve new product contexts without breaking backward compatibility with existing loan-focused scores.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B3.1  LeapScore™ Versioning Framework</w:t>
      </w:r>
    </w:p>
    <w:tbl>
      <w:tblPr>
        <w:jc w:val="left"/>
        <w:tblLook w:firstColumn="1" w:firstRow="1" w:lastColumn="0" w:lastRow="0" w:noHBand="0" w:noVBand="1" w:val="04A0"/>
        <w:tblW w:w="10360" w:type="dxa"/>
      </w:tblPr>
      <w:tblGrid>
        <w:gridCol w:w="1200"/>
        <w:gridCol w:w="2000"/>
        <w:gridCol w:w="1600"/>
        <w:gridCol w:w="3760"/>
        <w:gridCol w:w="1800"/>
      </w:tblGrid>
      <w:tr>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Version</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Name</w:t>
            </w:r>
          </w:p>
        </w:tc>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Super App Phase</w:t>
            </w:r>
          </w:p>
        </w:tc>
        <w:tc>
          <w:tcPr>
            <w:tcW w:w="37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Added Dimensions</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New Products Served</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v1.0 (Current)</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Loan Edition</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1 — Loans</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Health (30%), Income Stability (20%), FOIR (20%), Banking Behaviour (15%), Employment Stability (10%), Loan Readiness (5%)</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Personal loans, Home loans, MSME loans, Education loans, LAP, Gold loans</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v2.0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 + Insurance</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2 — Insurance</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New dimension added: Health Risk Proxy (10%) — computed from age, declared health conditions, family medical history (self-reported only). Existing weights adjusted proportionally.</w:t>
              <w:br/>
              <w:br/>
              <w:t>Health Risk Proxy sources: Age band, BMI if declared, smoker flag (self-declared), pre-existing condition flag.</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Loan protection insurance, term life, health insurance — recommendation and eligibility</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v3.0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 Wealth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3 — Mutual Funds</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New dimension: Investment Readiness (8%) — surplus income (NMI − TEMO − estimated living expenses), investment horizon (derived from age and goals), existing investment portfolio size (from AA: MF, FD holdings).</w:t>
              <w:br/>
              <w:br/>
              <w:t>Existing weights re-calibrated.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SIP recommendations, lump sum MF matching, goal-based investment planning</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v4.0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 + Credit Cards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4 — Credit Cards</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New dimension: Spend Behaviour Score (5%) — average monthly card spend, spend categories (travel, dining, fuel — from AA), current card portfolio utilisation.</w:t>
              <w:br/>
              <w:br/>
              <w:t>FOIR and Credit Health remain dominant.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card matching and rewards optimisation</w:t>
            </w:r>
          </w:p>
        </w:tc>
      </w:tr>
      <w:tr>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v5.0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Financial Identity</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5 — Super App</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Unified Financial Health Score replacing product-specific scores. All dimensions active. Single score drives recommendations across loans, insurance, MF, and credit cards simultaneously.</w:t>
              <w:br/>
              <w:br/>
              <w:t>Score range expands conceptually: "Loan Readiness", "Insurance Readiness", "Investment Readiness" shown as sub-indices beneath the master score.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financial super app: cross-product recommendation engine</w:t>
            </w:r>
          </w:p>
        </w:tc>
      </w:tr>
    </w:tbl>
    <w:p>
      <w:pPr>
        <w:spacing w:before="0" w:after="0"/>
      </w:pPr>
      <w:r>
        <w:t xml:space="preserve"> </w:t>
      </w:r>
    </w:p>
    <w:p>
      <w:pPr>
        <w:spacing w:before="240" w:after="100"/>
      </w:pPr>
      <w:r>
        <w:rPr>
          <w:rFonts w:ascii="Arial" w:hAnsi="Arial"/>
          <w:b/>
          <w:color w:val="2563EB"/>
          <w:sz w:val="26"/>
        </w:rPr>
        <w:t>B3.2  Backward Compatibility Rules</w:t>
      </w:r>
    </w:p>
    <w:tbl>
      <w:tblPr>
        <w:jc w:val="left"/>
        <w:tblLook w:firstColumn="1" w:firstRow="1" w:lastColumn="0" w:lastRow="0" w:noHBand="0" w:noVBand="1" w:val="04A0"/>
        <w:tblW w:w="9360" w:type="dxa"/>
      </w:tblPr>
      <w:tblGrid>
        <w:gridCol w:w="2400"/>
        <w:gridCol w:w="69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Rule</w:t>
            </w:r>
          </w:p>
        </w:tc>
        <w:tc>
          <w:tcPr>
            <w:tcW w:w="6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Detail</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Score Continuity</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When upgrading from v1.0 to v2.0, the loan-relevant components (Credit Health, FOIR, Income, Banking, Employment, Readiness) retain identical weights within the loan matching sub-score. The new dimension is additive, not substitutive. A borrower's loan match results are not affected by the new insurance dimension.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Separate Indices</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From v2.0 onwards, the UI displays product-specific indices: "Loan Score: 72", "Insurance Health: 64", "Investment Readiness: 58" — each computed from the relevant sub-components. The master LeapScore™ is the weighted average of all applicable indices for the user's active products.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Historical Score Preservation</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historical LeapScore™ records in the score_history table retain their version tag (v1.0, v2.0...). Historical loan applications always reference the v1.0 formula regardless of current active version. Audit reproducibility is maintained.</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Opt-In Data Collection</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Each new version requires new data dimensions (health conditions, investment portfolio). These are collected via explicit opt-in — users who do not provide the new data continue to receive a partial score with appropriate confidence flags. Score version never forces data collection.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Weight Recalibration Governance</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Any change to existing component weights (not just new additions) requires: Founder approval, compliance review, 30-day parallel run (old and new formula computed simultaneously), and user communication 14 days before new formula goes live.</w:t>
            </w:r>
          </w:p>
        </w:tc>
      </w:tr>
    </w:tbl>
    <w:p>
      <w:pPr>
        <w:spacing w:before="0" w:after="0"/>
      </w:pPr>
      <w:r>
        <w:t xml:space="preserve"> </w:t>
      </w:r>
    </w:p>
    <w:p>
      <w:pPr>
        <w:spacing w:before="240" w:after="100"/>
      </w:pPr>
      <w:r>
        <w:rPr>
          <w:rFonts w:ascii="Arial" w:hAnsi="Arial"/>
          <w:b/>
          <w:color w:val="2563EB"/>
          <w:sz w:val="26"/>
        </w:rPr>
        <w:t>B3.3  LeapScore™ Super App Sub-Index Architecture</w:t>
      </w:r>
    </w:p>
    <w:tbl>
      <w:tblPr>
        <w:jc w:val="left"/>
        <w:tblLook w:firstColumn="1" w:firstRow="1" w:lastColumn="0" w:lastRow="0" w:noHBand="0" w:noVBand="1" w:val="04A0"/>
        <w:tblW w:w="9360" w:type="dxa"/>
      </w:tblPr>
      <w:tblGrid>
        <w:gridCol w:w="2200"/>
        <w:gridCol w:w="4160"/>
        <w:gridCol w:w="2000"/>
        <w:gridCol w:w="1000"/>
      </w:tblGrid>
      <w:tr>
        <w:tc>
          <w:tcPr>
            <w:tcW w:w="2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Sub-Index</w:t>
            </w:r>
          </w:p>
        </w:tc>
        <w:tc>
          <w:tcPr>
            <w:tcW w:w="41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Components</w:t>
            </w:r>
          </w:p>
        </w:tc>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Weight in Master Score (v5.0)</w:t>
            </w:r>
          </w:p>
        </w:tc>
        <w:tc>
          <w:tcPr>
            <w:tcW w:w="1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Primary Product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Readiness Index</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Health (30%) + Income Stability (20%) + FOIR (20%) + Banking Behaviour (15%) + Employment Stability (10%) + Loan Readiness (5%) — unchanged from v1.0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35%</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All loan products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Insurance Health Index</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Age Risk Band (35%) + Health Flag Proxy (30%) + Income Adequacy for Premium (25%) + Existing Coverage Assessment (10%)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20%</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Life, health, loan protection insurance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Investment Readiness Index</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Monthly Surplus (40%) + Investment Horizon Score (30%) + Existing Portfolio Score (20%) + Financial Goal Clarity (10%)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25%</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Mutual funds, SIPs, FDs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Card Fitness Index</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Health (40%) + Spend Behaviour (30%) + FOIR Post-Card-Spend (20%) + Rewards Optimisation Fit (10%)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20%</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card matching and rewards</w:t>
            </w:r>
          </w:p>
        </w:tc>
      </w:tr>
    </w:tbl>
    <w:p>
      <w:pPr>
        <w:spacing w:before="0" w:after="0"/>
      </w:pPr>
      <w:r>
        <w:t xml:space="preserve"> </w:t>
      </w:r>
    </w:p>
    <w:p>
      <w:pPr>
        <w:spacing w:before="240" w:after="100"/>
      </w:pPr>
      <w:r>
        <w:rPr>
          <w:rFonts w:ascii="Arial" w:hAnsi="Arial"/>
          <w:b/>
          <w:color w:val="2563EB"/>
          <w:sz w:val="26"/>
        </w:rPr>
        <w:t>B3.4  LeapScore™ Brand Evolution Guidelines</w:t>
      </w:r>
    </w:p>
    <w:tbl>
      <w:tblPr>
        <w:jc w:val="left"/>
        <w:tblLook w:firstColumn="1" w:firstRow="1" w:lastColumn="0" w:lastRow="0" w:noHBand="0" w:noVBand="1" w:val="04A0"/>
        <w:tblW w:w="9360" w:type="dxa"/>
      </w:tblPr>
      <w:tblGrid>
        <w:gridCol w:w="2400"/>
        <w:gridCol w:w="6960"/>
      </w:tblGrid>
      <w:tr>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Principle</w:t>
            </w:r>
          </w:p>
        </w:tc>
        <w:tc>
          <w:tcPr>
            <w:tcW w:w="69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Guideline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One Score, Multiple Lenses</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is always ONE number in the UI. Product-specific sub-indices are accessible via "Score breakdown" — never shown as separate competing scores on the home screen.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Score Range Stability</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always displays as 0–100 across all versions. Sub-index scaling may differ internally but is always normalised to 0–100 before display. Users must never see a score outside this range.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Improvement Actions are Context-Aware</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At v2.0+, improvement recommendations are tagged by the product they improve: "This action improves your Loan Score" vs. "This action improves your Insurance Health." Not all recommendations apply to all products.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Transparency Page</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 "How is my LeapScore™ calculated?" page is mandatory in all product versions. It must show current formula version, component weights, and the data sources used for the user's own score. Updated with each version upgrade.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No Gamification of Financial Harm</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improvement mechanics should never encourage behaviours that improve the score while harming financial health (e.g., artificially closing cards to change utilisation, taking small loans just to add tradeline diversity). Improvement recommendations are reviewed for this by the compliance team before deployment.</w:t>
            </w:r>
          </w:p>
        </w:tc>
      </w:tr>
    </w:tbl>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6"/>
        </w:rPr>
        <w:t>LeapMatch Phase 3 Addendum  ·  v1.0  ·  June 2026  ·  LeapMoney Confidential</w:t>
      </w:r>
    </w:p>
    <w:p>
      <w:pPr>
        <w:spacing w:before="0" w:after="0"/>
      </w:pPr>
      <w:r>
        <w:t xml:space="preserve"> </w:t>
      </w:r>
    </w:p>
    <w:p>
      <w:pPr>
        <w:jc w:val="center"/>
      </w:pPr>
      <w:r>
        <w:rPr>
          <w:rFonts w:ascii="Arial" w:hAnsi="Arial"/>
          <w:b/>
          <w:color w:val="16A34A"/>
          <w:sz w:val="20"/>
        </w:rPr>
        <w:t>✅  ADDENDUM COMPLETE — PROCEEDING TO PHASE 4: UI/UX ARCHITECTURE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