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220"/>
          <w:sz w:val="72"/>
          <w:szCs w:val="72"/>
        </w:rPr>
        <w:t xml:space="preserve">LeapMatch™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40"/>
          <w:szCs w:val="40"/>
        </w:rPr>
        <w:t xml:space="preserve">Phase 6 Addendum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Bank Comparison  ·  LeapMatch Components  ·  Referral Partner Portal  ·  LeapScore™ Band Visual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Phase 6 Addendum  ·  Version 1.0  ·  June 2026  ·  CONFIDENTIAL  ·  ADDENDUM TO PHASE 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LeapMatch™ Design System Addendum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F37"/>
                <w:sz w:val="18"/>
                <w:szCs w:val="18"/>
              </w:rPr>
              <w:t xml:space="preserve">Phase 6 Addendum  ·  v1.0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B8A6"/>
                <w:sz w:val="18"/>
                <w:szCs w:val="18"/>
              </w:rPr>
              <w:t xml:space="preserve">AWAITING FOUNDER APPROVAL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addendum supplements the approved Phase 6 Design System &amp; Figma Architecture document.</w:t>
      </w:r>
    </w:p>
    <w:p>
      <w:pPr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Phase 6 (approved) is unchanged. This document extends it with four supplementary design architectures.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B1220"/>
          <w:sz w:val="32"/>
          <w:szCs w:val="32"/>
        </w:rPr>
        <w:t xml:space="preserve">A1  AI Bank Comparison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AI Bank Comparison Engine is the platform's analytical differentiator — it answers "Which bank is actually best for me?" Unlike generic comparison tables, every data point is personalised to the borrower's profile, LeapScore™ band, and loan request.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A1.1  Component Hierarchy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AI Bank Comparison Engine is composed of a single top-level organism (ComparisonEngine) built from four specialised molecules: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ComparisonEngine 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ComparisonHeader    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BackButton    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LenderSelectionChips   [Atom × N]  ← selected lenders (2–4)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EditSelectionCTA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ComparisonTable            [Molecule — core]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ComparisonTableHeader  [Atom]      ← lender name + logo per column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ComparisonRow          [Atom × N]  ← one row per data dimension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RowLabel           [Atom]      ← dimension name + tooltip icon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WinnerCell         [Atom]      ← highlighted: green bg + bold value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StandardCell       [Atom]      ← non-winner cell value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StickyApplyRow         [Molecule]  ← always visible at bottom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ApplyButton × N    [Atom]      ← one per lender column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AIInsightCard       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InsightHeading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InsightBody            [Atom]      ← 2-sentence AI summary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ConfidenceLabel        [Atom]      ← "(Based on your profile)"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ComparisonTray             [Molecule — mobile sticky]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TrayLenderPills        [Atom × N]  ← lenders in tray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└── ViewComparisonCTA      [Atom]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A1.2  ComparisonTable Row Definitions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comparison table has a fixed set of rows in a prescribed display order. Row order is non-configurable — it reflects information hierarchy for borrower decision-making.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1500"/>
        <w:gridCol w:w="27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Order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/ Data Source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 Logic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Approval Likelihood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APE output (Approval Probability Engine)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Highest %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Pill: 72% (green/amber/red)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Total Cost of Borrowing (TCB)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lender_rates + approved amount + tenure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Lowest TCB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Mono: ₹96,424  (source: Lender-reported)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Interest Rate Range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lender_rates.min_rate – max_rate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Lowest min rate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10.75% – 14.50% p.a.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Estimated EMI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Computed: P×r×(1+r)^n / ((1+r)^n - 1)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Lowest EMI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Mono: ₹8,234/mo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Processing Fee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lender_rates.processing_fee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Lowest fee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1.0% of loan (₹5,000 max)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Disbursement Speed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lender_products.disbursal_sla_days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Fastest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Chip: ⚡ 3–5 days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 Readiness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documents vs. lender checklist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Most docs ready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Progress: 4/5 docs ready ✅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Customer Experience Rating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Platform-aggregated reviews (if available)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Highest rating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4.2★ (142 reviews)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Prepayment Penalty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lender_rates.prepayment_penalty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Nil preferred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Nil / 2% after 12 months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Part-Payment Allowed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lender_products.part_payment_allowed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preferred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/ No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A1.3  Winner Highlighting Token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200"/>
        <w:gridCol w:w="19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 Background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Winner cell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EFF6FF (blue-50)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--blue-primary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Left: 3px solid --blue-primary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value in row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Non-winner cell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--gray-700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Standard --border-default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other columns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Tied cells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--gray-700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Standard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winner when values equal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N/A cell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gray-50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--gray-400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Standard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 does not offer this dimension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Estimated cell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FEF9C3 (yellow-50)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--amber-600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Standard + (indicative) label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Value is computed, not lender-confirmed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A1.4  Mobile vs Desktop Layout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200"/>
        <w:gridCol w:w="2560"/>
        <w:gridCol w:w="190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Lenders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Scroll Behaviour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Pattern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xs / sm (mobile)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Side-by-side columns, full-width. Rows stack vertically.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Vertical scroll. Sticky header row + sticky Apply row.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Apply button per column, fixed at bottom.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md (tablet)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3-column layout. Lender names truncated at 12 chars.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Vertical scroll. Header + Apply row sticky.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Apply per column. "Add lender" chip if &lt;3 selected.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lg / xl (desktop)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4-column layout. Full lender names. Row labels on left.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Vertical scroll. First column (labels) sticky on horizontal scroll.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Apply per column. AI Summary card below table.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A1.5  AIInsightCard Component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--dark-surface (#1E293B) — premium dark card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Lucide: &lt;Sparkles /&gt; in --teal-accent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Heading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"AI Analysis" — --text-label-caps, --teal-accent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Body text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sentences max. Computed by Claude Haiku at results-assembly time. --text-body-large, white.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"HDFC is likely your best value option — ₹7,776 cheaper over 36 months despite a slightly higher rate. ICICI disburses faster if timeline is your priority."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Confidence label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"Based on your LeapScore™ and [N] similar borrowers" — --text-body-small, --gray-400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--radius-xl (16px)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Below the ComparisonTable. Not sticky. Scrollable.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A1.6  Transparency &amp; Data Source Labelling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Every data point in the comparison table carries a source label. This is mandatory — it builds trust and mitigates mis-selling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Label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Lender-reported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Rate, fee, SLA data from lender_products / lender_rates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Grey caption below value: "Lender-reported"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Bureau data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Approval likelihood derived from bureau pull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Grey caption: "Bureau data · Updated [N] days ago"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Platform-estimated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TCB computed by platform from reported inputs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Grey caption: "Platform-estimated"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Customer reviews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CX rating aggregated from platform reviews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Grey caption: "N reviews · Platform-aggregated"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(Indicative)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 field derived from self-declared (unverified) data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Amber caption with ⚠ icon: "(Indicative)"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B1220"/>
          <w:sz w:val="32"/>
          <w:szCs w:val="32"/>
        </w:rPr>
        <w:t xml:space="preserve">A2  LeapMatch™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LeapMatch™ is the platform's highest-conversion surface — the flow that transforms a curious borrower into a submitted applicant. Every component decision is optimised for completion rate, not engagement.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A2.1  Full 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LeapMatchFlow  [Template — full-screen, replaces tab bar on mobile]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Step 1: LoanRequestForm   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LoanTypeSelector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LoanTypeCard × 4   [Atom]   ← Personal / Home / Business / LAP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AmountInput     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CurrencyInput      [Atom]   ← inputMode="numeric", ₹ prefix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QuickSelectChips   [Atom]   ← ₹1L / ₹3L / ₹5L / ₹10L / Custom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LiveEMIPreview     [Atom]   ← computed, read-only, updates live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TenureSlider    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RangeSlider        [Atom]   ← 12–84 months, 6-month steps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ManualTenureInput  [Atom]   ← text fallback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PurposeSelect          [Molecule]  ← optional field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FindMatchesCTA         [Atom]   ← primary button, full-width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Step 2: MatchLoadingScreen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ProgressStepsList      [Molecule] ← real activity labels, not spinner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ProgressStep × 3   [Atom]   ← "Checking 48 lenders…" etc.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SkeletonCardStack      [Molecule] ← appears if load &gt; 4s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SkeletonLenderCard × 3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Step 3: MatchResultsList  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RequestSummaryChip     [Atom]   ← "₹5L · 36mo" — tappable to edit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ConfidenceContextBar   [Atom]   ← LeapScore + FOIR + confidence band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ResultsToolbar  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SortDropdown       [Atom]   ← Best Match / Lowest Rate / Fastest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FilterDropdown     [Atom]   ← Bank / NBFC filter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LenderCardList  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LenderCard × N     [Organism — shared]  ← see §7.3 Phase 6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ComparisonTray         [Molecule — sticky bottom]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TrayLenderPills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ViewComparisonCTA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Step 4: ComparisonEngine   [Organism — see A1]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Step 5a: HardPullConsent  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ConsentInfoBlock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ImpactExplanation  [Atom]   ← "3–10 point temporary CIBIL drop"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SoftVsHardBadge   [Atom]   ← visual explainer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ConsentCheckbox        [Atom]   ← never pre-checked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ConfirmApplyCTA        [Atom]   ← disabled until checkbox ticked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Step 5b: ApplicationConfirmation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SuccessAnimation       [Atom]   ← animated checkmark (CSS/SVG)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ApplicationSummaryCard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LenderLogo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LoanAmount         [Atom]   ← mono-data token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ReferenceID        [Atom]   ← copy-to-clipboard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NextStepsList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TrackApplicationCTA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Step 6: ApplicationTracker [Organism — shared with /applications route]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ApplicationHeader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StatusTimeline         [Organism — shared]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└── WhatsAppNotifCTA      [Atom]   ← always visible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A2.2  LoanRequestForm — Field Interaction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100"/>
        <w:gridCol w:w="2000"/>
        <w:gridCol w:w="28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Detail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Loan 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LoanTypeCard (visual selector)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Required. One selection.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2×2 grid on mobile. Selected: blue border + checkmark. Deselects previous on tap.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CurrencyInput + QuickSelectChips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₹25,000 min. ₹1Cr max. Per loan type.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Live EMI recomputes on every keystroke. Quick-select chips set input + trigger recompute.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RangeSlider + ManualTenureInput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numeric (manual)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12–84 months PL. 12–360 months HL.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Slider snap to 6-month intervals. Manual input auto-snaps to nearest valid interval.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PurposeSelect (optional)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 (dropdown)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Optional. No validation.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Appears as secondary field below tenure. Does not block Find Matches CTA.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Live EMI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LiveEMIPreview (read-only)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Read-only.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"Estimated EMI: ₹X,XXX/mo" with info tooltip: "Final EMI based on your approved rate." Body-small italic.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A2.3  MatchLoadingScreen —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Since Request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Shown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0–400ms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INSTANT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Nothing (avoids flash for fast loads)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400ms–4s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LOADING — steps visible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ProgressStepsList animating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"Checking eligibility with 48 lenders…" → "Computing your approval probabilities…" → "Ranking best matches for you."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4s+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SLOW — skeleton appears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ProgressStepsList + SkeletonCardStack (3 cards)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Same copy. Skeleton cards add visual weight, reduce perceived wait.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P95 target: ≤4s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Transition to MatchResultsList (slide up)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Results replace loading screen — no explicit "Done" message needed.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Error state with retry CTA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"We couldn't fetch your matches. Check your connection and try again." + Retry button.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A2.4  HardPullConsent — Non-Negotiable UX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hard pull consent screen has mandatory UX constraints. These are compliance requirements, not design preferences.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Two-step consent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Step 1: informational screen. Step 2: action screen with checkbox + confirm button.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Single-step consent is insufficient for a bureau hard pull under DPDP Act.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Never pre-checked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ConsentCheckbox must always render unchecked. No default=true.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Pre-checked consent is invalid under DPDP Act and RBI Fair Practices Code.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 impact visible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"This will create a hard enquiry on your CIBIL report. Your score may temporarily reduce by 3–10 points."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Borrower must understand consequence before consenting.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CTA disabled until consent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ConfirmApplyCTA is disabled (greyed) until checkbox is ticked. No workaround.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Prevents accidental consent on tap.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Consent logged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 confirm, POST /consent/hard-pull — logged with timestamp, borrower_id, lender_id, application_id.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Audit trail required for regulatory compliance.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Reversibility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Once confirmed, consent cannot be retracted for that application. UI must not imply it can be.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Hard pull already submitted to bureau on confirm.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A2.5  Rejection UX — Component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Rejection is a high-emotion moment. The component must be empathetic, actionable, and never use harsh language.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RejectionHeading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"We couldn't match you with [Lender Name]" — heading-2. No exclamation. No apology.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RejectionReasonCard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If lender shared reason code: show reason in plain language (not code). "Your current FOIR of X% exceeds this lender's limit of Y%." If no reason: "The lender did not share a specific reason."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Recovery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AlternativeMatchesSection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"Other lenders that may suit you better" — 2–3 LenderCard (compact) pre-loaded from remaining match results.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ImprovementNudge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Band-appropriate: Band 4 → "Improve your score by 5 points to unlock 4 more lenders." Band 3 → full improvement plan CTA.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"See All Matches" → returns to MatchResultsList with rejected lender filtered out.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B1220"/>
          <w:sz w:val="32"/>
          <w:szCs w:val="32"/>
        </w:rPr>
        <w:t xml:space="preserve">A3  Referral Partner Portal Design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Referral Partner Portal (partner.leapmoney.net) is a B2B product serving five distinct partner types — CAs, employer HR portals, insurance aggregators, housing societies, and white-label fintech partners. Its design must feel enterprise-grade without requiring onboarding.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A3.1  Partner Portal — User Types &amp;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560"/>
        <w:gridCol w:w="27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Model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Primary Job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UX 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Chartered Accountant / Tax Platform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Referral link + optional widget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Generate + track referral links. View commissions per client.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Speed — CAs have 5 min per client. Commission visibility.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Employer / HR Portal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Deep API (pre-fill) + widget embed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Manage API keys. View bulk referral stats. Download reports.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API self-service. Bulk data export.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Insurance Aggregator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Referral link + widget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 generation. Campaign-level tracking. Commission dashboard.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Campaign analytics. Attribution clarity.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Housing Society / Community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Referral link only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Single referral link. Simple commission tracker.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Extreme simplicity — non-technical admins.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White-Label NBFC / Fintech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white-label tenant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Tenant config. Branding. Analytics. API. Revenue share.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enterprise feature set. Revenue transparency.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A3.2  Information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PARTNER PORTAL (partner.leapmoney.net)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/dashboard          Home — Today's summary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Commission Summary Card  (Pending / Approved / Paid this month)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Referral Volume Trend    (7-day sparkline)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Quick Actions            (Generate Link / Download Report / View Docs)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/links              Referral Link Management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/links/generate     Link Generator (product type + campaign tag)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/links/active       Active links with click + conversion stats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/links/:id          Link analytics detail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/widget             Widget Embed Manager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Widget Config       (product type, colour theme, pre-fill fields)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Embed Code          (single &lt;script&gt; tag, copy-to-clipboard)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Widget Preview      (live iframe preview of configured widget)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/api                API &amp; Integration (employer / white-label only)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API Keys            (masked display, generate / revoke)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Pre-fill Docs       (schema documentation inline)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Sandbox Tester      (send test payload, inspect response)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Event Log           (recent API calls with status + latency)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/commissions        Commission Tracker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Summary             (total pipeline by state)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Transaction Log     (filterable: date / partner type / status)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Dispute Resolution  (flag a commission for review)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Payout History      (confirmed payouts with bank reference)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/analytics          Performance Analytics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Conversion Funnel   (click → registration → match → apply → disbursal)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Product Mix         (loan type breakdown of referrals)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Quality Score       (approval rate of referred borrowers vs. platform avg)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/branding           White-Label Config (white-label partners only)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Logo + Colour Upload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Subdomain Config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Brand Preview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/settings           Account Settings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Profile + Bank Details (for payouts)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Team Members (invite sub-users)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└── Notification Preferences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A3.3  Dashboard — Component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PartnerDashboard  [Template]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PartnerDashboardHeader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PartnerLogo   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PartnerName   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TodayDate     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CommissionSummaryWidget   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CommissionStatCard × 3 [Molecule]  ← Pending / Approved / Paid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StateLabel         [Atom]      ← --text-label-caps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AmountDisplay      [Atom]      ← --text-display-large, mono-data token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CountLabel         [Atom]      ← "12 transactions"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ViewAllCommissionsCTA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ReferralTrendCard         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TrendHeading  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SparklineChart         [Atom]      ← Recharts LineChart, 7-day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TrendDelta             [Atom]      ← "+23% vs last week" — green/red delta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ConversionFunnelCard       [Organism]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FunnelHeading 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FunnelStepRow × 4      [Molecule]  ← Click / Registration / Application / Disbursal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StepLabel       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StepCount          [Atom]      ← mono-data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StepRate           [Atom]      ← "32% from clicks"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ViewFullAnalyticsCTA   [Atom]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QuickActionsRow            [Molecule]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QuickActionChip × 3    [Atom]      ← Generate Link / View Commissions / Docs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A3.4  Referral Link Generator — Component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00"/>
        <w:gridCol w:w="36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Validation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Behaviour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Visual card selector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Personal Loan / Home Loan / Business Loan / All Products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 grid. Selected: blue border. Default: "All Products".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Campaign Tag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 input (optional)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A-Z, 0-9, hyphen. Max 30 chars.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Used for attribution analytics. Helper text: "e.g. april-salary-campaign". Auto-slugified.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Pre-fill 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Toggle (employer partners only)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 / Off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If On: expands to pre-fill field selector. Requires API integration active.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Generated Link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Read-only output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leapmoney.net/r/{code}/{campaign}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Appears after "Generate" click. Copy button. WhatsApp share button. QR code button.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Short Link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Read-only (auto-generated)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lpm.in/{code}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Shown alongside full link for WhatsApp broadcast use.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A3.5  Widget Embed Manager — Component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Config panel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WidgetConfigForm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Product type selector, colour theme (primary colour picker — constrained to non-LeapMoney colours to distinguish partner context), pre-fill toggle, CTA label input.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Embed code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EmbedCodeBlock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Read-only &lt;textarea&gt; with syntax highlighting. Copy button. "Test this in sandbox" button.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Live preview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WidgetPreviewFrame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Sandboxed &lt;iframe&gt; that renders actual widget with config applied. Updates live as config changes. "This is how it will look on your site."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Allowed domains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DomainAllowlist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Partner specifies allowed domains for CORS. Widget blocked on non-listed domains. Add domain input + remove button.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A3.6  Design Principles — Partner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Data Density over Elegance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Partner portal users are professional — prioritise information density. Default table views, not cards. Expand/detail on click.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Commission Transparency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 commission shows: borrower (masked as initials), loan amount, loan type, commission model, status, expected payout date. No black boxes.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Self-Service First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 action — link generation, API key creation, widget config — must be completable without contacting LeapMoney support.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Attribution Clarity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 referral shows its full attribution chain: link clicked → registration → profile completion → match → application → disbursal. No missing steps.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Simplified for Non-Technical Partners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Housing society and CA portals show a simplified view (Dashboard + Links + Commissions only). Advanced modules hidden unless partner type requires them.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B1220"/>
          <w:sz w:val="32"/>
          <w:szCs w:val="32"/>
        </w:rPr>
        <w:t xml:space="preserve">A4  LeapScore™ Band Visual System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LeapScore™ Band Visual System is the emotional core of the borrower experience. Every band has a colour, label, icon language, animation treatment, CTA pattern, and improvement tone. Consistency across all surfaces is mandatory.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A4.1  Band Definitions — Master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score range 0–100 is divided into five bands. Each band has a fixed visual identity that never varies across surfaces.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600"/>
        <w:gridCol w:w="55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for Borrower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8"/>
                <w:szCs w:val="18"/>
              </w:rPr>
              <w:t xml:space="preserve">80–100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Loan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Strong credit profile. Eligible for top-tier banks. Pre-approved offers available. Platform surfaces best matches immediately.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8"/>
                <w:szCs w:val="18"/>
              </w:rPr>
              <w:t xml:space="preserve">65–79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Strong Candidate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Good profile with minor gaps. 10+ lenders available. High approval probabilities. Minor documentation guidance provided.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8"/>
                <w:szCs w:val="18"/>
              </w:rPr>
              <w:t xml:space="preserve">50–64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Improvable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Moderate profile. NBFC and fintech lenders available. Improvement plan auto-activated alongside match results.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8"/>
                <w:szCs w:val="18"/>
              </w:rPr>
              <w:t xml:space="preserve">35–49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Developing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Weak profile. Very limited specialist matches only. 90-day improvement roadmap is the primary call-to-action.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8"/>
                <w:szCs w:val="18"/>
              </w:rPr>
              <w:t xml:space="preserve">0–34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Below minimum threshold for most lenders. No matches shown. Platform focuses entirely on credit health improvement.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A4.2  Score Ring Visual Specification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ScoreRing component is the primary visual expression of the LeapScore™. It must be implemented consistently across all sizes and surfaces.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5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4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3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2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Ring fill colour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--green-600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--blue-primary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--amber-600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--orange-600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--red-600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Ring bg (unfilled)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DCFCE7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DBEAFE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FEF3C7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FFEDD5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FEE2E2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 text colour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--navy-deep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--navy-deep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--navy-deep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--navy-deep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--navy-deep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Band dot colour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--green-600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--blue-primary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--amber-600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--orange-600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--red-600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--dark-surface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--dark-surface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--dark-surface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--dark-surface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--dark-surface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Band label colour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--green-600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--blue-primary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--amber-600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--orange-600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--red-600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Reveal animation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--ease-spring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--ease-spring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--ease-standard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--ease-standard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--ease-standard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A4.3  ScoreRing Size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400"/>
        <w:gridCol w:w="31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Variant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Diameter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Font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Ring Stroke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Large (hero)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160px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--text-display-hero (48px)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10px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Borrower dashboard hero card. Score reveal animation.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 (card)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80px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--text-display-large (36px)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7px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DSA Suite — Client 360 view. Score within lender card context.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Small (inline)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--text-heading-2 (20px)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4px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Match results confidence bar. Application tracker header.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Micro (badge)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--text-body-small (12px)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2.5px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 items. Table rows. List context.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A4.4  Band Reveal Animation —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100"/>
        <w:gridCol w:w="1600"/>
        <w:gridCol w:w="24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1. Card entrance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 card fades in + slides up 12px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--ease-enter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Component mounts (first load only)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2. Ring trace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Ring arc draws from 0° clockwise to final fill 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--ease-standard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Immediately after card entrance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3. Score count-up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Number animates from 0 to final score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--ease-standard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Simultaneously with ring trace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4. Band label fade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Band label + dot indicator fade in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--ease-enter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After score reaches final value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5. Celebration (Band 4+)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Brief scale pulse on score ring (1.05× → 1×)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--ease-spring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Immediately after band label appears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Repeat behaviour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animation: first load only. Score updates: subtle delta animation only (old score → new score, no ring re-trace).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A4.5  Band Transition Notification Visual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When a borrower's score crosses a band threshold, the notification carries a distinct visual identity matching the new band.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400"/>
        <w:gridCol w:w="2200"/>
        <w:gridCol w:w="16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Background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 Tone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Channels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 band → higher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New band colour (light fill)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Lucide &lt;TrendingUp /&gt;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Celebratory + specific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Push + WhatsApp +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Band 3 → Band 4 crossover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DBEAFE (blue-light)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Lucide &lt;Star /&gt;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Milestone — "mainstream banks now in reach"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Push + WhatsApp + Email (elevated)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Band 4 → Band 5 crossover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--dark-surface with gold border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Lucide &lt;Trophy /&gt;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Premium — "You are now Loan Ready"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Push + WhatsApp + Email + In-app animation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Band 2 → Band 3 crossover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FEF3C7 (amber-light)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Lucide &lt;CheckCircle /&gt;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Progress-focused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Push + WhatsApp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 band → lower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FEE2E2 (red-light)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Lucide &lt;AlertCircle /&gt;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Constructive — "Here's what shifted"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Email only — no push for score decline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 stable 60 days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GRAY_50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Lucide &lt;Shield /&gt;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Maintenance tip — low urgency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Email monthly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A4.6  Band-Specific Dashboard Layout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borrower dashboard home layout adapts based on the user's current band. This is the most impactful personalisation on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200"/>
        <w:gridCol w:w="1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 Zone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Zone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Bottom CTA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 — Loan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ScoreRing (large) + "You're Loan Ready" + pre-approved badge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"See Pre-Approved Offers"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Top 3 lender match cards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"View All Matches →"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 — Strong Candidate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ScoreRing (large) + "Strong Candidate"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"See Your Matches"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Top 3 lender cards + 1 improvement tip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"View All Matches →"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 — Improvable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ScoreRing (large) + improvement plan progress bar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"See Available Matches"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Improvement plan (3 steps) — dominant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"Check Matches First →" (de-emphasised)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— Developing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ScoreRing (large) + "90-Day Roadmap" heading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"Start Your Improvement Plan"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90-day roadmap card (full width)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"Check Limited Matches" (text link only)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— Not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ScoreRing (large, red) + "Let's Fix This Together"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"View Your Credit Health Plan"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Credit Health Dashboard tiles only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match CTA. "Refresh Score" reminder.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A4.7  LeapScore™ Scale — Visual Gradient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The following table maps every 10-point interval to its visual treatment. Engineers and designers use this as the ground truth for programmatic colour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200"/>
        <w:gridCol w:w="1560"/>
        <w:gridCol w:w="14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Ring Colour Token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 Fill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Colour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90–100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 — Loan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--green-600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#16A34A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DCFCE7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#16A34A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80–89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 — Loan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--green-600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#16A34A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DCFCE7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#16A34A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70–79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 — Strong Candidate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--blue-primary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#2563EB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DBEAFE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#2563EB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65–69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 — Strong Candidate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--blue-primary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#2563EB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DBEAFE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#2563EB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60–64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 — Improvable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--amber-600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#D97706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FEF3C7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#D97706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50–59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 — Improvable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--amber-600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#D97706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FEF3C7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#D97706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40–49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— Developing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--orange-600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#EA580C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FFEDD5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#EA580C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35–39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— Developing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--orange-600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#EA580C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FFEDD5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#EA580C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20–34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— Not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--red-600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#DC2626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FEE2E2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#DC2626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0–19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— Not Ready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--red-600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#DC2626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FEE2E2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#DC2626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220"/>
          <w:sz w:val="26"/>
          <w:szCs w:val="26"/>
        </w:rPr>
        <w:t xml:space="preserve">A4.8  Accessibility Requirements for Band Colours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band colours must meet WCAG AA (minimum 4.5:1 contrast for normal text on relevant backgrounds). The following table confirms compliance: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560"/>
        <w:gridCol w:w="14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Contrast Ratio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2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WCAG AA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 — Loan Ready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--green-600 (#16A34A)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 (#FFFFFF)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5.74:1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 — Loan Ready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 (#FFFFFF)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--green-600 (#16A34A)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5.74:1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 (on dark bg)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 — Strong Candidate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--blue-primary (#2563EB)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 (#FFFFFF)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5.92:1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 — Improvable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--amber-600 (#D97706)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 (#FFFFFF)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3.01:1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FAIL on white — use on coloured bg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 — Improvable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--navy-deep (#0B1220)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Amber-light (#FEF3C7)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14.2:1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— Developing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--orange-600 (#EA580C)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 (#FFFFFF)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3.52:1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FAIL on white — use on coloured bg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— Developing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--navy-deep (#0B1220)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Orange-light (#FFEDD5)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12.9:1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— Not Ready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--red-600 (#DC2626)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White (#FFFFFF)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5.08:1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IMPORTANT: Amber and Orange band labels must never be rendered as coloured text on a white background — they fail WCAG AA. Always render on their respective light-fill background (FEF3C7 for Band 3, FFEDD5 for Band 2) or use --navy-deep text on those backgrounds.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LeapMatch™ Phase 6 Addendum  ·  v1.0  ·  June 2026  ·  LeapMoney Confidential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Addendum to Phase 6: Design System &amp; Figma Architecture  ·  Phase 6 (approved) is unchanged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8640"/>
      </w:tabs>
    </w:pPr>
    <w:r>
      <w:rPr>
        <w:rFonts w:ascii="Arial" w:cs="Arial" w:eastAsia="Arial" w:hAnsi="Arial"/>
        <w:color w:val="334155"/>
        <w:sz w:val="18"/>
        <w:szCs w:val="18"/>
      </w:rPr>
      <w:t xml:space="preserve">Addendum to Phase 6 — LeapMoney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4155"/>
        <w:sz w:val="18"/>
        <w:szCs w:val="18"/>
      </w:rPr>
      <w:t xml:space="preserve">Page </w:t>
    </w:r>
    <w:r>
      <w:rPr>
        <w:rFonts w:ascii="Arial" w:cs="Arial" w:eastAsia="Arial" w:hAnsi="Arial"/>
        <w:color w:val="3341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2"/>
      </w:pBdr>
      <w:tabs>
        <w:tab w:val="right" w:pos="8640"/>
      </w:tabs>
    </w:pPr>
    <w:r>
      <w:rPr>
        <w:rFonts w:ascii="Arial" w:cs="Arial" w:eastAsia="Arial" w:hAnsi="Arial"/>
        <w:color w:val="334155"/>
        <w:sz w:val="18"/>
        <w:szCs w:val="18"/>
      </w:rPr>
      <w:t xml:space="preserve">LeapMatch™ Phase 6 Addendum — Design System Supplementary Architecture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D97706"/>
        <w:sz w:val="18"/>
        <w:szCs w:val="18"/>
      </w:rPr>
      <w:t xml:space="preserve">v1.0  ·  June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2026-06-16T08:43:23.515Z</dcterms:created>
  <dcterms:modified xsi:type="dcterms:W3CDTF">2026-06-16T08:43:23.515Z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