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jc w:val="center"/>
      </w:pPr>
      <w:r>
        <w:rPr>
          <w:rFonts w:ascii="Calibri" w:cs="Calibri" w:eastAsia="Calibri" w:hAnsi="Calibri"/>
          <w:b/>
          <w:bCs/>
          <w:color w:val="0D9488"/>
          <w:sz w:val="72"/>
          <w:szCs w:val="72"/>
        </w:rPr>
        <w:t xml:space="preserve">LeapMoney</w:t>
      </w:r>
    </w:p>
    <w:p>
      <w:pPr>
        <w:spacing w:after="120"/>
        <w:jc w:val="center"/>
      </w:pPr>
      <w:r>
        <w:rPr>
          <w:rFonts w:ascii="Calibri" w:cs="Calibri" w:eastAsia="Calibri" w:hAnsi="Calibri"/>
          <w:b/>
          <w:bCs/>
          <w:color w:val="0F1F3D"/>
          <w:sz w:val="44"/>
          <w:szCs w:val="44"/>
        </w:rPr>
        <w:t xml:space="preserve">Phase 8 — Compliance, Risk &amp; Fraud Framework</w:t>
      </w:r>
    </w:p>
    <w:p>
      <w:pPr>
        <w:spacing w:after="80"/>
        <w:jc w:val="center"/>
      </w:pPr>
      <w:r>
        <w:rPr>
          <w:rFonts w:ascii="Calibri" w:cs="Calibri" w:eastAsia="Calibri" w:hAnsi="Calibri"/>
          <w:color w:val="334155"/>
          <w:sz w:val="22"/>
          <w:szCs w:val="22"/>
        </w:rPr>
        <w:t xml:space="preserve">Version 1.0  ·  June 2026  ·  Founder Confidential</w:t>
      </w:r>
    </w:p>
    <w:p>
      <w:pPr>
        <w:spacing w:after="80"/>
        <w:jc w:val="center"/>
      </w:pPr>
      <w:r>
        <w:rPr>
          <w:rFonts w:ascii="Calibri" w:cs="Calibri" w:eastAsia="Calibri" w:hAnsi="Calibri"/>
          <w:color w:val="334155"/>
          <w:sz w:val="20"/>
          <w:szCs w:val="20"/>
        </w:rPr>
        <w:t xml:space="preserve">No Code  ·  No UI Design  ·  Compliance &amp; Risk Architecture Only</w:t>
      </w:r>
    </w:p>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Section</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c>
          <w:tcPr>
            <w:tcW w:type="dxa" w:w="5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Framework Scope</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Executive Summary</w:t>
            </w:r>
          </w:p>
        </w:tc>
        <w:tc>
          <w:tcPr>
            <w:tcW w:type="dxa" w:w="5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Overview, regulatory landscape, risk philosophy</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Compliance Blueprint</w:t>
            </w:r>
          </w:p>
        </w:tc>
        <w:tc>
          <w:tcPr>
            <w:tcW w:type="dxa" w:w="5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Digital Personal Data Protection Act 2023 — full compliance architecture</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Fair Practices Compliance</w:t>
            </w:r>
          </w:p>
        </w:tc>
        <w:tc>
          <w:tcPr>
            <w:tcW w:type="dxa" w:w="5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Fair Practices Code for NBFCs &amp; digital lending guidelines</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Governance Framework</w:t>
            </w:r>
          </w:p>
        </w:tc>
        <w:tc>
          <w:tcPr>
            <w:tcW w:type="dxa" w:w="5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lifecycle, audit, versioning, and withdrawal architecture</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Fraud Prevention Framework</w:t>
            </w:r>
          </w:p>
        </w:tc>
        <w:tc>
          <w:tcPr>
            <w:tcW w:type="dxa" w:w="5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fraud, identity fraud, application fraud, DSA fraud, partner fraud</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Verification Strategy</w:t>
            </w:r>
          </w:p>
        </w:tc>
        <w:tc>
          <w:tcPr>
            <w:tcW w:type="dxa" w:w="5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KYC architecture, OVD matching, Aadhaar eKYC, PAN verification</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Device &amp; Application Risk Controls</w:t>
            </w:r>
          </w:p>
        </w:tc>
        <w:tc>
          <w:tcPr>
            <w:tcW w:type="dxa" w:w="5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Device fingerprinting, session risk, bot detection, rate limiting</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Audit &amp; Monitoring Controls</w:t>
            </w:r>
          </w:p>
        </w:tc>
        <w:tc>
          <w:tcPr>
            <w:tcW w:type="dxa" w:w="5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Immutable audit trail, compliance monitoring, regulatory reporting</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A</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Risk Register</w:t>
            </w:r>
          </w:p>
        </w:tc>
        <w:tc>
          <w:tcPr>
            <w:tcW w:type="dxa" w:w="5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risk register with likelihood, impact, and control matrix</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B</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Regulatory Reference Index</w:t>
            </w:r>
          </w:p>
        </w:tc>
        <w:tc>
          <w:tcPr>
            <w:tcW w:type="dxa" w:w="5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Acts, guidelines, and circulars governing LeapMoney's operations</w:t>
            </w:r>
          </w:p>
        </w:tc>
      </w:tr>
    </w:tbl>
    <w:p>
      <w:r>
        <w:br w:type="page"/>
      </w:r>
    </w:p>
    <w:p>
      <w:pPr>
        <w:pStyle w:val="Heading1"/>
        <w:pBdr>
          <w:bottom w:val="single" w:color="0D9488" w:sz="6"/>
        </w:pBdr>
        <w:spacing w:after="120" w:before="480"/>
      </w:pPr>
      <w:r>
        <w:t xml:space="preserve">1  Executive Summary</w:t>
      </w:r>
    </w:p>
    <w:p>
      <w:pPr>
        <w:spacing w:after="60" w:before="60"/>
      </w:pPr>
      <w:r>
        <w:rPr>
          <w:rFonts w:ascii="Calibri" w:cs="Calibri" w:eastAsia="Calibri" w:hAnsi="Calibri"/>
          <w:color w:val="1E293B"/>
          <w:sz w:val="20"/>
          <w:szCs w:val="20"/>
        </w:rPr>
        <w:t xml:space="preserve">Phase 8 defines the Compliance, Risk, and Fraud Framework for the LeapMoney platform — a multi-sided Indian fintech loan marketplace operating as a Digital Lending Service Provider (DLSP). This framework establishes the controls, policies, and technical architecture required to operate in compliance with the Digital Personal Data Protection (DPDP) Act 2023, RBI digital lending guidelines (2022), RBI Fair Practices Code for NBFCs, and applicable TRAI regulations.</w:t>
      </w:r>
    </w:p>
    <w:p>
      <w:pPr>
        <w:spacing w:after="60" w:before="60"/>
      </w:pPr>
      <w:r>
        <w:rPr>
          <w:rFonts w:ascii="Calibri" w:cs="Calibri" w:eastAsia="Calibri" w:hAnsi="Calibri"/>
          <w:color w:val="1E293B"/>
          <w:sz w:val="20"/>
          <w:szCs w:val="20"/>
        </w:rPr>
        <w:t xml:space="preserve">This document is the authoritative compliance blueprint for the development team, legal counsel, and the founding team. It defines what must be built, what must be enforced in policy, and what must be monitored continuously.</w:t>
      </w:r>
    </w:p>
    <w:p>
      <w:pPr>
        <w:spacing w:after="0" w:before="0"/>
      </w:pPr>
    </w:p>
    <w:p>
      <w:pPr>
        <w:pStyle w:val="Heading2"/>
        <w:spacing w:after="80" w:before="320"/>
      </w:pPr>
      <w:r>
        <w:t xml:space="preserve">1.1  Regulatory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Regulation / Act</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Issuing Authority</w:t>
            </w:r>
          </w:p>
        </w:tc>
        <w:tc>
          <w:tcPr>
            <w:tcW w:type="dxa" w:w="3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Applicability to LeapMoney</w:t>
            </w:r>
          </w:p>
        </w:tc>
        <w:tc>
          <w:tcPr>
            <w:tcW w:type="dxa" w:w="1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Priority</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Digital Personal Data Protection Act 2023 (DPDP Act)</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Ministry of Electronics &amp; IT (MeitY)</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borrower, DSA, partner, and lender PII processed on the platform</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Digital Lending Guidelines (2022)</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Reserve Bank of India</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operates as a Lending Service Provider (LSP) / DLSP</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Fair Practices Code for NBFCs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Reserve Bank of India</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Applies via lender partners; LeapMoney must not enable violations</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Information Technology Act 2000 &amp; IT Rules 2021</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Ministry of Law &amp; Justice</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security, breach notification, intermediary obligations</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Prevention of Money Laundering Act (PMLA 2002)</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Ministry of Finance / PMLA Authority</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KYC obligations for financial services; AML screening</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 Telecom Regulations (DLT)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Telecom Regulatory Authority of India</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SMS and WhatsApp commercial communications require DLT registration</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Aadhaar Act 2016 &amp; eKYC Rules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UIDAI</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Aadhaar-based eKYC (if adopted); strict usage restrictions</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Foreign Exchange Management Act (FEMA)</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Cross-border data transfers; foreign investment in fintech</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r>
    </w:tbl>
    <w:p>
      <w:pPr>
        <w:spacing w:after="0" w:before="0"/>
      </w:pPr>
    </w:p>
    <w:p>
      <w:pPr>
        <w:pStyle w:val="Heading2"/>
        <w:spacing w:after="80" w:before="320"/>
      </w:pPr>
      <w:r>
        <w:t xml:space="preserve">1.2  LeapMoney's Regulatory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Regulatory Status</w:t>
            </w:r>
          </w:p>
        </w:tc>
        <w:tc>
          <w:tcPr>
            <w:tcW w:type="dxa" w:w="4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Lending Service Provider (LSP)</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Regulated by RBI Digital Lending Guidelines 2022</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Must ensure loan products are offered only by regulated lenders; cannot disburse directly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Fiduciary</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Regulated by DPDP Act 2023</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Must obtain purpose-specific consent; appoint Data Protection Officer (DPO) above threshold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Intermediary (IT Act 2021)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Subject to IT Rules 2021 (Intermediary Guidelines)</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officer required; content moderation obligations for user-generated data</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DLT-registered entity</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 DLT regulations</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commercial WhatsApp and SMS templates registered on TRAI DLT blockchain before sending</w:t>
            </w:r>
          </w:p>
        </w:tc>
      </w:tr>
    </w:tbl>
    <w:p>
      <w:pPr>
        <w:spacing w:after="0" w:before="0"/>
      </w:pPr>
    </w:p>
    <w:p>
      <w:pPr>
        <w:pStyle w:val="Heading2"/>
        <w:spacing w:after="80" w:before="320"/>
      </w:pPr>
      <w:r>
        <w:t xml:space="preserve">1.3  Risk Philosophy</w:t>
      </w:r>
    </w:p>
    <w:p>
      <w:pPr>
        <w:pStyle w:val="ListParagraph"/>
        <w:numPr>
          <w:ilvl w:val="0"/>
          <w:numId w:val="1"/>
        </w:numPr>
        <w:spacing w:after="40" w:before="40"/>
      </w:pPr>
      <w:r>
        <w:rPr>
          <w:rFonts w:ascii="Calibri" w:cs="Calibri" w:eastAsia="Calibri" w:hAnsi="Calibri"/>
          <w:color w:val="1E293B"/>
          <w:sz w:val="20"/>
          <w:szCs w:val="20"/>
        </w:rPr>
        <w:t xml:space="preserve">Compliance by design: every system component is designed with regulatory requirements embedded — not added retrospectively</w:t>
      </w:r>
    </w:p>
    <w:p>
      <w:pPr>
        <w:pStyle w:val="ListParagraph"/>
        <w:numPr>
          <w:ilvl w:val="0"/>
          <w:numId w:val="1"/>
        </w:numPr>
        <w:spacing w:after="40" w:before="40"/>
      </w:pPr>
      <w:r>
        <w:rPr>
          <w:rFonts w:ascii="Calibri" w:cs="Calibri" w:eastAsia="Calibri" w:hAnsi="Calibri"/>
          <w:color w:val="1E293B"/>
          <w:sz w:val="20"/>
          <w:szCs w:val="20"/>
        </w:rPr>
        <w:t xml:space="preserve">Zero tolerance on consent: no bureau pull, no data share, no marketing communication without explicit, purpose-specific, recorded consent</w:t>
      </w:r>
    </w:p>
    <w:p>
      <w:pPr>
        <w:pStyle w:val="ListParagraph"/>
        <w:numPr>
          <w:ilvl w:val="0"/>
          <w:numId w:val="1"/>
        </w:numPr>
        <w:spacing w:after="40" w:before="40"/>
      </w:pPr>
      <w:r>
        <w:rPr>
          <w:rFonts w:ascii="Calibri" w:cs="Calibri" w:eastAsia="Calibri" w:hAnsi="Calibri"/>
          <w:color w:val="1E293B"/>
          <w:sz w:val="20"/>
          <w:szCs w:val="20"/>
        </w:rPr>
        <w:t xml:space="preserve">Layered fraud defence: no single control is relied upon; overlapping layers (identity, device, behaviour, rule engine) provide defence-in-depth</w:t>
      </w:r>
    </w:p>
    <w:p>
      <w:pPr>
        <w:pStyle w:val="ListParagraph"/>
        <w:numPr>
          <w:ilvl w:val="0"/>
          <w:numId w:val="1"/>
        </w:numPr>
        <w:spacing w:after="40" w:before="40"/>
      </w:pPr>
      <w:r>
        <w:rPr>
          <w:rFonts w:ascii="Calibri" w:cs="Calibri" w:eastAsia="Calibri" w:hAnsi="Calibri"/>
          <w:color w:val="1E293B"/>
          <w:sz w:val="20"/>
          <w:szCs w:val="20"/>
        </w:rPr>
        <w:t xml:space="preserve">Lender accountability: LeapMoney's contracts with lender partners require them to comply with RBI Fair Practices Code; LeapMoney monitors for violations</w:t>
      </w:r>
    </w:p>
    <w:p>
      <w:pPr>
        <w:pStyle w:val="ListParagraph"/>
        <w:numPr>
          <w:ilvl w:val="0"/>
          <w:numId w:val="1"/>
        </w:numPr>
        <w:spacing w:after="40" w:before="40"/>
      </w:pPr>
      <w:r>
        <w:rPr>
          <w:rFonts w:ascii="Calibri" w:cs="Calibri" w:eastAsia="Calibri" w:hAnsi="Calibri"/>
          <w:color w:val="1E293B"/>
          <w:sz w:val="20"/>
          <w:szCs w:val="20"/>
        </w:rPr>
        <w:t xml:space="preserve">Auditability: every consequential action on the platform generates an immutable, queryable audit record</w:t>
      </w:r>
    </w:p>
    <w:p>
      <w:pPr>
        <w:pStyle w:val="ListParagraph"/>
        <w:numPr>
          <w:ilvl w:val="0"/>
          <w:numId w:val="1"/>
        </w:numPr>
        <w:spacing w:after="40" w:before="40"/>
      </w:pPr>
      <w:r>
        <w:rPr>
          <w:rFonts w:ascii="Calibri" w:cs="Calibri" w:eastAsia="Calibri" w:hAnsi="Calibri"/>
          <w:color w:val="1E293B"/>
          <w:sz w:val="20"/>
          <w:szCs w:val="20"/>
        </w:rPr>
        <w:t xml:space="preserve">Privacy as competitive advantage: DPDP compliance is positioned to borrowers as a trust differentiator, not merely a legal obligation</w:t>
      </w:r>
    </w:p>
    <w:p>
      <w:r>
        <w:br w:type="page"/>
      </w:r>
    </w:p>
    <w:p>
      <w:pPr>
        <w:pStyle w:val="Heading1"/>
        <w:pBdr>
          <w:bottom w:val="single" w:color="0D9488" w:sz="6"/>
        </w:pBdr>
        <w:spacing w:after="120" w:before="480"/>
      </w:pPr>
      <w:r>
        <w:t xml:space="preserve">2  DPDP Compliance Blueprint</w:t>
      </w:r>
    </w:p>
    <w:p>
      <w:pPr>
        <w:spacing w:after="60" w:before="60"/>
      </w:pPr>
      <w:r>
        <w:rPr>
          <w:rFonts w:ascii="Calibri" w:cs="Calibri" w:eastAsia="Calibri" w:hAnsi="Calibri"/>
          <w:color w:val="1E293B"/>
          <w:sz w:val="20"/>
          <w:szCs w:val="20"/>
        </w:rPr>
        <w:t xml:space="preserve">The Digital Personal Data Protection Act 2023 (DPDP Act) is the primary data protection legislation applicable to LeapMoney. As a Data Fiduciary processing personal data of borrowers (Data Principals), LeapMoney must comply with all obligations under the Act.</w:t>
      </w:r>
    </w:p>
    <w:p>
      <w:pPr>
        <w:spacing w:after="0" w:before="0"/>
      </w:pPr>
    </w:p>
    <w:p>
      <w:pPr>
        <w:pStyle w:val="Heading2"/>
        <w:spacing w:after="80" w:before="320"/>
      </w:pPr>
      <w:r>
        <w:t xml:space="preserve">2.1  Personal Data Processed by LeapMoney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Data Category</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Specific Data Elements</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Classification</w:t>
            </w:r>
          </w:p>
        </w:tc>
        <w:tc>
          <w:tcPr>
            <w:tcW w:type="dxa" w:w="2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Processing Purpose</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data</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name, DOB, gender, address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data</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application, KYC, identity verification</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Contact data</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number, email address</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data</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Authentication, communication, notifications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Financial identity</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number (last 4 stored), Aadhaar (last 4 only)</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Sensitive personal data</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KYC verification, ITR cross-reference</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data</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score, repayment history, FOIR, outstanding loans</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Sensitive financial data</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computation, loan matching</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Income data</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Salary slips, bank statements, ITR documents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Sensitive financial data</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Income verification, eligibility assessment</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Employment data</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Employer name, employment type, tenure, monthly income</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data</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Eligibility assessment, product matching</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Device data</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IP address, device fingerprint, OS, browser user-agent</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Metadata</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Fraud detection, session risk assessment</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Behavioural data</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Navigation events, form interaction, time-on-step</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Anonymised behavioural data</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analytics, funnel optimisation</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Communication data</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message content, email open/click events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data</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Communication audit, delivery confirmation</w:t>
            </w:r>
          </w:p>
        </w:tc>
      </w:tr>
    </w:tbl>
    <w:p>
      <w:pPr>
        <w:spacing w:after="0" w:before="0"/>
      </w:pPr>
    </w:p>
    <w:p>
      <w:pPr>
        <w:pStyle w:val="Heading2"/>
        <w:spacing w:after="80" w:before="320"/>
      </w:pPr>
      <w:r>
        <w:t xml:space="preserve">2.2  DPDP Obligations &amp;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DPDP Obligation</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Section</w:t>
            </w:r>
          </w:p>
        </w:tc>
        <w:tc>
          <w:tcPr>
            <w:tcW w:type="dxa" w:w="5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LeapMoney Implementation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Lawful basis for processing</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4</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is the primary basis; legitimate interest for fraud prevention and audit log retention</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Notice to Data Principal</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5</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Privacy notice displayed before consent capture; plain language; available in English and Hindi</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 explicit and specific</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6</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Separate consent checkboxes per purpose; no bundled consent; recorded in user_consent table</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 freely given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6</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Core service not conditional on marketing consent; marketing opt-in is optional</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Right to information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11</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My Data section in Borrower App: shows what data is held, when collected, for what purpose</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Right to correction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12</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Profile edit flow in Borrower App; correction request in Support; ops team verifies and updates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Right to erasure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13</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Account deletion flow: PII nulled; applications retained 7yr (regulatory); audit log indefinitely</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Right to grievance redressal</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13</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Officer appointed; contact details in Privacy Policy and app; 30-day response SLA</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Right to nominate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14</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applicable to financial services data in this context; reserved for future</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minimisation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6(3)</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Collect only fields strictly required for loan matching; bureau data minimised to derived metrics post-computation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Purpose limitation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6(1)</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used only for the stated purpose at consent; no purpose creep without fresh consent</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Storage limitation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8(7)</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Retention schedules enforced: bureau cache 90d, inactive profiles 3yr, applications 7yr (regulatory)</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localisation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17 (anticipated)</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on AWS ap-south-1 (Mumbai); no cross-border transfer of personal data; Sentry EU endpoint configured</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Protection Officer</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10</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DPO to be appointed on reaching DPDP Act threshold (anticipated ₹500Cr revenue or 100K Data Principals)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Protection Impact Assessment</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10</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DPIA required before processing sensitive financial data at scale; triggered at launch</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Children's data</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9</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Platform restricted to 18+ years; age gate at onboarding with self-declaration; no targeted processing of minor data</w:t>
            </w:r>
          </w:p>
        </w:tc>
      </w:tr>
    </w:tbl>
    <w:p>
      <w:pPr>
        <w:spacing w:after="0" w:before="0"/>
      </w:pPr>
    </w:p>
    <w:p>
      <w:pPr>
        <w:pStyle w:val="Heading2"/>
        <w:spacing w:after="80" w:before="320"/>
      </w:pPr>
      <w:r>
        <w:t xml:space="preserve">2.3  Privacy Notice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Notice Component</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Requirement</w:t>
            </w:r>
          </w:p>
        </w:tc>
        <w:tc>
          <w:tcPr>
            <w:tcW w:type="dxa" w:w="4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Implementation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of Data Fiduciary</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Name, registered address, DPO contact</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Displayed in Privacy Policy footer and onboarding consent screen</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collected</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Specific categories, not generic descriptions</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Listed per purpose in Privacy Policy; summarised at consent point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Purpose of processing</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Specific, not vague ("for better services" is insufficient)</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Per-purpose statements at each consent gate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Third parties data is shared with</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Lenders (named category), bureau agencies, WhatsApp BSP, analytics providers</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Named in Privacy Policy; lender list maintained in Admin config</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Retention periods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 data category</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Retention schedule table in Privacy Policy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Principal rights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 11–14 rights listed</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Rights section in Privacy Policy; exercisable via My Data + Support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mechanism</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Officer name/email, response timeline</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Privacy Policy + Contact Us + in-app support flow</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Cookie/tracking notice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Analytics, session cookies</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Cookie banner at first visit (Website V2); decline non-essential option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12"/>
              <w:left w:val="single" w:color="DC2626" w:sz="12"/>
              <w:bottom w:val="none" w:color="auto" w:sz="0"/>
              <w:right w:val="none" w:color="auto" w:sz="0"/>
            </w:tcBorders>
            <w:shd w:fill="FEF2F2"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Critical: No Inferred Consent</w:t>
            </w:r>
          </w:p>
          <w:p>
            <w:pPr>
              <w:spacing w:after="0" w:before="0"/>
            </w:pPr>
            <w:r>
              <w:rPr>
                <w:rFonts w:ascii="Calibri" w:cs="Calibri" w:eastAsia="Calibri" w:hAnsi="Calibri"/>
                <w:color w:val="1E293B"/>
                <w:sz w:val="18"/>
                <w:szCs w:val="18"/>
              </w:rPr>
              <w:t xml:space="preserve">The DPDP Act prohibits inferred consent, pre-ticked boxes, and consent buried in terms and conditions. Every consent checkbox on LeapMoney must be unchecked by default, accompanied by a specific purpose statement, and stored with a timestamp and document version in the user_consent table.</w:t>
            </w:r>
          </w:p>
        </w:tc>
      </w:tr>
    </w:tbl>
    <w:p>
      <w:pPr>
        <w:spacing w:after="0" w:before="0"/>
      </w:pPr>
    </w:p>
    <w:p>
      <w:pPr>
        <w:pStyle w:val="Heading2"/>
        <w:spacing w:after="80" w:before="320"/>
      </w:pPr>
      <w:r>
        <w:t xml:space="preserve">2.4  Data Breach Response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Step</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Timeline</w:t>
            </w:r>
          </w:p>
        </w:tc>
        <w:tc>
          <w:tcPr>
            <w:tcW w:type="dxa" w:w="2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Responsible</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 Detection</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alert / internal report / user complaint identifies potential breach</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1 hour</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on-call</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 Containment</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Revoke compromised tokens; isolate affected service; block malicious IPs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2 hours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on-call + CTO</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 Assessment</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Determine scope: what data, how many Data Principals, root cause</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4 hours</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Legal</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 Internal notification</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Notify founder + legal counsel</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6 hours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 Regulatory notification</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Notify CERT-In per DPDP Act (anticipated 72-hour window); notify Data Board when constituted</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72 hours</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 Founder</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 — Data Principal notification</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Notify affected borrowers if breach poses significant risk to rights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72 hours (or per Act timeline)</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Legal</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 — Remediation</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 root cause; enhance controls; document in post-mortem</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7 days</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 — Post-mortem</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incident, root cause, remediation, controls added</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14 days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Legal</w:t>
            </w:r>
          </w:p>
        </w:tc>
      </w:tr>
    </w:tbl>
    <w:p>
      <w:r>
        <w:br w:type="page"/>
      </w:r>
    </w:p>
    <w:p>
      <w:pPr>
        <w:pStyle w:val="Heading1"/>
        <w:pBdr>
          <w:bottom w:val="single" w:color="0D9488" w:sz="6"/>
        </w:pBdr>
        <w:spacing w:after="120" w:before="480"/>
      </w:pPr>
      <w:r>
        <w:t xml:space="preserve">3  RBI Fair Practices Compliance</w:t>
      </w:r>
    </w:p>
    <w:p>
      <w:pPr>
        <w:spacing w:after="60" w:before="60"/>
      </w:pPr>
      <w:r>
        <w:rPr>
          <w:rFonts w:ascii="Calibri" w:cs="Calibri" w:eastAsia="Calibri" w:hAnsi="Calibri"/>
          <w:color w:val="1E293B"/>
          <w:sz w:val="20"/>
          <w:szCs w:val="20"/>
        </w:rPr>
        <w:t xml:space="preserve">LeapMoney operates as a Lending Service Provider (LSP) / Digital Lending Service Provider (DLSP) under the RBI Digital Lending Guidelines (September 2022). All lender partners are regulated entities (banks or NBFCs registered with RBI). LeapMoney's role is to originate, match, and facilitate — not to underwrite or disburse.</w:t>
      </w:r>
    </w:p>
    <w:p>
      <w:pPr>
        <w:spacing w:after="0" w:before="0"/>
      </w:pPr>
    </w:p>
    <w:p>
      <w:pPr>
        <w:pStyle w:val="Heading2"/>
        <w:spacing w:after="80" w:before="320"/>
      </w:pPr>
      <w:r>
        <w:t xml:space="preserve">3.1  RBI Digital Lending Guidelines — Key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Guideline</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Requirement</w:t>
            </w:r>
          </w:p>
        </w:tc>
        <w:tc>
          <w:tcPr>
            <w:tcW w:type="dxa" w:w="4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LeapMoney Implementation</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DL-1: Regulated entity primacy</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loans must be disbursed by a Regulated Entity (RE); LSPs cannot disburse</w:t>
            </w:r>
          </w:p>
        </w:tc>
        <w:tc>
          <w:tcPr>
            <w:tcW w:type="dxa" w:w="4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never holds or disburses funds; all disbursals via lender partner bank/NBFC accounts</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DL-2: Loan contract</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sanction letter must be issued by RE on RE letterhead before disbursal</w:t>
            </w:r>
          </w:p>
        </w:tc>
        <w:tc>
          <w:tcPr>
            <w:tcW w:type="dxa" w:w="4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decision flow includes sanction letter generation; LeapMoney does not generate loan contracts</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DL-3: KFS (Key Fact Statement)</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KFS must be provided to borrower before loan acceptance; plain language; all-in APR disclosed</w:t>
            </w:r>
          </w:p>
        </w:tc>
        <w:tc>
          <w:tcPr>
            <w:tcW w:type="dxa" w:w="4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displays lender-provided KFS in comparison and match result screens; borrower must acknowledge</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DL-4: All-in cost disclosure</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Annual Percentage Rate (APR) including all fees must be disclosed upfront</w:t>
            </w:r>
          </w:p>
        </w:tc>
        <w:tc>
          <w:tcPr>
            <w:tcW w:type="dxa" w:w="4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AIBankComparison and MatchResult components display APR, not just interest rate; fees explicitly itemised</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DL-5: Direct bank account disbursal</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amount must be disbursed directly to borrower's bank account; no pass-through via LSP</w:t>
            </w:r>
          </w:p>
        </w:tc>
        <w:tc>
          <w:tcPr>
            <w:tcW w:type="dxa" w:w="4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Technical architecture ensures LeapMoney has no access to loan funds; funds flow RE → borrower account</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DL-6: No unauthorised data access</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LSP cannot access device data (contacts, media, location) beyond what is essential</w:t>
            </w:r>
          </w:p>
        </w:tc>
        <w:tc>
          <w:tcPr>
            <w:tcW w:type="dxa" w:w="4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 does not request device contacts, camera (except doc upload), or background location access</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DL-7: Cooling off period</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must have option to exit loan within cooling off period (lender-defined; minimum 3 days for retail)</w:t>
            </w:r>
          </w:p>
        </w:tc>
        <w:tc>
          <w:tcPr>
            <w:tcW w:type="dxa" w:w="4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Exit / loan cancellation CTA shown in application tracker for 72h post-sanction</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DL-8: Grievance officer</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Each RE and LSP must have a named grievance officer with contact details</w:t>
            </w:r>
          </w:p>
        </w:tc>
        <w:tc>
          <w:tcPr>
            <w:tcW w:type="dxa" w:w="4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Grievance Officer appointed; contact displayed in app footer, Privacy Policy, and onboarding</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DL-9: Data storage restriction</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borrower data must be stored in India</w:t>
            </w:r>
          </w:p>
        </w:tc>
        <w:tc>
          <w:tcPr>
            <w:tcW w:type="dxa" w:w="4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on AWS ap-south-1 (Mumbai); confirmed in Phase 7 Infrastructure spec</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DL-10: No negative balance</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Lending apps cannot show a negative account balance or mislead on outstanding</w:t>
            </w:r>
          </w:p>
        </w:tc>
        <w:tc>
          <w:tcPr>
            <w:tcW w:type="dxa" w:w="4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does not show account balances; only application status and disbursed amount (lender-provided)</w:t>
            </w:r>
          </w:p>
        </w:tc>
      </w:tr>
    </w:tbl>
    <w:p>
      <w:pPr>
        <w:spacing w:after="0" w:before="0"/>
      </w:pPr>
    </w:p>
    <w:p>
      <w:pPr>
        <w:pStyle w:val="Heading2"/>
        <w:spacing w:after="80" w:before="320"/>
      </w:pPr>
      <w:r>
        <w:t xml:space="preserve">3.2  RBI Fair Practices Code (FPC) for NBFCs — DLSP Alignment</w:t>
      </w:r>
    </w:p>
    <w:p>
      <w:pPr>
        <w:spacing w:after="60" w:before="60"/>
      </w:pPr>
      <w:r>
        <w:rPr>
          <w:rFonts w:ascii="Calibri" w:cs="Calibri" w:eastAsia="Calibri" w:hAnsi="Calibri"/>
          <w:color w:val="1E293B"/>
          <w:sz w:val="20"/>
          <w:szCs w:val="20"/>
        </w:rPr>
        <w:t xml:space="preserve">While LeapMoney is not itself an NBFC, its lender partners are bound by the FPC. LeapMoney's platform design must not enable or facilitate FPC violations by lender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FPC Requirement</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LeapMoney's Role</w:t>
            </w:r>
          </w:p>
        </w:tc>
        <w:tc>
          <w:tcPr>
            <w:tcW w:type="dxa" w:w="4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Technical Control</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Transparent loan terms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Display complete KFS before application submission</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KFS acknowledgement checkbox mandatory before proceeding; audit-logged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misleading advertising</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rate claims on Website V2 are "starting from" with full disclosure of variability</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Copywriting guidelines in design system; ops review before publish</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Interest rate transparency</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Effective APR shown, not just nominal rate</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ComparisonTable displays APR column; lender product config requires APR field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coercive recovery</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cannot facilitate coercive recovery practices by lenders</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has no role in loan recovery; communication with borrowers ceases post-disbursal except for platform notifications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redressal at lender level</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Lenders must have their own grievance mechanism</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requires lender to provide grievance officer details; shown to borrowers at application stage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penal charges on penal charges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Compound penal interest is prohibited</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does not compute or display penalty charges; that is exclusively lender responsibility</w:t>
            </w:r>
          </w:p>
        </w:tc>
      </w:tr>
    </w:tbl>
    <w:p>
      <w:pPr>
        <w:spacing w:after="0" w:before="0"/>
      </w:pPr>
    </w:p>
    <w:p>
      <w:pPr>
        <w:pStyle w:val="Heading2"/>
        <w:spacing w:after="80" w:before="320"/>
      </w:pPr>
      <w:r>
        <w:t xml:space="preserve">3.3  Prohibited Practices (Platform-Wide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12"/>
              <w:left w:val="single" w:color="DC2626" w:sz="12"/>
              <w:bottom w:val="none" w:color="auto" w:sz="0"/>
              <w:right w:val="none" w:color="auto" w:sz="0"/>
            </w:tcBorders>
            <w:shd w:fill="FEF2F2"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Dark Patterns — Zero Tolerance</w:t>
            </w:r>
          </w:p>
          <w:p>
            <w:pPr>
              <w:spacing w:after="0" w:before="0"/>
            </w:pPr>
            <w:r>
              <w:rPr>
                <w:rFonts w:ascii="Calibri" w:cs="Calibri" w:eastAsia="Calibri" w:hAnsi="Calibri"/>
                <w:color w:val="1E293B"/>
                <w:sz w:val="18"/>
                <w:szCs w:val="18"/>
              </w:rPr>
              <w:t xml:space="preserve">The following practices are explicitly prohibited on the LeapMoney platform and must be enforced at design review, code review, and ops QA stages: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Prohibited Practice</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Description</w:t>
            </w:r>
          </w:p>
        </w:tc>
        <w:tc>
          <w:tcPr>
            <w:tcW w:type="dxa" w:w="3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Enforcement Layer</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Pre-ticked consent boxes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consent checkbox defaulted to checked</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Design review + automated QA test</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Hidden fees in match results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Processing fees, insurance charges, or other fees not shown upfront</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config validation: APR field mandatory; comparison table fee row mandatory</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False urgency</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"Only 2 spots left" or countdown timers on loan offers that are not genuine</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Copywriting policy; UI review</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Misrepresentation of approval probability</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Showing HIGH confidence for a profile that clearly won't qualify</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APE model accuracy reviews; confidence band calibration quarterly</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Coercive upsell</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Forcing borrowers to opt into insurance or add-ons to proceed</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bundled product screens; opt-out default on any ancillary products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Unauthorised auto-debit setup</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Setting up auto-debit without explicit NACH mandate from borrower</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does not set up repayment mandates; that is exclusively lender responsibility</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Penal interest non-disclosure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not disclosing penal interest rate in KFS</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KFS completeness validation in Lender Portal; incomplete KFS blocks submission</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Misleading "pre-approved" claims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Showing "pre-approved" without running eligibility checks</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Language policy: use "High Match Probability" or "Strong Candidate" — never "Pre-Approved"</w:t>
            </w:r>
          </w:p>
        </w:tc>
      </w:tr>
    </w:tbl>
    <w:p>
      <w:pPr>
        <w:spacing w:after="0" w:before="0"/>
      </w:pPr>
    </w:p>
    <w:p>
      <w:pPr>
        <w:pStyle w:val="Heading2"/>
        <w:spacing w:after="80" w:before="320"/>
      </w:pPr>
      <w:r>
        <w:t xml:space="preserve">3.4  DLT Registration (TRAI)</w:t>
      </w:r>
    </w:p>
    <w:p>
      <w:pPr>
        <w:spacing w:after="60" w:before="60"/>
      </w:pPr>
      <w:r>
        <w:rPr>
          <w:rFonts w:ascii="Calibri" w:cs="Calibri" w:eastAsia="Calibri" w:hAnsi="Calibri"/>
          <w:color w:val="1E293B"/>
          <w:sz w:val="20"/>
          <w:szCs w:val="20"/>
        </w:rPr>
        <w:t xml:space="preserve">All commercial communications (WhatsApp, SMS) sent by LeapMoney must comply with TRAI Telecom Commercial Communications Customer Preference Regulations (TCCCPR) and be registered on the DLT (Distributed Ledger Technology) platform:</w:t>
      </w:r>
    </w:p>
    <w:p>
      <w:pPr>
        <w:pStyle w:val="ListParagraph"/>
        <w:numPr>
          <w:ilvl w:val="0"/>
          <w:numId w:val="1"/>
        </w:numPr>
        <w:spacing w:after="40" w:before="40"/>
      </w:pPr>
      <w:r>
        <w:rPr>
          <w:rFonts w:ascii="Calibri" w:cs="Calibri" w:eastAsia="Calibri" w:hAnsi="Calibri"/>
          <w:color w:val="1E293B"/>
          <w:sz w:val="20"/>
          <w:szCs w:val="20"/>
        </w:rPr>
        <w:t xml:space="preserve">Entity registration: LeapMoney registered as Principal Entity on TRAI DLT (Vodafone Idea / Jio / Airtel DLT portals)</w:t>
      </w:r>
    </w:p>
    <w:p>
      <w:pPr>
        <w:pStyle w:val="ListParagraph"/>
        <w:numPr>
          <w:ilvl w:val="0"/>
          <w:numId w:val="1"/>
        </w:numPr>
        <w:spacing w:after="40" w:before="40"/>
      </w:pPr>
      <w:r>
        <w:rPr>
          <w:rFonts w:ascii="Calibri" w:cs="Calibri" w:eastAsia="Calibri" w:hAnsi="Calibri"/>
          <w:color w:val="1E293B"/>
          <w:sz w:val="20"/>
          <w:szCs w:val="20"/>
        </w:rPr>
        <w:t xml:space="preserve">Template registration: all WhatsApp and SMS templates registered on DLT before first send; template ID stored in template_registry table</w:t>
      </w:r>
    </w:p>
    <w:p>
      <w:pPr>
        <w:pStyle w:val="ListParagraph"/>
        <w:numPr>
          <w:ilvl w:val="0"/>
          <w:numId w:val="1"/>
        </w:numPr>
        <w:spacing w:after="40" w:before="40"/>
      </w:pPr>
      <w:r>
        <w:rPr>
          <w:rFonts w:ascii="Calibri" w:cs="Calibri" w:eastAsia="Calibri" w:hAnsi="Calibri"/>
          <w:color w:val="1E293B"/>
          <w:sz w:val="20"/>
          <w:szCs w:val="20"/>
        </w:rPr>
        <w:t xml:space="preserve">Header registration: sender ID / WhatsApp Business number registered and verified</w:t>
      </w:r>
    </w:p>
    <w:p>
      <w:pPr>
        <w:pStyle w:val="ListParagraph"/>
        <w:numPr>
          <w:ilvl w:val="0"/>
          <w:numId w:val="1"/>
        </w:numPr>
        <w:spacing w:after="40" w:before="40"/>
      </w:pPr>
      <w:r>
        <w:rPr>
          <w:rFonts w:ascii="Calibri" w:cs="Calibri" w:eastAsia="Calibri" w:hAnsi="Calibri"/>
          <w:color w:val="1E293B"/>
          <w:sz w:val="20"/>
          <w:szCs w:val="20"/>
        </w:rPr>
        <w:t xml:space="preserve">Consent mode mapping: all marketing templates tagged as "Promotional" on DLT; transactional templates tagged "Transactional"</w:t>
      </w:r>
    </w:p>
    <w:p>
      <w:pPr>
        <w:pStyle w:val="ListParagraph"/>
        <w:numPr>
          <w:ilvl w:val="0"/>
          <w:numId w:val="1"/>
        </w:numPr>
        <w:spacing w:after="40" w:before="40"/>
      </w:pPr>
      <w:r>
        <w:rPr>
          <w:rFonts w:ascii="Calibri" w:cs="Calibri" w:eastAsia="Calibri" w:hAnsi="Calibri"/>
          <w:color w:val="1E293B"/>
          <w:sz w:val="20"/>
          <w:szCs w:val="20"/>
        </w:rPr>
        <w:t xml:space="preserve">Scrubbing: national NDNC (Do Not Call) registry scrubbing before any promotional communication; automated via 360dialog BSP compliance layer</w:t>
      </w:r>
    </w:p>
    <w:p>
      <w:r>
        <w:br w:type="page"/>
      </w:r>
    </w:p>
    <w:p>
      <w:pPr>
        <w:pStyle w:val="Heading1"/>
        <w:pBdr>
          <w:bottom w:val="single" w:color="0D9488" w:sz="6"/>
        </w:pBdr>
        <w:spacing w:after="120" w:before="480"/>
      </w:pPr>
      <w:r>
        <w:t xml:space="preserve">4  Consent Governance Framework</w:t>
      </w:r>
    </w:p>
    <w:p>
      <w:pPr>
        <w:spacing w:after="60" w:before="60"/>
      </w:pPr>
      <w:r>
        <w:rPr>
          <w:rFonts w:ascii="Calibri" w:cs="Calibri" w:eastAsia="Calibri" w:hAnsi="Calibri"/>
          <w:color w:val="1E293B"/>
          <w:sz w:val="20"/>
          <w:szCs w:val="20"/>
        </w:rPr>
        <w:t xml:space="preserve">Consent is the legal cornerstone of LeapMoney's data processing. This section defines the complete consent lifecycle — from capture to versioning, withdrawal, and expiry. Every consent event is a first-class, immutable, auditable record.</w:t>
      </w:r>
    </w:p>
    <w:p>
      <w:pPr>
        <w:spacing w:after="0" w:before="0"/>
      </w:pPr>
    </w:p>
    <w:p>
      <w:pPr>
        <w:pStyle w:val="Heading2"/>
        <w:spacing w:after="80" w:before="320"/>
      </w:pPr>
      <w:r>
        <w:t xml:space="preserve">4.1  Consent Types &amp;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Consent Type</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When Captured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Purpose</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Mandatory</w:t>
            </w:r>
          </w:p>
        </w:tc>
        <w:tc>
          <w:tcPr>
            <w:tcW w:type="dxa" w:w="1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Expiry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Platform Terms &amp; Privacy Policy</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Onboarding Step 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Agreement to T&amp;C and Privacy Policy as a whole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(gate)</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expiry — re-consent on T&amp;C version change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Processing Consent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Onboarding Step 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Processing personal data for eligibility assessment and loan matching</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(gate)</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expiry — until withdrawn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Transactional</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Onboarding Step 2 (auto-included in data processing)</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Receiving transactional WhatsApp messages (status updates, OTPs)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(gate)</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expiry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Marketing Opt-in</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Onboarding Step 3 (optional)</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Receiving promotional and re-engagement WhatsApp messages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(optional)</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expiry — until STOP or toggle off</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 Marketing Opt-in</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Onboarding Step 3 (optional)</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Receiving promotional email content</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(optional)</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expiry — until unsubscribe or toggle off</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Soft Pull</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Inline — before eligibility pre-screen</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Running soft bureau inquiry for eligibility estimate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for soft pull to proceed</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 session (no persistent record required)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Hard Pull (Critical)</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Pre-matching — dedicated consent gate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Running hard CIBIL/Experian inquiry; creates bureau footprint</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(gate — cannot skip)</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 months from grant date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Share with Lender</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Per-lender, per-document-type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Sharing specified documents with a named lender</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per lender</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72 hours from grant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Data Access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Per-lender at application stage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Sharing application data with matched lender(s)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(required to proceed with application)</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Duration of application review</w:t>
            </w:r>
          </w:p>
        </w:tc>
      </w:tr>
    </w:tbl>
    <w:p>
      <w:pPr>
        <w:spacing w:after="0" w:before="0"/>
      </w:pPr>
    </w:p>
    <w:p>
      <w:pPr>
        <w:pStyle w:val="Heading2"/>
        <w:spacing w:after="80" w:before="320"/>
      </w:pPr>
      <w:r>
        <w:t xml:space="preserve">4.2  Consent Record Schema (user_consent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Column</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Type</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UUID (PK)</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gen_random_uuid()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user_id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UUID → users_profile</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whose consent this is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consent_type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ENUM</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platform_terms | data_processing | whatsapp_transactional | whatsapp_marketing | email_marketing | bureau_soft_pull | bureau_hard_pull | document_share | lender_data_access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purpose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TEXT</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Specific purpose statement (matches text shown to user at consent point)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version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TEXT</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version (e.g. "privacy_policy_v2.1"); enables re-consent on version change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granted_at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TIMESTAMPTZ</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Server-side NOW() — client cannot set this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expires_at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TIMESTAMPTZ | NULL</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NULL for indefinite; hard_pull: NOW() + 12 months; document_share: NOW() + 72h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revoked_at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TIMESTAMPTZ | NULL</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Set when user withdraws consent; NULL if active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revocation_reason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TEXT | NULL</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User-provided reason or "user_initiated" / "stop_keyword" / "admin_revoke"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surface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TEXT</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Which app surface captured consent: website | borrower_app | dsa_submission | admin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ip_address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INET</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IP at consent time (for forensic purposes)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user_agent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TEXT</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Browser/device user-agent at consent time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lender_id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UUID | NULL</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 lender_data_access and document_share consent types only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document_types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TEXT[] | NULL</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 document_share consent type: list of document categories consented to</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created_at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TIMESTAMPTZ</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Same as granted_at; stored for RLS and partitioning</w:t>
            </w:r>
          </w:p>
        </w:tc>
      </w:tr>
    </w:tbl>
    <w:p>
      <w:pPr>
        <w:spacing w:after="0" w:before="0"/>
      </w:pPr>
    </w:p>
    <w:p>
      <w:pPr>
        <w:pStyle w:val="Heading2"/>
        <w:spacing w:after="80" w:before="320"/>
      </w:pPr>
      <w:r>
        <w:t xml:space="preserve">4.3  Consent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Description</w:t>
            </w:r>
          </w:p>
        </w:tc>
        <w:tc>
          <w:tcPr>
            <w:tcW w:type="dxa" w:w="4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Transition</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PENDING</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prompt displayed; user has not yet responded</w:t>
            </w:r>
          </w:p>
        </w:tc>
        <w:tc>
          <w:tcPr>
            <w:tcW w:type="dxa" w:w="4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GRANTED (user clicks consent) | → DECLINED (user declines)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GRANTED</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 explicitly consented; record persisted</w:t>
            </w:r>
          </w:p>
        </w:tc>
        <w:tc>
          <w:tcPr>
            <w:tcW w:type="dxa" w:w="4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EXPIRED (expires_at reached) | → REVOKED (user withdraws)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DECLINED</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 declined consent (optional consents only)</w:t>
            </w:r>
          </w:p>
        </w:tc>
        <w:tc>
          <w:tcPr>
            <w:tcW w:type="dxa" w:w="4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GRANTED (user opts in later via preference settings)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EXPIRED</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TTL reached (hard pull: 12 months; doc share: 72h)</w:t>
            </w:r>
          </w:p>
        </w:tc>
        <w:tc>
          <w:tcPr>
            <w:tcW w:type="dxa" w:w="4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GRANTED (user re-consents via fresh prompt)</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REVOKED</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 withdrew consent; processing must cease for this purpose</w:t>
            </w:r>
          </w:p>
        </w:tc>
        <w:tc>
          <w:tcPr>
            <w:tcW w:type="dxa" w:w="4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Terminal — new consent requires fresh record (cannot reactivate old record)</w:t>
            </w:r>
          </w:p>
        </w:tc>
      </w:tr>
    </w:tbl>
    <w:p>
      <w:pPr>
        <w:spacing w:after="0" w:before="0"/>
      </w:pPr>
    </w:p>
    <w:p>
      <w:pPr>
        <w:pStyle w:val="Heading2"/>
        <w:spacing w:after="80" w:before="320"/>
      </w:pPr>
      <w:r>
        <w:t xml:space="preserve">4.4  Consent Versioning &amp; Re-Consent Rules</w:t>
      </w:r>
    </w:p>
    <w:p>
      <w:pPr>
        <w:pStyle w:val="ListParagraph"/>
        <w:numPr>
          <w:ilvl w:val="0"/>
          <w:numId w:val="1"/>
        </w:numPr>
        <w:spacing w:after="40" w:before="40"/>
      </w:pPr>
      <w:r>
        <w:rPr>
          <w:rFonts w:ascii="Calibri" w:cs="Calibri" w:eastAsia="Calibri" w:hAnsi="Calibri"/>
          <w:color w:val="1E293B"/>
          <w:sz w:val="20"/>
          <w:szCs w:val="20"/>
        </w:rPr>
        <w:t xml:space="preserve">Every document (Privacy Policy, Terms &amp; Conditions) has an explicit version string (e.g. "v2.1 — June 2026")</w:t>
      </w:r>
    </w:p>
    <w:p>
      <w:pPr>
        <w:pStyle w:val="ListParagraph"/>
        <w:numPr>
          <w:ilvl w:val="0"/>
          <w:numId w:val="1"/>
        </w:numPr>
        <w:spacing w:after="40" w:before="40"/>
      </w:pPr>
      <w:r>
        <w:rPr>
          <w:rFonts w:ascii="Calibri" w:cs="Calibri" w:eastAsia="Calibri" w:hAnsi="Calibri"/>
          <w:color w:val="1E293B"/>
          <w:sz w:val="20"/>
          <w:szCs w:val="20"/>
        </w:rPr>
        <w:t xml:space="preserve">Version stored in consent record; on next login, system checks if current document version matches consented version</w:t>
      </w:r>
    </w:p>
    <w:p>
      <w:pPr>
        <w:pStyle w:val="ListParagraph"/>
        <w:numPr>
          <w:ilvl w:val="0"/>
          <w:numId w:val="1"/>
        </w:numPr>
        <w:spacing w:after="40" w:before="40"/>
      </w:pPr>
      <w:r>
        <w:rPr>
          <w:rFonts w:ascii="Calibri" w:cs="Calibri" w:eastAsia="Calibri" w:hAnsi="Calibri"/>
          <w:color w:val="1E293B"/>
          <w:sz w:val="20"/>
          <w:szCs w:val="20"/>
        </w:rPr>
        <w:t xml:space="preserve">If mismatch: user presented with "Updated Policy" interstitial showing a diff summary; must re-consent before proceeding</w:t>
      </w:r>
    </w:p>
    <w:p>
      <w:pPr>
        <w:pStyle w:val="ListParagraph"/>
        <w:numPr>
          <w:ilvl w:val="0"/>
          <w:numId w:val="1"/>
        </w:numPr>
        <w:spacing w:after="40" w:before="40"/>
      </w:pPr>
      <w:r>
        <w:rPr>
          <w:rFonts w:ascii="Calibri" w:cs="Calibri" w:eastAsia="Calibri" w:hAnsi="Calibri"/>
          <w:color w:val="1E293B"/>
          <w:sz w:val="20"/>
          <w:szCs w:val="20"/>
        </w:rPr>
        <w:t xml:space="preserve">Minor updates (typo fixes, formatting): version patch increment (v2.0 → v2.0.1); no re-consent required if no material change to data processing</w:t>
      </w:r>
    </w:p>
    <w:p>
      <w:pPr>
        <w:pStyle w:val="ListParagraph"/>
        <w:numPr>
          <w:ilvl w:val="0"/>
          <w:numId w:val="1"/>
        </w:numPr>
        <w:spacing w:after="40" w:before="40"/>
      </w:pPr>
      <w:r>
        <w:rPr>
          <w:rFonts w:ascii="Calibri" w:cs="Calibri" w:eastAsia="Calibri" w:hAnsi="Calibri"/>
          <w:color w:val="1E293B"/>
          <w:sz w:val="20"/>
          <w:szCs w:val="20"/>
        </w:rPr>
        <w:t xml:space="preserve">Material updates (new data category, new purpose, new third party): version minor increment (v2.0 → v2.1); re-consent mandatory</w:t>
      </w:r>
    </w:p>
    <w:p>
      <w:pPr>
        <w:pStyle w:val="ListParagraph"/>
        <w:numPr>
          <w:ilvl w:val="0"/>
          <w:numId w:val="1"/>
        </w:numPr>
        <w:spacing w:after="40" w:before="40"/>
      </w:pPr>
      <w:r>
        <w:rPr>
          <w:rFonts w:ascii="Calibri" w:cs="Calibri" w:eastAsia="Calibri" w:hAnsi="Calibri"/>
          <w:color w:val="1E293B"/>
          <w:sz w:val="20"/>
          <w:szCs w:val="20"/>
        </w:rPr>
        <w:t xml:space="preserve">Major restructuring: version major increment (v2.x → v3.0); re-consent mandatory</w:t>
      </w:r>
    </w:p>
    <w:p>
      <w:pPr>
        <w:spacing w:after="0" w:before="0"/>
      </w:pPr>
    </w:p>
    <w:p>
      <w:pPr>
        <w:pStyle w:val="Heading2"/>
        <w:spacing w:after="80" w:before="320"/>
      </w:pPr>
      <w:r>
        <w:t xml:space="preserve">4.5  Consent Withdrawal Architecture</w:t>
      </w:r>
    </w:p>
    <w:p>
      <w:pPr>
        <w:pStyle w:val="ListParagraph"/>
        <w:numPr>
          <w:ilvl w:val="0"/>
          <w:numId w:val="1"/>
        </w:numPr>
        <w:spacing w:after="40" w:before="40"/>
      </w:pPr>
      <w:r>
        <w:rPr>
          <w:rFonts w:ascii="Calibri" w:cs="Calibri" w:eastAsia="Calibri" w:hAnsi="Calibri"/>
          <w:color w:val="1E293B"/>
          <w:sz w:val="20"/>
          <w:szCs w:val="20"/>
        </w:rPr>
        <w:t xml:space="preserve">WhatsApp marketing: STOP keyword → instant revocation record → CRM blocks all marketing sends → confirmation message sent to user</w:t>
      </w:r>
    </w:p>
    <w:p>
      <w:pPr>
        <w:pStyle w:val="ListParagraph"/>
        <w:numPr>
          <w:ilvl w:val="0"/>
          <w:numId w:val="1"/>
        </w:numPr>
        <w:spacing w:after="40" w:before="40"/>
      </w:pPr>
      <w:r>
        <w:rPr>
          <w:rFonts w:ascii="Calibri" w:cs="Calibri" w:eastAsia="Calibri" w:hAnsi="Calibri"/>
          <w:color w:val="1E293B"/>
          <w:sz w:val="20"/>
          <w:szCs w:val="20"/>
        </w:rPr>
        <w:t xml:space="preserve">Email marketing: unsubscribe link in every marketing email → one-click revocation → Resend suppression list updated → CRM updated</w:t>
      </w:r>
    </w:p>
    <w:p>
      <w:pPr>
        <w:pStyle w:val="ListParagraph"/>
        <w:numPr>
          <w:ilvl w:val="0"/>
          <w:numId w:val="1"/>
        </w:numPr>
        <w:spacing w:after="40" w:before="40"/>
      </w:pPr>
      <w:r>
        <w:rPr>
          <w:rFonts w:ascii="Calibri" w:cs="Calibri" w:eastAsia="Calibri" w:hAnsi="Calibri"/>
          <w:color w:val="1E293B"/>
          <w:sz w:val="20"/>
          <w:szCs w:val="20"/>
        </w:rPr>
        <w:t xml:space="preserve">In-app toggle: Notification Preferences screen in Borrower App → per-channel, per-event-type toggles → writes to notification_preferences + revokes corresponding consent record</w:t>
      </w:r>
    </w:p>
    <w:p>
      <w:pPr>
        <w:pStyle w:val="ListParagraph"/>
        <w:numPr>
          <w:ilvl w:val="0"/>
          <w:numId w:val="1"/>
        </w:numPr>
        <w:spacing w:after="40" w:before="40"/>
      </w:pPr>
      <w:r>
        <w:rPr>
          <w:rFonts w:ascii="Calibri" w:cs="Calibri" w:eastAsia="Calibri" w:hAnsi="Calibri"/>
          <w:color w:val="1E293B"/>
          <w:sz w:val="20"/>
          <w:szCs w:val="20"/>
        </w:rPr>
        <w:t xml:space="preserve">Full data erasure request: Account Deletion flow in Profile → triggers erasure workflow → PII nulled within 30 days → confirmation email sent → audit_log record created</w:t>
      </w:r>
    </w:p>
    <w:p>
      <w:pPr>
        <w:pStyle w:val="ListParagraph"/>
        <w:numPr>
          <w:ilvl w:val="0"/>
          <w:numId w:val="1"/>
        </w:numPr>
        <w:spacing w:after="40" w:before="40"/>
      </w:pPr>
      <w:r>
        <w:rPr>
          <w:rFonts w:ascii="Calibri" w:cs="Calibri" w:eastAsia="Calibri" w:hAnsi="Calibri"/>
          <w:color w:val="1E293B"/>
          <w:sz w:val="20"/>
          <w:szCs w:val="20"/>
        </w:rPr>
        <w:t xml:space="preserve">Bureau hard pull revocation: user cannot revoke after bureau pull has occurred (the footprint already exists with the bureau) — this is disclosed at consent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45309" w:sz="12"/>
              <w:left w:val="single" w:color="B45309" w:sz="12"/>
              <w:bottom w:val="none" w:color="auto" w:sz="0"/>
              <w:right w:val="none" w:color="auto" w:sz="0"/>
            </w:tcBorders>
            <w:shd w:fill="FEF3C7"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Bureau Consent Non-Revocability</w:t>
            </w:r>
          </w:p>
          <w:p>
            <w:pPr>
              <w:spacing w:after="0" w:before="0"/>
            </w:pPr>
            <w:r>
              <w:rPr>
                <w:rFonts w:ascii="Calibri" w:cs="Calibri" w:eastAsia="Calibri" w:hAnsi="Calibri"/>
                <w:color w:val="1E293B"/>
                <w:sz w:val="18"/>
                <w:szCs w:val="18"/>
              </w:rPr>
              <w:t xml:space="preserve">Borrowers must be informed at the hard pull consent gate that withdrawing consent after the bureau inquiry has been submitted does not remove the enquiry from their CIBIL/Experian record. The consent gate copy must include this disclosure explicitly.</w:t>
            </w:r>
          </w:p>
        </w:tc>
      </w:tr>
    </w:tbl>
    <w:p>
      <w:r>
        <w:br w:type="page"/>
      </w:r>
    </w:p>
    <w:p>
      <w:pPr>
        <w:pStyle w:val="Heading1"/>
        <w:pBdr>
          <w:bottom w:val="single" w:color="0D9488" w:sz="6"/>
        </w:pBdr>
        <w:spacing w:after="120" w:before="480"/>
      </w:pPr>
      <w:r>
        <w:t xml:space="preserve">5  Fraud Prevention Framework</w:t>
      </w:r>
    </w:p>
    <w:p>
      <w:pPr>
        <w:spacing w:after="60" w:before="60"/>
      </w:pPr>
      <w:r>
        <w:rPr>
          <w:rFonts w:ascii="Calibri" w:cs="Calibri" w:eastAsia="Calibri" w:hAnsi="Calibri"/>
          <w:color w:val="1E293B"/>
          <w:sz w:val="20"/>
          <w:szCs w:val="20"/>
        </w:rPr>
        <w:t xml:space="preserve">LeapMoney faces fraud risk across all surfaces and all user types. This section defines the threat model, detection controls, and response procedures for each fraud vector. The framework uses a layered defence model — no single control is relied upon in isolation.</w:t>
      </w:r>
    </w:p>
    <w:p>
      <w:pPr>
        <w:spacing w:after="0" w:before="0"/>
      </w:pPr>
    </w:p>
    <w:p>
      <w:pPr>
        <w:pStyle w:val="Heading2"/>
        <w:spacing w:after="80" w:before="320"/>
      </w:pPr>
      <w:r>
        <w:t xml:space="preserve">5.1  Fraud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Fraud Type</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Actor</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Target</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Risk Level</w:t>
            </w:r>
          </w:p>
        </w:tc>
        <w:tc>
          <w:tcPr>
            <w:tcW w:type="dxa" w:w="2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Description</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fraud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External fraudster</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application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Using stolen PAN, Aadhaar, or identity to submit fraudulent loan applications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Synthetic identity fraud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External fraudster</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application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Creating a fictitious identity by combining real and fabricated data elements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forgery</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or fraudster</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KYC/income verification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Submitting fake or digitally altered salary slips, bank statements, or ID documents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stacking</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Multiple lender applications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Submitting simultaneous applications to multiple lenders without disclosure; inflating credit exposure</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lead fraud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Rogue DSA agent</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system</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Submitting fake or ineligible leads to inflate commission earnings; creating fictitious borrower profiles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Partner click fraud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Rogue referral partner</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Attribution system</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Generating fake referral clicks or self-referring to inflate commission earnings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Account takeover (ATO)</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External fraudster</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Borrower/DSA account</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Gaining unauthorised access to a legitimate user's account via credential stuffing or SIM swap</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OTP bypass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External fraudster</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Authentication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Intercepting or social-engineering OTP to bypass mobile auth</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data scraping</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Competitor or fraudster</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 API</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Automated scraping of lender product rates, match results, or borrower scorecards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Insider fraud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Employee or ops team member</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PII / lender data</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Unauthorised access to or exfiltration of sensitive data by internal staff</w:t>
            </w:r>
          </w:p>
        </w:tc>
      </w:tr>
    </w:tbl>
    <w:p>
      <w:pPr>
        <w:spacing w:after="0" w:before="0"/>
      </w:pPr>
    </w:p>
    <w:p>
      <w:pPr>
        <w:pStyle w:val="Heading2"/>
        <w:spacing w:after="80" w:before="320"/>
      </w:pPr>
      <w:r>
        <w:t xml:space="preserve">5.2  Fraud Prevention — Borrower Application 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Control</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Layer</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Implementation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deduplication</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layer</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(stored as hash) checked across all applications; duplicate PAN with different mobile = flag for ops review</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number deduplication</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Auth layer</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Each mobile number linked to exactly one account; duplicate OTP requests from same mobile flagged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Name matching against PAN</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verification</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Name declared by borrower matched against PAN API response (fuzzy match ≥ 80%); mismatch → flag</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Aadhaar + PAN linkage check</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verification</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PAN-Aadhaar linkage status verified via ITD API; unlinked PAN → warning shown; blocking at high risk threshold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enquiry velocity check</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CIE</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borrower has &gt;4 hard enquiries in past 30 days → STALE_IDENTITY flag → escalate to ops before routing</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Income document AI scan</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processing</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Bank statement and salary slip uploaded documents run through basic sanity check: font consistency, metadata date, file creation date vs stated period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FOIR plausibility check</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declared income produces FOIR &lt; 10% with stated EMIs → implausible; flag for verification</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velocity limit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Rate limiter</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Maximum 3 loan applications per borrower per 90-day period; 4th application triggers ops review</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Device consistency check</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Device risk layer</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borrower submits application from a device + IP combination not seen in last 30 days → challenge step (re-OTP)</w:t>
            </w:r>
          </w:p>
        </w:tc>
      </w:tr>
    </w:tbl>
    <w:p>
      <w:pPr>
        <w:spacing w:after="0" w:before="0"/>
      </w:pPr>
    </w:p>
    <w:p>
      <w:pPr>
        <w:pStyle w:val="Heading2"/>
        <w:spacing w:after="80" w:before="320"/>
      </w:pPr>
      <w:r>
        <w:t xml:space="preserve">5.3  Fraud Prevention — DSA 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Control</w:t>
            </w:r>
          </w:p>
        </w:tc>
        <w:tc>
          <w:tcPr>
            <w:tcW w:type="dxa" w:w="6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Implementation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deduplication</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Before accepting DSA-submitted lead: check if same PAN already has an active application in the platform (via any channel)</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verification call</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team calls borrower mobile within 24h of DSA-submitted lead to confirm consent to apply and identity; lead advances only on confirmation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velocity limits</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Maximum 20 new leads per DSA per 7-day period; &gt;20 triggers manager review + ops scrutiny</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Suspicious pattern detection</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&gt;50% of a DSA's leads are disqualified as ineligible, or &gt;30% have mobile number mismatches, DSA account flagged for investigation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authenticity check</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documents submitted by DSA on behalf of borrower run through same document checks as borrower-submitted docs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hold period</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Commissions held for 30 days post-disbursal before payout to allow for early default or fraud reversal</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Blacklist integration</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PAN checked against internal blacklist (fraudulent agents); checked against available RBI defaulter lists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consent capture</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must confirm via WhatsApp link that they authorised the DSA to submit on their behalf before lead advances</w:t>
            </w:r>
          </w:p>
        </w:tc>
      </w:tr>
    </w:tbl>
    <w:p>
      <w:pPr>
        <w:spacing w:after="0" w:before="0"/>
      </w:pPr>
    </w:p>
    <w:p>
      <w:pPr>
        <w:pStyle w:val="Heading2"/>
        <w:spacing w:after="80" w:before="320"/>
      </w:pPr>
      <w:r>
        <w:t xml:space="preserve">5.4  Fraud Prevention — Partner Attribution 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Control</w:t>
            </w:r>
          </w:p>
        </w:tc>
        <w:tc>
          <w:tcPr>
            <w:tcW w:type="dxa" w:w="6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Implementation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Click deduplication</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Identical IP + user-agent + link_id within 60 seconds treated as duplicate; only first click recorded</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Conversion validation</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triggered only on disbursal_confirmed event verified by lender; no commission on application_submitted alone</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Self-referral detection</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Partner accessing own referral link from same device as their own partner account → flagged as self-referral; conversion voided</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Attribution hold</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Attribution events held in "pending" state for 72h; forensic review possible before conversion is locked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Partner velocity limits</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link clicks capped at 10,000/day per link; spike above threshold triggers automated fraud alert</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IP diversity requirement</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&gt;80% of clicks on a partner link originate from the same /24 IP subnet → bot traffic flag → commission suspended pending review</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Conversion rate plausibility</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a partner link has click-to-conversion rate &gt;40% (implausibly high) → automated flag for ops review</w:t>
            </w:r>
          </w:p>
        </w:tc>
      </w:tr>
    </w:tbl>
    <w:p>
      <w:pPr>
        <w:spacing w:after="0" w:before="0"/>
      </w:pPr>
    </w:p>
    <w:p>
      <w:pPr>
        <w:pStyle w:val="Heading2"/>
        <w:spacing w:after="80" w:before="320"/>
      </w:pPr>
      <w:r>
        <w:t xml:space="preserve">5.5  Account Takeover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Control</w:t>
            </w:r>
          </w:p>
        </w:tc>
        <w:tc>
          <w:tcPr>
            <w:tcW w:type="dxa" w:w="6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Implementation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SIM swap detection</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OTP is successfully verified but account is accessed from a new device + new city within same session → step-up verification (re-enter DOB + PAN last 4)</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Anomalous session detection</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session IP geolocation changes by &gt;1,000km between two requests in the same session → session terminated; re-authentication required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Concurrent session limit</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Maximum 2 active sessions per user; 3rd session terminates oldest</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Sensitive action re-authentication</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Changing mobile number, bank account, or submitting application from new device requires fresh OTP verification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Failed OTP rate limiting</w:t>
            </w:r>
          </w:p>
        </w:tc>
        <w:tc>
          <w:tcPr>
            <w:tcW w:type="dxa" w:w="6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failed OTP attempts → 10-minute lockout; 5 failed attempts (cumulative) → 1-hour lockout; 10 → manual ops unlock required</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OTP channel locking</w:t>
            </w:r>
          </w:p>
        </w:tc>
        <w:tc>
          <w:tcPr>
            <w:tcW w:type="dxa" w:w="6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OTP sent to the registered mobile number only; cannot request OTP to alternate number without ops-verified identity change flow</w:t>
            </w:r>
          </w:p>
        </w:tc>
      </w:tr>
    </w:tbl>
    <w:p>
      <w:pPr>
        <w:spacing w:after="0" w:before="0"/>
      </w:pPr>
    </w:p>
    <w:p>
      <w:pPr>
        <w:pStyle w:val="Heading2"/>
        <w:spacing w:after="80" w:before="320"/>
      </w:pPr>
      <w:r>
        <w:t xml:space="preserve">5.6  Fraud Alert &amp; Response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Alert Level</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Trigger</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Automated Action</w:t>
            </w:r>
          </w:p>
        </w:tc>
        <w:tc>
          <w:tcPr>
            <w:tcW w:type="dxa" w:w="2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Ops Action</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Single weak signal (e.g. unfamiliar device)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Step-up verification (re-OTP); log to fraud_events table</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Review if pattern continues</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Multiple weak signals or one moderate signal</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Suspend specific action (e.g. block application submission); notify borrower via WhatsApp</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reviews within 4h; clear or escalate</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Strong fraud signal (e.g. PAN-name mismatch, velocity breach)</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Freeze account pending review; block all disbursals related to account</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reviews within 2h; identity re-verification required to reinstate</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Known fraud pattern (document forgery confirmed, multiple synthetic identity signals)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Account permanently suspended; all linked applications cancelled; lender notified</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Senior ops + legal review; potential law enforcement referral</w:t>
            </w:r>
          </w:p>
        </w:tc>
      </w:tr>
    </w:tbl>
    <w:p>
      <w:r>
        <w:br w:type="page"/>
      </w:r>
    </w:p>
    <w:p>
      <w:pPr>
        <w:pStyle w:val="Heading1"/>
        <w:pBdr>
          <w:bottom w:val="single" w:color="0D9488" w:sz="6"/>
        </w:pBdr>
        <w:spacing w:after="120" w:before="480"/>
      </w:pPr>
      <w:r>
        <w:t xml:space="preserve">6  Identity Verification Strategy</w:t>
      </w:r>
    </w:p>
    <w:p>
      <w:pPr>
        <w:spacing w:after="60" w:before="60"/>
      </w:pPr>
      <w:r>
        <w:rPr>
          <w:rFonts w:ascii="Calibri" w:cs="Calibri" w:eastAsia="Calibri" w:hAnsi="Calibri"/>
          <w:color w:val="1E293B"/>
          <w:sz w:val="20"/>
          <w:szCs w:val="20"/>
        </w:rPr>
        <w:t xml:space="preserve">LeapMoney's identity verification architecture establishes the borrower's identity with sufficient confidence for a loan marketplace context. Full KYC (as required by regulated lenders) is ultimately completed by the lending bank or NBFC; LeapMoney performs pre-KYC identity validation to prevent fraud at the lead stage and ensure lender-submitted leads are legitimate.</w:t>
      </w:r>
    </w:p>
    <w:p>
      <w:pPr>
        <w:spacing w:after="0" w:before="0"/>
      </w:pPr>
    </w:p>
    <w:p>
      <w:pPr>
        <w:pStyle w:val="Heading2"/>
        <w:spacing w:after="80" w:before="320"/>
      </w:pPr>
      <w:r>
        <w:t xml:space="preserve">6.1  KYC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Stage</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Name</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Happens</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When</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Required</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L0</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OTP Auth</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number verified as accessible to the claimant at login/signup</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Onboarding Step 1</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Mandatory</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L1</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Self-declaration KYC</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declares name, DOB, PAN last-4, address; not yet verified against official records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Onboarding Step 2</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Mandatory for application</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L2</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Verification</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number and name cross-checked against ITD (Income Tax Dept) PAN verification API; name fuzzy-match ≥ 80%</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Pre-match</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Mandatory before hard pull</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L3</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Upload KYC</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uploads OVD (Officially Valid Document): PAN card, Aadhaar card front (masked), address proof</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Pre-submission</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Mandatory before lender submission</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L4</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Liveness Check</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Selfie comparison against uploaded ID document photo (AI-based face match)</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Pre-submission (if enabled)</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Recommended; initially optional</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L5</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eKYC (via lender)</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performs full Aadhaar eKYC or Video KYC (VKYC) as per RBI norms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At lender stage</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Mandatory — done by lender, not LeapMoney</w:t>
            </w:r>
          </w:p>
        </w:tc>
      </w:tr>
    </w:tbl>
    <w:p>
      <w:pPr>
        <w:spacing w:after="0" w:before="0"/>
      </w:pPr>
    </w:p>
    <w:p>
      <w:pPr>
        <w:pStyle w:val="Heading2"/>
        <w:spacing w:after="80" w:before="320"/>
      </w:pPr>
      <w:r>
        <w:t xml:space="preserve">6.2  PAN Verification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Element</w:t>
            </w:r>
          </w:p>
        </w:tc>
        <w:tc>
          <w:tcPr>
            <w:tcW w:type="dxa" w:w="6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provider</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ITD PAN Verification API (via authorised API aggregator: Surepass / Signzy / IDfy)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 is verified</w:t>
            </w:r>
          </w:p>
        </w:tc>
        <w:tc>
          <w:tcPr>
            <w:tcW w:type="dxa" w:w="6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number format validity; PAN holder name; PAN active status (not blocked/cancelled)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Name matching</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Fuzzy matching (Jaro-Winkler algorithm): declared name vs PAN holder name; threshold ≥ 80% → PASS; 60–79% → MANUAL_REVIEW; &lt;60% → FAIL</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Aadhaar-PAN linkage</w:t>
            </w:r>
          </w:p>
        </w:tc>
        <w:tc>
          <w:tcPr>
            <w:tcW w:type="dxa" w:w="6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PAN-Aadhaar linkage status checked via ITD API; unlinked PAN → warning shown to borrower; not blocking in MVP (mandatory RBI disclosure)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Response caching</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verification result cached in pan_verifications table (borrower_id, pan_hash, result, verified_at); not re-verified if verified within 90 days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Failure handling</w:t>
            </w:r>
          </w:p>
        </w:tc>
        <w:tc>
          <w:tcPr>
            <w:tcW w:type="dxa" w:w="6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 API failure → mark as pan_verification_pending; allow application to proceed; ops review before lender submission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Audit logging</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PAN API call logged to audit_log with borrower_id (hashed), pan_hash (not plaintext), result, requestor_service, timestamp</w:t>
            </w:r>
          </w:p>
        </w:tc>
      </w:tr>
    </w:tbl>
    <w:p>
      <w:pPr>
        <w:spacing w:after="0" w:before="0"/>
      </w:pPr>
    </w:p>
    <w:p>
      <w:pPr>
        <w:pStyle w:val="Heading2"/>
        <w:spacing w:after="80" w:before="320"/>
      </w:pPr>
      <w:r>
        <w:t xml:space="preserve">6.3  OVD (Officially Valid Document)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OVD Type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Accepted For</w:t>
            </w:r>
          </w:p>
        </w:tc>
        <w:tc>
          <w:tcPr>
            <w:tcW w:type="dxa" w:w="4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Verification Method</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Card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proof (primary)</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Visual match + PAN API verification</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Aadhaar Card (front only, UIDAI-masked)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proof + address proof</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Visual check; masked number (last 4 only); no Aadhaar data stored beyond last-4</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Passport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proof + address proof (alternate)</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Visual check; DOB, name match against declared profile</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Voter ID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proof + address proof (alternate)</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Visual check</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Driving Licence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proof + address proof (alternate)</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Visual check; DOB match</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NREGA Job Card (rural borrowers)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Address proof only</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Visual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12"/>
              <w:left w:val="single" w:color="DC2626" w:sz="12"/>
              <w:bottom w:val="none" w:color="auto" w:sz="0"/>
              <w:right w:val="none" w:color="auto" w:sz="0"/>
            </w:tcBorders>
            <w:shd w:fill="FEF2F2"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Aadhaar Storage Restriction</w:t>
            </w:r>
          </w:p>
          <w:p>
            <w:pPr>
              <w:spacing w:after="0" w:before="0"/>
            </w:pPr>
            <w:r>
              <w:rPr>
                <w:rFonts w:ascii="Calibri" w:cs="Calibri" w:eastAsia="Calibri" w:hAnsi="Calibri"/>
                <w:color w:val="1E293B"/>
                <w:sz w:val="18"/>
                <w:szCs w:val="18"/>
              </w:rPr>
              <w:t xml:space="preserve">The Aadhaar Act 2016 prohibits storing or transmitting Aadhaar numbers in full without UIDAI authorisation. LeapMoney must never store a full Aadhaar number. Only the last 4 digits may be stored. The uploaded Aadhaar card image must be processed to mask digits 1–8 before storage. The original unmasked image must not be retained after processing.</w:t>
            </w:r>
          </w:p>
        </w:tc>
      </w:tr>
    </w:tbl>
    <w:p>
      <w:pPr>
        <w:spacing w:after="0" w:before="0"/>
      </w:pPr>
    </w:p>
    <w:p>
      <w:pPr>
        <w:pStyle w:val="Heading2"/>
        <w:spacing w:after="80" w:before="320"/>
      </w:pPr>
      <w:r>
        <w:t xml:space="preserve">6.4  Document Storage &amp; Processing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Step</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Process</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Technology</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Upload</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uploads document via DocumentUploader component; sent as multipart/form-data to /api/borrower/documents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 API Route</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File type validation</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Server-side: accept JPEG, PNG, PDF only; reject all other MIME types; max file size enforced per document type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Multer / Zod file validator</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Virus scan</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Uploaded file scanned for malware before storage (via ClamAV or Cloudflare Gateway)</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ClamAV or equivalent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Aadhaar masking</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If document is classified as Aadhaar: run digit masking on image (first 8 digits of 12-digit UID blacked out)</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Sharp (Node.js image processing) + pattern detection</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Storage</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Processed file written to Supabase Storage private bucket under kyc/{user_id}/ path; original deleted after masking</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Storage</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Access control</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Storage RLS: only owner (borrower) and service_role can access; lender access via time-limited signed URL after consent</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Storage policies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Retention</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KYC documents retained for 7 years post-account closure (regulatory); auto-delete after retention period via scheduled job</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Storage lifecycle policy</w:t>
            </w:r>
          </w:p>
        </w:tc>
      </w:tr>
    </w:tbl>
    <w:p>
      <w:pPr>
        <w:spacing w:after="0" w:before="0"/>
      </w:pPr>
    </w:p>
    <w:p>
      <w:pPr>
        <w:pStyle w:val="Heading2"/>
        <w:spacing w:after="80" w:before="320"/>
      </w:pPr>
      <w:r>
        <w:t xml:space="preserve">6.5  Identity Verification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Combination of Signals</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Identity Confidence</w:t>
            </w:r>
          </w:p>
        </w:tc>
        <w:tc>
          <w:tcPr>
            <w:tcW w:type="dxa" w:w="4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OTP ✓ + PAN verified ✓ + OVD uploaded ✓ + Name match PASS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Proceed to hard pull and lender submission without ops intervention</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OTP ✓ + PAN verified ✓ + OVD uploaded ✓ + Name match MANUAL_REVIEW</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Flag for ops light-touch review (24h SLA); can proceed if no other risk flags</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OTP ✓ + PAN verified ✓ + No OVD uploaded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Block lender submission; prompt borrower to upload ID; application can be saved and resumed</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OTP ✓ + PAN verification FAIL</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Block application; WhatsApp notification to borrower explaining PAN name mismatch; ops review required to clear</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OTP ✓ + PAN belongs to different mobile (registered with CIBIL)</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RISK</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Fraud flag; step-up verification; hold application pending ops review</w:t>
            </w:r>
          </w:p>
        </w:tc>
      </w:tr>
    </w:tbl>
    <w:p>
      <w:r>
        <w:br w:type="page"/>
      </w:r>
    </w:p>
    <w:p>
      <w:pPr>
        <w:pStyle w:val="Heading1"/>
        <w:pBdr>
          <w:bottom w:val="single" w:color="0D9488" w:sz="6"/>
        </w:pBdr>
        <w:spacing w:after="120" w:before="480"/>
      </w:pPr>
      <w:r>
        <w:t xml:space="preserve">7  Device &amp; Application Risk Controls</w:t>
      </w:r>
    </w:p>
    <w:p>
      <w:pPr>
        <w:spacing w:after="60" w:before="60"/>
      </w:pPr>
      <w:r>
        <w:rPr>
          <w:rFonts w:ascii="Calibri" w:cs="Calibri" w:eastAsia="Calibri" w:hAnsi="Calibri"/>
          <w:color w:val="1E293B"/>
          <w:sz w:val="20"/>
          <w:szCs w:val="20"/>
        </w:rPr>
        <w:t xml:space="preserve">Device and session-level risk signals provide an important fraud detection layer that operates independently of identity and document verification. These controls detect automation, bot activity, session anomalies, and compromised environments before identity fraud reaches the application layer.</w:t>
      </w:r>
    </w:p>
    <w:p>
      <w:pPr>
        <w:spacing w:after="0" w:before="0"/>
      </w:pPr>
    </w:p>
    <w:p>
      <w:pPr>
        <w:pStyle w:val="Heading2"/>
        <w:spacing w:after="80" w:before="320"/>
      </w:pPr>
      <w:r>
        <w:t xml:space="preserve">7.1  Device Fingerprinting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Signal</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Collection Method</w:t>
            </w:r>
          </w:p>
        </w:tc>
        <w:tc>
          <w:tcPr>
            <w:tcW w:type="dxa" w:w="4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Risk Use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Device fingerprint hash</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FingerprintJS Pro (or equivalent) — browser-side; server-validated</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Track device across sessions; detect same device used by multiple accounts (mule device)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IP address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Server-side (X-Forwarded-For sanitised via Cloudflare)</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Geolocation; VPN/proxy detection; velocity checks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IP geolocation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Maxmind GeoIP2 database (server-side)</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Verify city consistency with declared address; detect high-risk geographies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VPN/proxy/Tor detection</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IPQualityScore API or equivalent</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Flag anonymised IPs; higher scrutiny on applications from anonymised networks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User-agent string</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HTTP header (server-parsed)</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Detect unusual UA strings; flag headless browsers (Puppeteer, Playwright signatures)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Browser/OS combination</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User-agent parsing</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Detect inconsistencies (e.g. iOS UA with Windows fingerprint)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Screen resolution + timezone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Client-side via FingerprintJS</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Detect automation (headless browsers report 0×0 resolution or UTC timezone with Indian IP)</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Cookie persistence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Session cookie age</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New device if no persistent cookie; triggers additional verification step</w:t>
            </w:r>
          </w:p>
        </w:tc>
      </w:tr>
    </w:tbl>
    <w:p>
      <w:pPr>
        <w:spacing w:after="0" w:before="0"/>
      </w:pPr>
    </w:p>
    <w:p>
      <w:pPr>
        <w:pStyle w:val="Heading2"/>
        <w:spacing w:after="80" w:before="320"/>
      </w:pPr>
      <w:r>
        <w:t xml:space="preserve">7.2  Risk Signals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Signal</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Risk Score Contribution</w:t>
            </w:r>
          </w:p>
        </w:tc>
        <w:tc>
          <w:tcPr>
            <w:tcW w:type="dxa" w:w="3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Threshold</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Known fraudulent device fingerprint (internal blacklist)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 (+100)</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Immediate CRITICAL alert; block all actions</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VPN/proxy/Tor detected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(+40)</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Step-up verification; flag application for ops review</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IP geolocation inconsistent with declared city by &gt;500km</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 (+25)</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Flag for ops review; not blocking</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New device for existing account (first time)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 (+10)</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Re-OTP challenge; log event</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Multiple accounts on same device fingerprint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(+35)</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Flag all accounts; ops review</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Headless browser detected (Puppeteer/Playwright signature)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 (+90)</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Block request; log to fraud_events; rate limit IP</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Failed OTP attempts: 3 in a session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 (+20)</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10-minute lockout; log</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submitted &lt;2 minutes after account creation</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 (+15)</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Flag for ops review (unusual speed)</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IP country ≠ India</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(+50)</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Block application submission; WhatsApp alert to borrower</w:t>
            </w:r>
          </w:p>
        </w:tc>
      </w:tr>
    </w:tbl>
    <w:p>
      <w:pPr>
        <w:spacing w:after="60" w:before="60"/>
      </w:pPr>
      <w:r>
        <w:rPr>
          <w:rFonts w:ascii="Calibri" w:cs="Calibri" w:eastAsia="Calibri" w:hAnsi="Calibri"/>
          <w:color w:val="1E293B"/>
          <w:sz w:val="20"/>
          <w:szCs w:val="20"/>
        </w:rPr>
        <w:t xml:space="preserve">Risk scores are computed per session and stored in the session_risk_scores table. A composite score ≥ 50 triggers MEDIUM alert; ≥ 80 triggers HIGH alert; ≥ 100 triggers CRITICAL alert and immediate account freeze.</w:t>
      </w:r>
    </w:p>
    <w:p>
      <w:pPr>
        <w:spacing w:after="0" w:before="0"/>
      </w:pPr>
    </w:p>
    <w:p>
      <w:pPr>
        <w:pStyle w:val="Heading2"/>
        <w:spacing w:after="80" w:before="320"/>
      </w:pPr>
      <w:r>
        <w:t xml:space="preserve">7.3  Bot Detection &amp;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Control</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Layer</w:t>
            </w:r>
          </w:p>
        </w:tc>
        <w:tc>
          <w:tcPr>
            <w:tcW w:type="dxa" w:w="5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Implementation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Cloudflare Bot Management</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Edge / CDN</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Automatic bot scoring on all requests; JS challenge for suspicious IPs; CAPTCHA for flagged bots (Cloudflare Turnstile — invisible)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rate limiting</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middleware</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Redis-backed: 60 req/min (unauthenticated), 200 req/min (authenticated), 10 OTP/hr per mobile number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Honeypot fields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Form layer</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Hidden form fields invisible to humans but filled by bots; any submission with honeypot data filled → immediate discard + IP ban 24h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Submission timing analysis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layer</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Form submission in &lt;5 seconds from page load → bot likely; flag + honeypot validation triggered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Progressive CAPTCHA</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Auth flow</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login: no CAPTCHA. 3 failed OTPs: Cloudflare Turnstile. Account takeover patterns: explicit challenge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endpoint hardening</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layer</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/api/engine/* and /api/borrower/* routes require valid JWT; no endpoint is callable without auth except OTP request</w:t>
            </w:r>
          </w:p>
        </w:tc>
      </w:tr>
    </w:tbl>
    <w:p>
      <w:pPr>
        <w:spacing w:after="0" w:before="0"/>
      </w:pPr>
    </w:p>
    <w:p>
      <w:pPr>
        <w:pStyle w:val="Heading2"/>
        <w:spacing w:after="80" w:before="320"/>
      </w:pPr>
      <w:r>
        <w:t xml:space="preserve">7.4  Session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Control</w:t>
            </w:r>
          </w:p>
        </w:tc>
        <w:tc>
          <w:tcPr>
            <w:tcW w:type="dxa" w:w="6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Implementation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Session token storage</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HttpOnly, Secure, SameSite=Lax cookie — NOT localStorage; prevents XSS token theft</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Session expiry</w:t>
            </w:r>
          </w:p>
        </w:tc>
        <w:tc>
          <w:tcPr>
            <w:tcW w:type="dxa" w:w="6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Access token: 1 hour. Refresh token: 7 days. No "remember me" option extending beyond 7 days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Session invalidation on suspicious event</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Immediate token revocation via Supabase Auth signOut() on: ATO detection, IP geolocation anomaly &gt;1,000km, concurrent session breach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Concurrent session limit</w:t>
            </w:r>
          </w:p>
        </w:tc>
        <w:tc>
          <w:tcPr>
            <w:tcW w:type="dxa" w:w="6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Maximum 2 simultaneous active sessions per user account; 3rd session revokes oldest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CSRF protection</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SameSite=Lax cookie mitigates most CSRF; additionally: Supabase JWT in Authorization header for all state-changing API calls (not cookies alone)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Secure HTTP headers</w:t>
            </w:r>
          </w:p>
        </w:tc>
        <w:tc>
          <w:tcPr>
            <w:tcW w:type="dxa" w:w="6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Implemented via Next.js next.config.ts: X-Frame-Options: DENY, X-Content-Type-Options: nosniff, Referrer-Policy: strict-origin-when-cross-origin, Permissions-Policy: camera=(), microphone=()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Content Security Policy (CSP)</w:t>
            </w:r>
          </w:p>
        </w:tc>
        <w:tc>
          <w:tcPr>
            <w:tcW w:type="dxa" w:w="6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Restrictive CSP via headers: script-src self and trusted CDNs only; no inline scripts; upgrade-insecure-requests</w:t>
            </w:r>
          </w:p>
        </w:tc>
      </w:tr>
    </w:tbl>
    <w:p>
      <w:r>
        <w:br w:type="page"/>
      </w:r>
    </w:p>
    <w:p>
      <w:pPr>
        <w:pStyle w:val="Heading1"/>
        <w:pBdr>
          <w:bottom w:val="single" w:color="0D9488" w:sz="6"/>
        </w:pBdr>
        <w:spacing w:after="120" w:before="480"/>
      </w:pPr>
      <w:r>
        <w:t xml:space="preserve">8  Audit &amp; Monitoring Controls</w:t>
      </w:r>
    </w:p>
    <w:p>
      <w:pPr>
        <w:spacing w:after="60" w:before="60"/>
      </w:pPr>
      <w:r>
        <w:rPr>
          <w:rFonts w:ascii="Calibri" w:cs="Calibri" w:eastAsia="Calibri" w:hAnsi="Calibri"/>
          <w:color w:val="1E293B"/>
          <w:sz w:val="20"/>
          <w:szCs w:val="20"/>
        </w:rPr>
        <w:t xml:space="preserve">LeapMoney's audit and monitoring architecture provides continuous visibility into compliance events, suspicious activity, system health, and regulatory obligations. The audit trail is the single source of truth for any regulatory inquiry, dispute resolution, or forensic investigation.</w:t>
      </w:r>
    </w:p>
    <w:p>
      <w:pPr>
        <w:spacing w:after="0" w:before="0"/>
      </w:pPr>
    </w:p>
    <w:p>
      <w:pPr>
        <w:pStyle w:val="Heading2"/>
        <w:spacing w:after="80" w:before="320"/>
      </w:pPr>
      <w:r>
        <w:t xml:space="preserve">8.1  Immutable Audit Log Architecture</w:t>
      </w:r>
    </w:p>
    <w:p>
      <w:pPr>
        <w:spacing w:after="60" w:before="60"/>
      </w:pPr>
      <w:r>
        <w:rPr>
          <w:rFonts w:ascii="Calibri" w:cs="Calibri" w:eastAsia="Calibri" w:hAnsi="Calibri"/>
          <w:color w:val="1E293B"/>
          <w:sz w:val="20"/>
          <w:szCs w:val="20"/>
        </w:rPr>
        <w:t xml:space="preserve">The audit_log table is the central, immutable compliance record. Every row is an append-only event; no UPDATE or DELETE is permitted via Row-Level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Event Category</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Events Logged</w:t>
            </w:r>
          </w:p>
        </w:tc>
        <w:tc>
          <w:tcPr>
            <w:tcW w:type="dxa" w:w="3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Regulatory Basis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events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consent_given, consent_revoked, consent_expired, consent_version_updated</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Act § 6; RBI DL Guidelines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access events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bureau_soft_pull_initiated, bureau_hard_pull_initiated, bureau_hard_pull_failed, bureau_cache_accessed</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Act § 6(3); CIBIL/Experian data agreement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access events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document_upload, document_access_by_lender, document_access_by_ops, document_deleted</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Act § 8; RBI KYC guidelines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Identity verification events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pan_verification_attempt, pan_verification_result, ovd_upload, name_match_result</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PMLA 2002; RBI KYC Master Direction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lifecycle events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application_created, status_change, lender_routed, decision_received</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DL Guidelines; audit readiness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&amp; ops actions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lead_status_manual_override, pii_access_by_ops, scoring_config_change, feature_flag_change</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Internal governance; RBI DL Guidelines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Fraud &amp; risk events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fraud_alert_raised, account_frozen, account_unfrozen, fraud_cleared</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Fraud response documentation</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subject rights events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data_access_request, data_correction_request, data_erasure_request, erasure_completed</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Act § 11–13</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events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failed_otp_limit_reached, session_terminated, ato_detected, suspicious_device_flagged</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operations</w:t>
            </w:r>
          </w:p>
        </w:tc>
      </w:tr>
    </w:tbl>
    <w:p>
      <w:pPr>
        <w:spacing w:after="0" w:before="0"/>
      </w:pPr>
    </w:p>
    <w:p>
      <w:pPr>
        <w:pStyle w:val="Heading2"/>
        <w:spacing w:after="80" w:before="320"/>
      </w:pPr>
      <w:r>
        <w:t xml:space="preserve">8.2  Audit Log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Access Level</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super_admin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Read-only query via Admin Portal; export to CSV</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event history; date range and event type filters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 DPO</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Read-only query (dedicated secure view)</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 regulatory inquiry response; full PII access logged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credit_analyst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direct audit log access</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Must request super_admin to query on their behalf</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External auditor (RBI / DPDP Regulator)</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Temporary read-only role (time-limited); provisioned by super_admin</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access events to audit log itself are themselves logged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(via direct DB)</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service_role read in staging only; production requires ops approval + logging</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Direct production DB access via service role is audit-logged</w:t>
            </w:r>
          </w:p>
        </w:tc>
      </w:tr>
    </w:tbl>
    <w:p>
      <w:pPr>
        <w:spacing w:after="0" w:before="0"/>
      </w:pPr>
    </w:p>
    <w:p>
      <w:pPr>
        <w:pStyle w:val="Heading2"/>
        <w:spacing w:after="80" w:before="320"/>
      </w:pPr>
      <w:r>
        <w:t xml:space="preserve">8.3  Compliance Monitoring Dashboard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Monitor</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Alert Threshold</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Refresh</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coverage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of active borrowers with valid, unexpired data_processing consent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 99.5% → ops alert</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Hard pull consent rate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of applications reaching lender submission that have valid hard_pull consent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 99% → critical alert (compliance violation risk)</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Real-time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pull without consent</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Count of bureau pulls with no matching consent record in 24h window</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&gt; 0 → critical alert</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Real-time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verification failure rate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of PAN verifications returning FAIL in last 7 days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&gt; 5% → investigate (potential fraud wave or API issue)</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unmasked access count</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Count of Aadhaar images accessed without masking confirmation in 24h</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&gt; 0 → critical alert</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Real-time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Fraud alert volume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Count of HIGH/CRITICAL fraud alerts in 24h</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&gt; 10 HIGH or any CRITICAL → ops escalation</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Hourly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Account freeze rate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of new accounts frozen within 7 days of creation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&gt; 2% → fraud pattern investigation</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Audit log integrity check</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Row count + hash of last 1,000 rows matches expected (tamper detection)</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mismatch → critical alert</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Hourly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DLT template compliance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of WhatsApp messages sent with registered DLT template ID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 100% → block sends; alert</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Real-time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retention breach risk</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Records with created_at older than retention policy maximum</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&gt; 0 → ops review</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Weekly</w:t>
            </w:r>
          </w:p>
        </w:tc>
      </w:tr>
    </w:tbl>
    <w:p>
      <w:pPr>
        <w:spacing w:after="0" w:before="0"/>
      </w:pPr>
    </w:p>
    <w:p>
      <w:pPr>
        <w:pStyle w:val="Heading2"/>
        <w:spacing w:after="80" w:before="320"/>
      </w:pPr>
      <w:r>
        <w:t xml:space="preserve">8.4  Regulatory Reporting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Report</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Frequency</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Recipient</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Data Source</w:t>
            </w:r>
          </w:p>
        </w:tc>
        <w:tc>
          <w:tcPr>
            <w:tcW w:type="dxa" w:w="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redressal log</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Officer; available to RBI on request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support_tickets table + resolution_status</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Includes response time; open vs closed</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breach incident log</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As-required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CERT-In (within 72h); DPDP Data Board (when constituted)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Incident post-mortem document + audit_log extract</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Format per CERT-In reporting template</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audit export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On-demand (regulatory inquiry)</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 DPDP Regulator / Legal counsel</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user_consent table full export</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Filtered by user_id or date range; PII access logged</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pull log</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On-demand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 / Experian / Regulator</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audit_log WHERE event_type = bureau_hard_pull</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Required for bureau audit; no raw bureau data exposed — only pull metadata</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volume &amp; origination report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Quarterly</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Internal (Founder); lender partners as contracted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applications + leads tables aggregate</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type, source, city, outcome; no borrower PII</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commission register</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Finance team; DSA orgs on request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dsa_commissions table</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Required for TDS compliance (DSA payments &gt;₹30,000/year)</w:t>
            </w:r>
          </w:p>
        </w:tc>
      </w:tr>
    </w:tbl>
    <w:p>
      <w:pPr>
        <w:spacing w:after="0" w:before="0"/>
      </w:pPr>
    </w:p>
    <w:p>
      <w:pPr>
        <w:pStyle w:val="Heading2"/>
        <w:spacing w:after="80" w:before="320"/>
      </w:pPr>
      <w:r>
        <w:t xml:space="preserve">8.5  Incident Response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Incident Type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Detection</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Response SLA</w:t>
            </w:r>
          </w:p>
        </w:tc>
        <w:tc>
          <w:tcPr>
            <w:tcW w:type="dxa" w:w="2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Escalation Path</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breach (confirmed)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critical / CERT-In notification / user report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72h regulatory notification; 2h ops response start</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on-call → CTO → Founder → Legal → CERT-In</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Fraudulent application batch (≥5 related)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Fraud alert HIGH/CRITICAL; ops review</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4h investigation start; 24h resolution</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Fraud ops → Senior ops → Legal (if &gt;₹10L exposure)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pull without consent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Real-time audit monitor alert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Immediate: halt all bureau pulls; ops review within 2h</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on-call → CTO → Legal → Notify affected borrowers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DLT template non-compliance send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Real-time WhatsApp delivery log</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Immediate: stop affected send; DLT team to re-register</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ops → CTO → TRAI complaint avoidance protocol</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FPC violation (detected)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review of lender decision patterns; borrower complaint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24h investigation; 48h lender notice</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Senior ops → Founder → Lender relationship manager → Legal</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Regulator inquiry (RBI)</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Written communication to registered address / email</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Acknowledge within 24h; full response within 15 working days</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 Founder → CTO (technical data retrieval)</w:t>
            </w:r>
          </w:p>
        </w:tc>
      </w:tr>
    </w:tbl>
    <w:p>
      <w:r>
        <w:br w:type="page"/>
      </w:r>
    </w:p>
    <w:p>
      <w:pPr>
        <w:pStyle w:val="Heading1"/>
        <w:pBdr>
          <w:bottom w:val="single" w:color="0D9488" w:sz="6"/>
        </w:pBdr>
        <w:spacing w:after="120" w:before="480"/>
      </w:pPr>
      <w:r>
        <w:t xml:space="preserve">Appendix A  Risk Register</w:t>
      </w:r>
    </w:p>
    <w:p>
      <w:pPr>
        <w:spacing w:after="60" w:before="60"/>
      </w:pPr>
      <w:r>
        <w:rPr>
          <w:rFonts w:ascii="Calibri" w:cs="Calibri" w:eastAsia="Calibri" w:hAnsi="Calibri"/>
          <w:color w:val="1E293B"/>
          <w:sz w:val="20"/>
          <w:szCs w:val="20"/>
        </w:rPr>
        <w:t xml:space="preserve">The following risk register covers compliance, regulatory, fraud, and operational risks for the LeapMoney platform. Each risk is assessed on inherent likelihood and impact, with the primary control identified. Residual risk assumes controls are in place.</w:t>
      </w:r>
    </w:p>
    <w:p>
      <w:pPr>
        <w:spacing w:after="0" w:before="0"/>
      </w:pPr>
    </w:p>
    <w:p>
      <w:pPr>
        <w:pStyle w:val="Heading2"/>
        <w:spacing w:after="80" w:before="320"/>
      </w:pPr>
      <w:r>
        <w:t xml:space="preserve">A.1  Compliance &amp; Regulatory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Risk</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Likelihood</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Primary Control</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Residual Risk</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Act violation: processing without consent</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 (post-implementation)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gate at every data processing trigger; consent check in CIE before bureau pull</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DL Guideline breach: LSP disbursing funds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Architecture: LeapMoney has zero access to loan funds; all fund flows RE → borrower</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DL Guideline breach: KFS not shown before acceptance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KFS display is a mandatory UI gate; ops QA checks quarterly</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 DLT non-compliance: unregistered WhatsApp template sent</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Template registry validation before every WhatsApp send; block if template_id unregistered</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localisation violation: personal data stored outside India</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ap-south-1 (Mumbai); no cross-border data transfer in architecture</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Aadhaar full number stored</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Masking pipeline mandatory; automated test verifies no 12-digit Aadhaar pattern in DB</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PMLA AML violation: onboarding PEP/sanctioned individual</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verification against ITD; future: PMLA watchlist API integration (Phase 9)</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 (until watchlist added)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officer not reachable / response SLA breach</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officer contact mandatory in app; SLA monitoring in Admin Portal</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pull logs unavailable for regulator audit</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audit_log append-only; bureau pull events logged with full metadata; tested quarterly</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r>
    </w:tbl>
    <w:p>
      <w:pPr>
        <w:spacing w:after="0" w:before="0"/>
      </w:pPr>
    </w:p>
    <w:p>
      <w:pPr>
        <w:pStyle w:val="Heading2"/>
        <w:spacing w:after="80" w:before="320"/>
      </w:pPr>
      <w:r>
        <w:t xml:space="preserve">A.2  Fraud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Risk</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Likelihood</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Primary Control</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Residual Risk</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Synthetic identity used to obtain loans via LeapMoney routing</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verification + name match + document upload + borrower verification call</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 (document forgery risk remains)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forgery (salary slip, bank statement)</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AI sanity check + FOIR plausibility check + lender document verification</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 (lender is last line)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submitting fake leads for commission</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verification call (ops); DSA velocity limits; commission hold period</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Partner click fraud inflating commissions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IP diversity requirement; click deduplication; conversion rate plausibility check</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Account takeover via SIM swap</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New-device re-OTP + step-up verification; SIM swap detection (geolocation anomaly)</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data scraping via API automation</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Cloudflare bot management; rate limiting; auth on all API routes</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Insider data exfiltration by ops employee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RLS prevents bulk export; admin PII access audit-logged; data minimisation for ops roles</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application stacking across lenders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hard pull enquiry velocity check; application count limit per 90 days</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 (cross-platform stacking not detectable)</w:t>
            </w:r>
          </w:p>
        </w:tc>
      </w:tr>
    </w:tbl>
    <w:p>
      <w:pPr>
        <w:spacing w:after="0" w:before="0"/>
      </w:pPr>
    </w:p>
    <w:p>
      <w:pPr>
        <w:pStyle w:val="Heading2"/>
        <w:spacing w:after="80" w:before="320"/>
      </w:pPr>
      <w:r>
        <w:t xml:space="preserve">A.3  Operational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Risk</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Likelihood</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Primary Control</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Residual Risk</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API (CIBIL/Experian) downtime during hard pull flow</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Retry up to 3× with exponential backoff; graceful degradation to "bureau unavailable" state; user notified</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WhatsApp service outage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In-app notifications + email as fallback channels; message queuing with retry</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primary DB outage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SLA 99.9%; daily backups; point-in-time recovery; read replica available for reads</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Very Low</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Redis (Upstash) unavailable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Cache miss falls back to DB query; matching and scoring functional without cache (slower)</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product data staleness causing misleading matches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alerts for products not updated in 30 days; ops QA on comparison table quarterly</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 payout failure for DSA commissions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Payout retry with email alert; manual payout fallback; commission status visible to DSA</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w:t>
            </w:r>
          </w:p>
        </w:tc>
      </w:tr>
    </w:tbl>
    <w:p>
      <w:r>
        <w:br w:type="page"/>
      </w:r>
    </w:p>
    <w:p>
      <w:pPr>
        <w:pStyle w:val="Heading1"/>
        <w:pBdr>
          <w:bottom w:val="single" w:color="0D9488" w:sz="6"/>
        </w:pBdr>
        <w:spacing w:after="120" w:before="480"/>
      </w:pPr>
      <w:r>
        <w:t xml:space="preserve">Appendix B  Regulatory Reference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Regulation / Circular</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Reference</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Issuer</w:t>
            </w:r>
          </w:p>
        </w:tc>
        <w:tc>
          <w:tcPr>
            <w:tcW w:type="dxa" w:w="2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Key Applicability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Digital Personal Data Protection Act 2023</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 No. 22 of 2023</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MeitY / Parliament of India</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Primary data protection legislation; consent, rights, obligations, penalties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Digital Lending Guidelines 2022</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Circular RBI/2022-23/111</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Reserve Bank of India</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LSP obligations, KFS, disbursal norms, data storage, grievance, cooling off</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Fair Practices Code for NBFCs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Master Circular DNBS.CC.PD.No.266/03.10.042/2011-12</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Reserve Bank of India</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Transparent lending, no dark patterns, penal interest limits, recovery norms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KYC Master Direction 2016 (as amended)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DNBR.PD.007/03.10.119/2015-16 (and amendments)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Reserve Bank of India</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KYC requirements including OVD, VKYC, V-CIP norms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PMLA 2002 &amp; PMLA (Maintenance of Records) Rules 2005</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 No. 15 of 2003</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Ministry of Finance</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AML obligations; KYC for financial services; STR reporting</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Information Technology Act 2000</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 No. 21 of 2000</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Parliament of India</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Intermediary obligations; data security; breach penalties; electronic consent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IT (Intermediary Guidelines &amp; Digital Media Ethics Code) Rules 2021</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 942(E)</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MeitY</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officer; content moderation; traceability (if applicable)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Aadhaar (Targeting of Subsidies, Benefits and Services) Act 2016</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 No. 18 of 2016</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Parliament of India</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Aadhaar usage restrictions; no storage of full Aadhaar without UIDAI auth</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 TCCCPR (Telecom Commercial Communications)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No.301-713/2018-2 (as amended)</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DLT registration for commercial SMS/WhatsApp; NDNC scrubbing; consent for promotional comms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Circular on Prepayment Charges (Home Loans)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RBI/2019-20/205</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Reserve Bank of India</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prepayment penalty on floating rate home loans — lender partner compliance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IRDAI Web Aggregator Regulations 2017</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IRDAI/INT/GDL/WAR/062/02/2017</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IRDAI</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currently applicable; relevant if LeapMoney adds insurance product comparison</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SEBI POBO Rules (if debt product added)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 in current scope</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SEBI</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applicable at MVP; relevant if bond/NCD products added to comparison</w:t>
            </w:r>
          </w:p>
        </w:tc>
      </w:tr>
    </w:tbl>
    <w:p>
      <w:pPr>
        <w:spacing w:after="0" w:before="0"/>
      </w:pPr>
    </w:p>
    <w:p>
      <w:pPr>
        <w:pStyle w:val="Heading2"/>
        <w:spacing w:after="80" w:before="320"/>
      </w:pPr>
      <w:r>
        <w:t xml:space="preserve">B.1  Key Definitions (Regulatory)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Term</w:t>
            </w:r>
          </w:p>
        </w:tc>
        <w:tc>
          <w:tcPr>
            <w:tcW w:type="dxa" w:w="4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Definition</w:t>
            </w:r>
          </w:p>
        </w:tc>
        <w:tc>
          <w:tcPr>
            <w:tcW w:type="dxa" w:w="2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Source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Fiduciary</w:t>
            </w:r>
          </w:p>
        </w:tc>
        <w:tc>
          <w:tcPr>
            <w:tcW w:type="dxa" w:w="4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 person or entity who alone or jointly with others determines the purpose and means of processing personal data</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Act 2023 § 2(i)</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Principal</w:t>
            </w:r>
          </w:p>
        </w:tc>
        <w:tc>
          <w:tcPr>
            <w:tcW w:type="dxa" w:w="4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The individual to whom personal data relates — i.e., the borrower</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Act 2023 § 2(j)</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Lending Service Provider (LSP)</w:t>
            </w:r>
          </w:p>
        </w:tc>
        <w:tc>
          <w:tcPr>
            <w:tcW w:type="dxa" w:w="4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 fintech company engaged by a regulated lender to source, process, or service loan applications</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Digital Lending Guidelines 2022</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Regulated Entity (RE)</w:t>
            </w:r>
          </w:p>
        </w:tc>
        <w:tc>
          <w:tcPr>
            <w:tcW w:type="dxa" w:w="4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 bank, NBFC, or other financial institution regulated by RBI that actually underwrites and disburses the loan</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Digital Lending Guidelines 2022</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OVD (Officially Valid Document)</w:t>
            </w:r>
          </w:p>
        </w:tc>
        <w:tc>
          <w:tcPr>
            <w:tcW w:type="dxa" w:w="4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Government-issued ID acceptable for KYC: Passport, Driving Licence, Voter ID, NREGA Card, Aadhaar, PAN card</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KYC Master Direction 2016</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KFS (Key Fact Statement)</w:t>
            </w:r>
          </w:p>
        </w:tc>
        <w:tc>
          <w:tcPr>
            <w:tcW w:type="dxa" w:w="4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 standardised summary of a loan product's key terms in plain language including APR, all fees, penalty charges</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Digital Lending Guidelines 2022</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DLT (Distributed Ledger Technology) Registration</w:t>
            </w:r>
          </w:p>
        </w:tc>
        <w:tc>
          <w:tcPr>
            <w:tcW w:type="dxa" w:w="4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TRAI-mandated registration of commercial communication entities and templates on a blockchain platform</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 TCCCPR</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PMLA STR (Suspicious Transaction Report)</w:t>
            </w:r>
          </w:p>
        </w:tc>
        <w:tc>
          <w:tcPr>
            <w:tcW w:type="dxa" w:w="4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Report filed with Financial Intelligence Unit (FIU-IND) when a suspicious transaction suggesting money laundering is detected</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PMLA 2002</w:t>
            </w:r>
          </w:p>
        </w:tc>
      </w:tr>
    </w:tbl>
    <w:p>
      <w:pPr>
        <w:spacing w:after="0" w:before="0"/>
      </w:pPr>
    </w:p>
    <w:p>
      <w:pPr>
        <w:pStyle w:val="Heading2"/>
        <w:spacing w:after="80" w:before="320"/>
      </w:pPr>
      <w:r>
        <w:t xml:space="preserve">B.2  Pending Regulatory Developments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Expected Timeline</w:t>
            </w:r>
          </w:p>
        </w:tc>
        <w:tc>
          <w:tcPr>
            <w:tcW w:type="dxa" w:w="4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on LeapMoney</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Rules (under DPDP Act 2023) — final publication</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2025–2026</w:t>
            </w:r>
          </w:p>
        </w:tc>
        <w:tc>
          <w:tcPr>
            <w:tcW w:type="dxa" w:w="4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Will specify consent notice format, DPO thresholds, Data Board constitution, breach reporting timelines; update framework on publication</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Account Aggregator (AA) framework expansion</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Ongoing</w:t>
            </w:r>
          </w:p>
        </w:tc>
        <w:tc>
          <w:tcPr>
            <w:tcW w:type="dxa" w:w="4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Planned: integrate AA framework for bank statement fetch via AA consent artifact (replaces manual bank statement upload) in Phase 9</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Unified Lending Interface (ULI)</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2025–2026</w:t>
            </w:r>
          </w:p>
        </w:tc>
        <w:tc>
          <w:tcPr>
            <w:tcW w:type="dxa" w:w="4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ULI may provide standardised API for lender-borrower data exchange; evaluate integration in Phase 9</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UIDAI eKYC API for LSPs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Subject to UIDAI policy</w:t>
            </w:r>
          </w:p>
        </w:tc>
        <w:tc>
          <w:tcPr>
            <w:tcW w:type="dxa" w:w="4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Aadhaar eKYC currently restricted to regulated entities; monitor for LSP eligibility; would replace manual OVD upload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Digital Rupee (e-RUPI / CBDC) integration</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2026+</w:t>
            </w:r>
          </w:p>
        </w:tc>
        <w:tc>
          <w:tcPr>
            <w:tcW w:type="dxa" w:w="4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immediately applicable; monitor for potential impact on loan disbursal norms</w:t>
            </w:r>
          </w:p>
        </w:tc>
      </w:tr>
    </w:tbl>
    <w:sectPr>
      <w:headerReference w:type="default" r:id="rId7"/>
      <w:footerReference w:type="default" r:id="rId8"/>
      <w:pgSz w:w="12240" w:h="15840" w:orient="portrait"/>
      <w:pgMar w:top="720" w:right="940" w:bottom="72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34155"/>
        <w:sz w:val="16"/>
        <w:szCs w:val="16"/>
      </w:rPr>
      <w:t xml:space="preserve">June 2026  ·  Confidential  ·  </w:t>
    </w:r>
    <w:r>
      <w:rPr>
        <w:rFonts w:ascii="Calibri" w:cs="Calibri" w:eastAsia="Calibri" w:hAnsi="Calibri"/>
        <w:color w:val="3341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334155"/>
        <w:sz w:val="16"/>
        <w:szCs w:val="16"/>
      </w:rPr>
      <w:t xml:space="preserve">LeapMoney  |  Phase 8: Compliance, Risk &amp; Fraud Framework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480"/>
    </w:pPr>
    <w:rPr>
      <w:rFonts w:ascii="Calibri" w:cs="Calibri" w:eastAsia="Calibri" w:hAnsi="Calibri"/>
      <w:b/>
      <w:bCs/>
      <w:color w:val="0F1F3D"/>
      <w:sz w:val="36"/>
      <w:szCs w:val="36"/>
    </w:rPr>
  </w:style>
  <w:style w:type="paragraph" w:styleId="Heading2">
    <w:name w:val="Heading 2"/>
    <w:pPr>
      <w:spacing w:after="80" w:before="320"/>
    </w:pPr>
    <w:rPr>
      <w:rFonts w:ascii="Calibri" w:cs="Calibri" w:eastAsia="Calibri" w:hAnsi="Calibri"/>
      <w:b/>
      <w:bCs/>
      <w:color w:val="0F1F3D"/>
      <w:sz w:val="26"/>
      <w:szCs w:val="26"/>
    </w:rPr>
  </w:style>
  <w:style w:type="paragraph" w:styleId="Heading3">
    <w:name w:val="Heading 3"/>
    <w:pPr>
      <w:spacing w:after="60" w:before="200"/>
    </w:pPr>
    <w:rPr>
      <w:rFonts w:ascii="Calibri" w:cs="Calibri" w:eastAsia="Calibri" w:hAnsi="Calibri"/>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2026-06-16T09:27:19.571Z</dcterms:created>
  <dcterms:modified xsi:type="dcterms:W3CDTF">2026-06-16T09:27:19.571Z</dcterms:modified>
</cp:coreProperties>
</file>

<file path=docProps/custom.xml><?xml version="1.0" encoding="utf-8"?>
<Properties xmlns="http://schemas.openxmlformats.org/officeDocument/2006/custom-properties" xmlns:vt="http://schemas.openxmlformats.org/officeDocument/2006/docPropsVTypes"/>
</file>