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jc w:val="center"/>
      </w:pPr>
      <w:r>
        <w:rPr>
          <w:rFonts w:ascii="Calibri" w:cs="Calibri" w:eastAsia="Calibri" w:hAnsi="Calibri"/>
          <w:b/>
          <w:bCs/>
          <w:color w:val="0D9488"/>
          <w:sz w:val="72"/>
          <w:szCs w:val="72"/>
        </w:rPr>
        <w:t xml:space="preserve">LeapMoney</w:t>
      </w:r>
    </w:p>
    <w:p>
      <w:pPr>
        <w:spacing w:after="120"/>
        <w:jc w:val="center"/>
      </w:pPr>
      <w:r>
        <w:rPr>
          <w:rFonts w:ascii="Calibri" w:cs="Calibri" w:eastAsia="Calibri" w:hAnsi="Calibri"/>
          <w:b/>
          <w:bCs/>
          <w:color w:val="0F1F3D"/>
          <w:sz w:val="44"/>
          <w:szCs w:val="44"/>
        </w:rPr>
        <w:t xml:space="preserve">Phase 9 — Revenue Model &amp; Unit Economics</w:t>
      </w:r>
    </w:p>
    <w:p>
      <w:pPr>
        <w:spacing w:after="80"/>
        <w:jc w:val="center"/>
      </w:pPr>
      <w:r>
        <w:rPr>
          <w:rFonts w:ascii="Calibri" w:cs="Calibri" w:eastAsia="Calibri" w:hAnsi="Calibri"/>
          <w:color w:val="334155"/>
          <w:sz w:val="22"/>
          <w:szCs w:val="22"/>
        </w:rPr>
        <w:t xml:space="preserve">Version 1.0  ·  June 2026  ·  Founder Confidential</w:t>
      </w:r>
    </w:p>
    <w:p>
      <w:pPr>
        <w:spacing w:after="80"/>
        <w:jc w:val="center"/>
      </w:pPr>
      <w:r>
        <w:rPr>
          <w:rFonts w:ascii="Calibri" w:cs="Calibri" w:eastAsia="Calibri" w:hAnsi="Calibri"/>
          <w:color w:val="334155"/>
          <w:sz w:val="20"/>
          <w:szCs w:val="20"/>
        </w:rPr>
        <w:t xml:space="preserve">No Coding  ·  No UI Design  ·  Business &amp; Financial Architecture Only</w:t>
      </w:r>
    </w:p>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Section</w:t>
            </w:r>
          </w:p>
        </w:tc>
        <w:tc>
          <w:tcPr>
            <w:tcW w:type="dxa" w:w="8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Executive Summary — Revenue Philosophy &amp; Strategic Positioning</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Revenue Streams Overview</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Commission Model</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Revenue Model</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Partner Revenue Model</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Subscription Opportunities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Monetisation</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Future Super App Revenue Streams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Unit Economics — CAC, LTV &amp; Payback Period</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Contribution Margin Analysis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Break-even Analysis</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3-Year Revenue Roadmap</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A</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Revenue Model Assumptions &amp; Sensitivity Analysis</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B</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Competitive Revenue Benchmarking</w:t>
            </w:r>
          </w:p>
        </w:tc>
      </w:tr>
    </w:tbl>
    <w:p>
      <w:r>
        <w:br w:type="page"/>
      </w:r>
    </w:p>
    <w:p>
      <w:pPr>
        <w:pStyle w:val="Heading1"/>
        <w:pBdr>
          <w:bottom w:val="single" w:color="0D9488" w:sz="6"/>
        </w:pBdr>
        <w:spacing w:after="120" w:before="480"/>
      </w:pPr>
      <w:r>
        <w:t xml:space="preserve">1  Executive Summary — Revenue Philosophy &amp; Strategic Positioning</w:t>
      </w:r>
    </w:p>
    <w:p>
      <w:pPr>
        <w:spacing w:after="60" w:before="60"/>
      </w:pPr>
      <w:r>
        <w:rPr>
          <w:rFonts w:ascii="Calibri" w:cs="Calibri" w:eastAsia="Calibri" w:hAnsi="Calibri"/>
          <w:color w:val="1E293B"/>
          <w:sz w:val="20"/>
          <w:szCs w:val="20"/>
        </w:rPr>
        <w:t xml:space="preserve">LeapMoney operates a multi-sided marketplace model in the Indian consumer lending space. Revenue is earned at the intersection of three sides: borrowers (who access free matching and scoring), lenders (who pay for qualified leads), and distribution partners (DSAs and referral partners, who earn commissions from LeapMoney's lender revenue share).</w:t>
      </w:r>
    </w:p>
    <w:p>
      <w:pPr>
        <w:spacing w:after="60" w:before="60"/>
      </w:pPr>
      <w:r>
        <w:rPr>
          <w:rFonts w:ascii="Calibri" w:cs="Calibri" w:eastAsia="Calibri" w:hAnsi="Calibri"/>
          <w:color w:val="1E293B"/>
          <w:sz w:val="20"/>
          <w:szCs w:val="20"/>
        </w:rPr>
        <w:t xml:space="preserve">The model is built on a core principle: LeapMoney earns only when genuine value is delivered — a qualified lead matched, a loan disbursed, or a score that helps a borrower improve their creditworthiness. This aligns incentives, builds trust, and creates a sustainable flywheel.</w:t>
      </w:r>
    </w:p>
    <w:p>
      <w:pPr>
        <w:spacing w:after="0" w:before="0"/>
      </w:pPr>
    </w:p>
    <w:p>
      <w:pPr>
        <w:pStyle w:val="Heading2"/>
        <w:spacing w:after="80" w:before="320"/>
      </w:pPr>
      <w:r>
        <w:t xml:space="preserve">1.1  Revenue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Principle</w:t>
            </w:r>
          </w:p>
        </w:tc>
        <w:tc>
          <w:tcPr>
            <w:tcW w:type="dxa" w:w="3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It Means</w:t>
            </w:r>
          </w:p>
        </w:tc>
        <w:tc>
          <w:tcPr>
            <w:tcW w:type="dxa" w:w="3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Why It Matters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Value-aligned monetisation</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Primary revenue tied to disbursal — we earn when the borrower gets funded</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Prevents incentive to push ineligible applicants through the funnel</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Borrower-free model</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Borrowers pay nothing — not for the score, not for matching, not for the comparison</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Removes friction in the acquisition funnel; borrower trust is a competitive moat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Lender-pays model</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Lenders pay per qualified lead or per disbursal (negotiated)</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Industry standard; lenders have highest ability to pay and highest lifetime value of a disbursed loan</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Distribution multiplier</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DSAs and partners are paid from LeapMoney's lender revenue, not from borrowers</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Enables wide distribution without cannibalising borrower trust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Premium data layer (Phase 2)</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Business/lender subscriptions and API access add predictable recurring revenue</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Reduces dependence on transaction volume; improves revenue quality</w:t>
            </w:r>
          </w:p>
        </w:tc>
      </w:tr>
    </w:tbl>
    <w:p>
      <w:pPr>
        <w:spacing w:after="0" w:before="0"/>
      </w:pPr>
    </w:p>
    <w:p>
      <w:pPr>
        <w:pStyle w:val="Heading2"/>
        <w:spacing w:after="80" w:before="320"/>
      </w:pPr>
      <w:r>
        <w:t xml:space="preserve">1.2  Revenue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Revenue Stream</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Model Type</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Primary Trigger</w:t>
            </w:r>
          </w:p>
        </w:tc>
        <w:tc>
          <w:tcPr>
            <w:tcW w:type="dxa" w:w="1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MVP?</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Commission (per disbursal)</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Transaction — variable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disbursed by lender partner</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Yes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Commission (per lead)</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Transaction — variable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Qualified lead submitted to lender</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Yes (selected lenders)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Platform Fee</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Transaction — from lender revenue share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lead disbursed</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Yes (implicit — DSA earns subset of lender commission)</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Partner Commission</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Transaction — from lender revenue share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attribution → disbursal</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Yes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API (B2B)</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Subscription / API calls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Third-party app queries LeapScore API</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Phase 2</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Pro Subscription</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SaaS subscription</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team pays for advanced features</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Phase 2</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Data Intelligence</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Subscription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pays for market insights and portfolio analytics</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Phase 2</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Health Premium (Borrower)</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Freemium upsell</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upgrades to premium score monitoring</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Phase 2</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Insurance Distribution</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purchases credit or life cover at loan application</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Phase 3</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Super App — Mutual Funds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Trail commission</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invests via LeapMoney</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Phase 3</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Super App — Credit Card</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commission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applies for credit card via LeapMoney</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Phase 3</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5803D" w:sz="12"/>
              <w:left w:val="single" w:color="15803D" w:sz="12"/>
              <w:bottom w:val="none" w:color="auto" w:sz="0"/>
              <w:right w:val="none" w:color="auto" w:sz="0"/>
            </w:tcBorders>
            <w:shd w:fill="F0FDF4"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Analyst Insight</w:t>
            </w:r>
          </w:p>
          <w:p>
            <w:pPr>
              <w:spacing w:after="0" w:before="0"/>
            </w:pPr>
            <w:r>
              <w:rPr>
                <w:rFonts w:ascii="Calibri" w:cs="Calibri" w:eastAsia="Calibri" w:hAnsi="Calibri"/>
                <w:color w:val="1E293B"/>
                <w:sz w:val="18"/>
                <w:szCs w:val="18"/>
              </w:rPr>
              <w:t xml:space="preserve">Indian loan marketplace platforms (BankBazaar, PolicyBazaar loans, Paisabazaar) earn ₹800–₹3,000 per disbursed personal loan from lenders. At 10% conversion (lead to disbursal) and ₹1,500 average commission, 1,000 leads/month → ₹15L/month gross revenue. LeapMoney's superior matching and LeapScore differentiation should command above-market commission rates and higher conversion.</w:t>
            </w:r>
          </w:p>
        </w:tc>
      </w:tr>
    </w:tbl>
    <w:p>
      <w:r>
        <w:br w:type="page"/>
      </w:r>
    </w:p>
    <w:p>
      <w:pPr>
        <w:pStyle w:val="Heading1"/>
        <w:pBdr>
          <w:bottom w:val="single" w:color="0D9488" w:sz="6"/>
        </w:pBdr>
        <w:spacing w:after="120" w:before="480"/>
      </w:pPr>
      <w:r>
        <w:t xml:space="preserve">2  Revenue Streams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Stream</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Phase</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Revenue Type</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Estimated Commission Range</w:t>
            </w:r>
          </w:p>
        </w:tc>
        <w:tc>
          <w:tcPr>
            <w:tcW w:type="dxa" w:w="1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Volume Driver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Per-disbursal lender commission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MVP</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Variable transaction</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₹500–₹5,000 per personal loan
₹2,000–₹15,000 per home/LAP loan
₹1,000–₹8,000 per business loan</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disbursals per month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Per-qualified-lead fee (select lenders)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MVP</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Variable transaction</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₹200–₹500 per qualified lead (where disbursal not trackable)</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leads submitted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lead platform net margin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MVP</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Margin on lender commission</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retains 40–60% of lender commission; DSA paid 40–60%</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DSA-sourced disbursals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partner commission net margin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MVP</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Margin on lender commission</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retains 50–70% of lender commission; partner paid 30–50%</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partner-attributed disbursals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API (B2B)</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2</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Recurring SaaS</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₹5–₹25 per API call (volume bands); or ₹50,000–₹5L/mo subscription</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B2B API integrations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Pro Subscription</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2</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Recurring SaaS</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₹999–₹2,999/month per DSA team seat</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DSA teams subscribed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Intelligence Reports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2</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Recurring B2B</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₹50,000–₹2L/month per lender partner</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lenders subscribed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Health Premium (Borrower)</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2</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Freemium SaaS</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₹299–₹599/month per borrower</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premium borrower subscribers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Insurance co-distribution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3</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3–8% of premium; avg ₹200–₹800 per policy sold</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policies co-sold at loan application</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Mutual Fund / Wealth (Super App)</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3</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Trail commission + AUM fee</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0.5–1.0% trail on AUM</w:t>
            </w:r>
          </w:p>
        </w:tc>
        <w:tc>
          <w:tcPr>
            <w:tcW w:type="dxa" w:w="1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AUM growth</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Card referral</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3</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commission</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₹500–₹2,000 per approved card</w:t>
            </w:r>
          </w:p>
        </w:tc>
        <w:tc>
          <w:tcPr>
            <w:tcW w:type="dxa" w:w="1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credit card approvals</w:t>
            </w:r>
          </w:p>
        </w:tc>
      </w:tr>
    </w:tbl>
    <w:p>
      <w:pPr>
        <w:spacing w:after="0" w:before="0"/>
      </w:pPr>
    </w:p>
    <w:p>
      <w:pPr>
        <w:pStyle w:val="Heading2"/>
        <w:spacing w:after="80" w:before="320"/>
      </w:pPr>
      <w:r>
        <w:t xml:space="preserve">2.1  Revenue Mix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Revenue Stream</w:t>
            </w:r>
          </w:p>
        </w:tc>
        <w:tc>
          <w:tcPr>
            <w:tcW w:type="dxa" w:w="2053"/>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Year 1 Mix</w:t>
            </w:r>
          </w:p>
        </w:tc>
        <w:tc>
          <w:tcPr>
            <w:tcW w:type="dxa" w:w="2053"/>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Year 2 Mix</w:t>
            </w:r>
          </w:p>
        </w:tc>
        <w:tc>
          <w:tcPr>
            <w:tcW w:type="dxa" w:w="2054"/>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Year 3 Mix</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Per-disbursal lender commission</w:t>
            </w:r>
          </w:p>
        </w:tc>
        <w:tc>
          <w:tcPr>
            <w:tcW w:type="dxa" w:w="2053"/>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85%</w:t>
            </w:r>
          </w:p>
        </w:tc>
        <w:tc>
          <w:tcPr>
            <w:tcW w:type="dxa" w:w="2053"/>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70%</w:t>
            </w:r>
          </w:p>
        </w:tc>
        <w:tc>
          <w:tcPr>
            <w:tcW w:type="dxa" w:w="2054"/>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Per-qualified-lead fee</w:t>
            </w:r>
          </w:p>
        </w:tc>
        <w:tc>
          <w:tcPr>
            <w:tcW w:type="dxa" w:w="2053"/>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w:t>
            </w:r>
          </w:p>
        </w:tc>
        <w:tc>
          <w:tcPr>
            <w:tcW w:type="dxa" w:w="2053"/>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2054"/>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API &amp; B2B products</w:t>
            </w:r>
          </w:p>
        </w:tc>
        <w:tc>
          <w:tcPr>
            <w:tcW w:type="dxa" w:w="2053"/>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2053"/>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2054"/>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Pro Subscription</w:t>
            </w:r>
          </w:p>
        </w:tc>
        <w:tc>
          <w:tcPr>
            <w:tcW w:type="dxa" w:w="2053"/>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2053"/>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2054"/>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Intelligence Reports</w:t>
            </w:r>
          </w:p>
        </w:tc>
        <w:tc>
          <w:tcPr>
            <w:tcW w:type="dxa" w:w="2053"/>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2053"/>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w:t>
            </w:r>
          </w:p>
        </w:tc>
        <w:tc>
          <w:tcPr>
            <w:tcW w:type="dxa" w:w="2054"/>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Health Premium (Borrower)</w:t>
            </w:r>
          </w:p>
        </w:tc>
        <w:tc>
          <w:tcPr>
            <w:tcW w:type="dxa" w:w="2053"/>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2053"/>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2054"/>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Insurance co-distribution</w:t>
            </w:r>
          </w:p>
        </w:tc>
        <w:tc>
          <w:tcPr>
            <w:tcW w:type="dxa" w:w="2053"/>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2053"/>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2054"/>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r>
      <w:tr>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Super App revenues (MF, CC, etc.)</w:t>
            </w:r>
          </w:p>
        </w:tc>
        <w:tc>
          <w:tcPr>
            <w:tcW w:type="dxa" w:w="2053"/>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2053"/>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2054"/>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r>
      <w:tr>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w:t>
            </w:r>
          </w:p>
        </w:tc>
        <w:tc>
          <w:tcPr>
            <w:tcW w:type="dxa" w:w="2053"/>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w:t>
            </w:r>
          </w:p>
        </w:tc>
        <w:tc>
          <w:tcPr>
            <w:tcW w:type="dxa" w:w="2053"/>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w:t>
            </w:r>
          </w:p>
        </w:tc>
        <w:tc>
          <w:tcPr>
            <w:tcW w:type="dxa" w:w="2054"/>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12"/>
              <w:left w:val="single" w:color="92400E" w:sz="12"/>
              <w:bottom w:val="none" w:color="auto" w:sz="0"/>
              <w:right w:val="none" w:color="auto" w:sz="0"/>
            </w:tcBorders>
            <w:shd w:fill="FEF3C7"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Strategic Note</w:t>
            </w:r>
          </w:p>
          <w:p>
            <w:pPr>
              <w:spacing w:after="0" w:before="0"/>
            </w:pPr>
            <w:r>
              <w:rPr>
                <w:rFonts w:ascii="Calibri" w:cs="Calibri" w:eastAsia="Calibri" w:hAnsi="Calibri"/>
                <w:color w:val="1E293B"/>
                <w:sz w:val="18"/>
                <w:szCs w:val="18"/>
              </w:rPr>
              <w:t xml:space="preserve">Year 1 revenue is almost entirely transaction-driven (lender commissions). This is intentional — focus on marketplace volume first. The shift toward recurring SaaS and subscription revenue in Year 2–3 is the critical transition that improves revenue quality, reduces lender concentration risk, and supports a higher valuation multiple.</w:t>
            </w:r>
          </w:p>
        </w:tc>
      </w:tr>
    </w:tbl>
    <w:p>
      <w:r>
        <w:br w:type="page"/>
      </w:r>
    </w:p>
    <w:p>
      <w:pPr>
        <w:pStyle w:val="Heading1"/>
        <w:pBdr>
          <w:bottom w:val="single" w:color="0D9488" w:sz="6"/>
        </w:pBdr>
        <w:spacing w:after="120" w:before="480"/>
      </w:pPr>
      <w:r>
        <w:t xml:space="preserve">3  Lender Commission Model</w:t>
      </w:r>
    </w:p>
    <w:p>
      <w:pPr>
        <w:spacing w:after="60" w:before="60"/>
      </w:pPr>
      <w:r>
        <w:rPr>
          <w:rFonts w:ascii="Calibri" w:cs="Calibri" w:eastAsia="Calibri" w:hAnsi="Calibri"/>
          <w:color w:val="1E293B"/>
          <w:sz w:val="20"/>
          <w:szCs w:val="20"/>
        </w:rPr>
        <w:t xml:space="preserve">Lender commission is LeapMoney's primary revenue engine in the MVP and Year 1 phase. Lenders (banks and NBFCs) pay a fee for each qualified lead or disbursed loan that originated from the LeapMoney platform. This is the standard marketplace monetisation model in Indian fintech lending.</w:t>
      </w:r>
    </w:p>
    <w:p>
      <w:pPr>
        <w:spacing w:after="0" w:before="0"/>
      </w:pPr>
    </w:p>
    <w:p>
      <w:pPr>
        <w:pStyle w:val="Heading2"/>
        <w:spacing w:after="80" w:before="320"/>
      </w:pPr>
      <w:r>
        <w:t xml:space="preserve">3.1  Commission Structure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Structure Type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Description</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When Used</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Pros</w:t>
            </w:r>
          </w:p>
        </w:tc>
        <w:tc>
          <w:tcPr>
            <w:tcW w:type="dxa" w:w="1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Per-disbursal flat fee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Fixed INR amount per loan disbursed regardless of amount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Default for NBFCs; most lenders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Aligned incentive; no dispute on amount</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Requires disbursal confirmation from lender</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Per-disbursal % of loan amount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of disbursed loan principal</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Banks with large ticket sizes; LAP; home loans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Higher absolute revenue on large loans</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Variable; depends on ticket size</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Per-qualified-lead fee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Fixed fee when LeapMoney submits a qualified lead package to the lender</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Lenders who cannot track disbursal back to LeapMoney; test lenders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Simpler; no attribution dependency</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Lower revenue; no quality alignment</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Hybrid: lead fee + disbursal top-up</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Base fee on lead submission + top-up on disbursal confirmation</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Long sales cycle lenders (home loans, LAP)</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Best incentive alignment; assured base revenue</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Complex tracking; longer settlement cycle</w:t>
            </w:r>
          </w:p>
        </w:tc>
      </w:tr>
    </w:tbl>
    <w:p>
      <w:pPr>
        <w:spacing w:after="0" w:before="0"/>
      </w:pPr>
    </w:p>
    <w:p>
      <w:pPr>
        <w:pStyle w:val="Heading2"/>
        <w:spacing w:after="80" w:before="320"/>
      </w:pPr>
      <w:r>
        <w:t xml:space="preserve">3.2  Commission Rates by Loan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Loan Type</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Average Ticket Size</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Commission Structure</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Commission Rate</w:t>
            </w:r>
          </w:p>
        </w:tc>
        <w:tc>
          <w:tcPr>
            <w:tcW w:type="dxa" w:w="1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Average Commission per Disbursal</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Loan</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₹3–5L</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Per-disbursal flat fee</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₹1,000–₹2,500 (NBFC)
₹500–₹1,500 (bank)</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 (blended estimate)</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Home Loan</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₹40–80L</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of disbursed amount</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0.20–0.40%</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₹8,000–₹12,000 (blended estimate)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Business Loan (unsecured)</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₹5–15L</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Per-disbursal flat fee</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₹1,500–₹4,000</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 (blended estimate)</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Against Property (LAP)</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₹20–50L</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of disbursed amount</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0.25–0.50%</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₹7,500–₹10,000 (blended estimate)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Loan (BNPL/Small ticket &lt;₹1L)</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₹20,000–₹1L</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of disbursed or flat</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1.5–3.0% or ₹300–₹800</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 (flat estimate)</w:t>
            </w:r>
          </w:p>
        </w:tc>
      </w:tr>
    </w:tbl>
    <w:p>
      <w:pPr>
        <w:spacing w:after="0" w:before="0"/>
      </w:pPr>
    </w:p>
    <w:p>
      <w:pPr>
        <w:pStyle w:val="Heading2"/>
        <w:spacing w:after="80" w:before="320"/>
      </w:pPr>
      <w:r>
        <w:t xml:space="preserve">3.3  Lender Commission P&amp;L (LeapMoney's share)</w:t>
      </w:r>
    </w:p>
    <w:p>
      <w:pPr>
        <w:spacing w:after="60" w:before="60"/>
      </w:pPr>
      <w:r>
        <w:rPr>
          <w:rFonts w:ascii="Calibri" w:cs="Calibri" w:eastAsia="Calibri" w:hAnsi="Calibri"/>
          <w:color w:val="1E293B"/>
          <w:sz w:val="20"/>
          <w:szCs w:val="20"/>
        </w:rPr>
        <w:t xml:space="preserve">LeapMoney retains a portion of lender commission after paying out DSA commissions and partner commissions. The net margin depends on sourcing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Lead Source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Gross Lender Commission</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DSA / Partner Payout</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LeapMoney Net Commission</w:t>
            </w:r>
          </w:p>
        </w:tc>
        <w:tc>
          <w:tcPr>
            <w:tcW w:type="dxa" w:w="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Net Margin %</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Direct (website / app — no intermediary)</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DSA-sourced lead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₹700 (DSA commission)</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53%</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partner-sourced lead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 (partner commission)</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67%</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Blended (assumed 40% direct, 40% DSA, 20% partner)</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 (blended avg)</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₹1,100</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73%</w:t>
            </w:r>
          </w:p>
        </w:tc>
      </w:tr>
    </w:tbl>
    <w:p>
      <w:pPr>
        <w:spacing w:after="0" w:before="0"/>
      </w:pPr>
    </w:p>
    <w:p>
      <w:pPr>
        <w:pStyle w:val="Heading2"/>
        <w:spacing w:after="80" w:before="320"/>
      </w:pPr>
      <w:r>
        <w:t xml:space="preserve">3.4  Lender Commission Settlement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Term</w:t>
            </w:r>
          </w:p>
        </w:tc>
        <w:tc>
          <w:tcPr>
            <w:tcW w:type="dxa" w:w="3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Standard Position</w:t>
            </w:r>
          </w:p>
        </w:tc>
        <w:tc>
          <w:tcPr>
            <w:tcW w:type="dxa" w:w="3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Payment trigger</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Disbursal confirmation from lender (or lead submission for per-lead structure)</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team tracks via Lender Portal decisioning status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Settlement cycle</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Net 30 days post-disbursal confirmation</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Target: Net 15 with larger lender partners post-Year 1</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Invoice</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raises GST invoice on lender for each settlement batch (monthly or per-threshold)</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GST: 18% on commission amount; included in agreed rate or added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Dispute resolution</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disputed by lender must be raised within 15 days of invoice; escalated to ops within 7 days</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Audit log + lender portal decisioning records are primary dispute evidence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Clawback provision</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clawed back if loan cancelled within 30 days of disbursal (fraud or cooling-off period exercise)</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hold period in payout system covers this risk</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TDS deduction</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TDS at 10% deducted by lender on commission payments (Section 194H)</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claims TDS credit in annual ITR; cash flow impact: receives 90% of commission upfront</w:t>
            </w:r>
          </w:p>
        </w:tc>
      </w:tr>
    </w:tbl>
    <w:p>
      <w:pPr>
        <w:spacing w:after="0" w:before="0"/>
      </w:pPr>
    </w:p>
    <w:p>
      <w:pPr>
        <w:pStyle w:val="Heading2"/>
        <w:spacing w:after="80" w:before="320"/>
      </w:pPr>
      <w:r>
        <w:t xml:space="preserve">3.5  Lender Onboarding &amp; Commission Negotiation Strategy</w:t>
      </w:r>
    </w:p>
    <w:p>
      <w:pPr>
        <w:pStyle w:val="ListParagraph"/>
        <w:numPr>
          <w:ilvl w:val="0"/>
          <w:numId w:val="1"/>
        </w:numPr>
        <w:spacing w:after="40" w:before="40"/>
      </w:pPr>
      <w:r>
        <w:rPr>
          <w:rFonts w:ascii="Calibri" w:cs="Calibri" w:eastAsia="Calibri" w:hAnsi="Calibri"/>
          <w:color w:val="1E293B"/>
          <w:sz w:val="20"/>
          <w:szCs w:val="20"/>
        </w:rPr>
        <w:t xml:space="preserve">Year 1 target: 8–12 lender partners (mix of 3–4 banks + 5–8 NBFCs) covering personal, home, and business loan types</w:t>
      </w:r>
    </w:p>
    <w:p>
      <w:pPr>
        <w:pStyle w:val="ListParagraph"/>
        <w:numPr>
          <w:ilvl w:val="0"/>
          <w:numId w:val="1"/>
        </w:numPr>
        <w:spacing w:after="40" w:before="40"/>
      </w:pPr>
      <w:r>
        <w:rPr>
          <w:rFonts w:ascii="Calibri" w:cs="Calibri" w:eastAsia="Calibri" w:hAnsi="Calibri"/>
          <w:color w:val="1E293B"/>
          <w:sz w:val="20"/>
          <w:szCs w:val="20"/>
        </w:rPr>
        <w:t xml:space="preserve">Entry commission: start at ₹800–₹1,200 per personal loan disbursal for first 6 months (build track record)</w:t>
      </w:r>
    </w:p>
    <w:p>
      <w:pPr>
        <w:pStyle w:val="ListParagraph"/>
        <w:numPr>
          <w:ilvl w:val="0"/>
          <w:numId w:val="1"/>
        </w:numPr>
        <w:spacing w:after="40" w:before="40"/>
      </w:pPr>
      <w:r>
        <w:rPr>
          <w:rFonts w:ascii="Calibri" w:cs="Calibri" w:eastAsia="Calibri" w:hAnsi="Calibri"/>
          <w:color w:val="1E293B"/>
          <w:sz w:val="20"/>
          <w:szCs w:val="20"/>
        </w:rPr>
        <w:t xml:space="preserve">Performance ratchet: commission steps up to ₹1,500–₹2,500 when monthly disbursal volume exceeds 50 per lender</w:t>
      </w:r>
    </w:p>
    <w:p>
      <w:pPr>
        <w:pStyle w:val="ListParagraph"/>
        <w:numPr>
          <w:ilvl w:val="0"/>
          <w:numId w:val="1"/>
        </w:numPr>
        <w:spacing w:after="40" w:before="40"/>
      </w:pPr>
      <w:r>
        <w:rPr>
          <w:rFonts w:ascii="Calibri" w:cs="Calibri" w:eastAsia="Calibri" w:hAnsi="Calibri"/>
          <w:color w:val="1E293B"/>
          <w:sz w:val="20"/>
          <w:szCs w:val="20"/>
        </w:rPr>
        <w:t xml:space="preserve">Exclusive rate: negotiate 15–20% higher commission for lenders who give LeapMoney first-look on leads (exclusivity window 48h)</w:t>
      </w:r>
    </w:p>
    <w:p>
      <w:pPr>
        <w:pStyle w:val="ListParagraph"/>
        <w:numPr>
          <w:ilvl w:val="0"/>
          <w:numId w:val="1"/>
        </w:numPr>
        <w:spacing w:after="40" w:before="40"/>
      </w:pPr>
      <w:r>
        <w:rPr>
          <w:rFonts w:ascii="Calibri" w:cs="Calibri" w:eastAsia="Calibri" w:hAnsi="Calibri"/>
          <w:color w:val="1E293B"/>
          <w:sz w:val="20"/>
          <w:szCs w:val="20"/>
        </w:rPr>
        <w:t xml:space="preserve">Data advantage: share aggregated (anonymised) LeapScore distribution and match confidence data with lenders to help them calibrate credit policy — creates stickiness and justifies premium commission</w:t>
      </w:r>
    </w:p>
    <w:p>
      <w:r>
        <w:br w:type="page"/>
      </w:r>
    </w:p>
    <w:p>
      <w:pPr>
        <w:pStyle w:val="Heading1"/>
        <w:pBdr>
          <w:bottom w:val="single" w:color="0D9488" w:sz="6"/>
        </w:pBdr>
        <w:spacing w:after="120" w:before="480"/>
      </w:pPr>
      <w:r>
        <w:t xml:space="preserve">4  DSA Revenue Model</w:t>
      </w:r>
    </w:p>
    <w:p>
      <w:pPr>
        <w:spacing w:after="60" w:before="60"/>
      </w:pPr>
      <w:r>
        <w:rPr>
          <w:rFonts w:ascii="Calibri" w:cs="Calibri" w:eastAsia="Calibri" w:hAnsi="Calibri"/>
          <w:color w:val="1E293B"/>
          <w:sz w:val="20"/>
          <w:szCs w:val="20"/>
        </w:rPr>
        <w:t xml:space="preserve">DSAs (Direct Selling Agents) are independent agents or organisations who source loan applicants and submit them through the LeapMoney DSA Suite. LeapMoney earns by retaining a margin on the lender commission and paying DSAs their agreed portion. The DSA channel is a distribution amplifier — it extends LeapMoney's reach without proportional marketing spend.</w:t>
      </w:r>
    </w:p>
    <w:p>
      <w:pPr>
        <w:spacing w:after="0" w:before="0"/>
      </w:pPr>
    </w:p>
    <w:p>
      <w:pPr>
        <w:pStyle w:val="Heading2"/>
        <w:spacing w:after="80" w:before="320"/>
      </w:pPr>
      <w:r>
        <w:t xml:space="preserve">4.1  DSA 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Loan Type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Lender Commission to LeapMoney</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DSA Payout</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LeapMoney Margin</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Loan (NBFC)</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 avg</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₹700–₹900</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₹600–₹800 (40–53%)</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Higher DSA payout for high-volume DSA orgs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Loan (Bank)</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 avg</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₹450–₹550</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₹450–₹550 (45–55%)</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Banks pay lower commission; DSA payout proportional</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Home Loan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₹9,000 avg</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₹4,000–₹5,000</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₹4,000–₹5,000 (44–56%)</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Highest absolute margin per transaction</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Business Loan</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 avg</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₹1,000–₹1,500</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₹1,000–₹1,500 (40–60%)</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Business loan DSAs often more specialised</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LAP</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₹8,500 avg</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₹3,500–₹4,500</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₹4,000–₹5,000 (47–59%)</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Long sales cycle; DSA payout delayed to disbursal</w:t>
            </w:r>
          </w:p>
        </w:tc>
      </w:tr>
    </w:tbl>
    <w:p>
      <w:pPr>
        <w:spacing w:after="0" w:before="0"/>
      </w:pPr>
    </w:p>
    <w:p>
      <w:pPr>
        <w:pStyle w:val="Heading2"/>
        <w:spacing w:after="80" w:before="320"/>
      </w:pPr>
      <w:r>
        <w:t xml:space="preserve">4.2  DSA Revenue Model P&amp;L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Conservative</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Base</w:t>
            </w:r>
          </w:p>
        </w:tc>
        <w:tc>
          <w:tcPr>
            <w:tcW w:type="dxa" w:w="2186"/>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Optimistic</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Active DSAs (end of Year 1)</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Average leads per DSA per month</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leads per month (Year 1 end)</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1,440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Lead-to-disbursal conversion rate</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Disbursals per month (DSA channel)</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1,080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Avg LeapMoney net margin per DSA disbursal</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₹700</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₹900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Gross DSA channel revenue (LeapMoney margin) per month</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₹56,000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₹2,88,000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₹9,72,000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Annual gross DSA channel revenue</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₹6.7L</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₹34.6L</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₹1.17Cr</w:t>
            </w:r>
          </w:p>
        </w:tc>
      </w:tr>
    </w:tbl>
    <w:p>
      <w:pPr>
        <w:spacing w:after="0" w:before="0"/>
      </w:pPr>
    </w:p>
    <w:p>
      <w:pPr>
        <w:pStyle w:val="Heading2"/>
        <w:spacing w:after="80" w:before="320"/>
      </w:pPr>
      <w:r>
        <w:t xml:space="preserve">4.3  DSA Economics for the DSA (Why They Join)</w:t>
      </w:r>
    </w:p>
    <w:p>
      <w:pPr>
        <w:spacing w:after="60" w:before="60"/>
      </w:pPr>
      <w:r>
        <w:rPr>
          <w:rFonts w:ascii="Calibri" w:cs="Calibri" w:eastAsia="Calibri" w:hAnsi="Calibri"/>
          <w:color w:val="1E293B"/>
          <w:sz w:val="20"/>
          <w:szCs w:val="20"/>
        </w:rPr>
        <w:t xml:space="preserve">The DSA must find LeapMoney economically compelling. The platform advantage LeapMoney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Benefit</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Traditional DSA Model</w:t>
            </w:r>
          </w:p>
        </w:tc>
        <w:tc>
          <w:tcPr>
            <w:tcW w:type="dxa" w:w="3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LeapMoney DSA Model</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management</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Excel sheets, WhatsApp, phone calls</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Structured DSA Suite — lead tracker, timeline, document status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Eligibility check</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judgment or lender tool</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Instant soft eligibility check at lead submission; LeapScore preview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Multi-lender submission</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Must know each lender's process separately</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One submission → automatic routing to matched lenders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tracking</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Opaque; depends on lender reporting</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Real-time commission pipeline; locked/paid status visible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payout</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pays directly (often delayed, disputes)</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centralises payout; faster and transparent</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Training &amp; compliance</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 hoc</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Training Hub + product guides + policy updates in DSA Suite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acquisition</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must find borrowers themselves</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SEO + direct leads shared with DSA (future feature)</w:t>
            </w:r>
          </w:p>
        </w:tc>
      </w:tr>
    </w:tbl>
    <w:p>
      <w:pPr>
        <w:spacing w:after="0" w:before="0"/>
      </w:pPr>
    </w:p>
    <w:p>
      <w:pPr>
        <w:pStyle w:val="Heading2"/>
        <w:spacing w:after="80" w:before="320"/>
      </w:pPr>
      <w:r>
        <w:t xml:space="preserve">4.4  DSA Growth Strategy</w:t>
      </w:r>
    </w:p>
    <w:p>
      <w:pPr>
        <w:pStyle w:val="ListParagraph"/>
        <w:numPr>
          <w:ilvl w:val="0"/>
          <w:numId w:val="1"/>
        </w:numPr>
        <w:spacing w:after="40" w:before="40"/>
      </w:pPr>
      <w:r>
        <w:rPr>
          <w:rFonts w:ascii="Calibri" w:cs="Calibri" w:eastAsia="Calibri" w:hAnsi="Calibri"/>
          <w:color w:val="1E293B"/>
          <w:sz w:val="20"/>
          <w:szCs w:val="20"/>
        </w:rPr>
        <w:t xml:space="preserve">Year 1: recruit 100–150 DSAs via personal outreach, LinkedIn, DSA aggregator forums, and fintech events</w:t>
      </w:r>
    </w:p>
    <w:p>
      <w:pPr>
        <w:pStyle w:val="ListParagraph"/>
        <w:numPr>
          <w:ilvl w:val="0"/>
          <w:numId w:val="1"/>
        </w:numPr>
        <w:spacing w:after="40" w:before="40"/>
      </w:pPr>
      <w:r>
        <w:rPr>
          <w:rFonts w:ascii="Calibri" w:cs="Calibri" w:eastAsia="Calibri" w:hAnsi="Calibri"/>
          <w:color w:val="1E293B"/>
          <w:sz w:val="20"/>
          <w:szCs w:val="20"/>
        </w:rPr>
        <w:t xml:space="preserve">Year 1: DSA onboarding incentive — ₹5,000 bonus on first 5 disbursals (cost of acquisition recovered in 3–4 disbursals)</w:t>
      </w:r>
    </w:p>
    <w:p>
      <w:pPr>
        <w:pStyle w:val="ListParagraph"/>
        <w:numPr>
          <w:ilvl w:val="0"/>
          <w:numId w:val="1"/>
        </w:numPr>
        <w:spacing w:after="40" w:before="40"/>
      </w:pPr>
      <w:r>
        <w:rPr>
          <w:rFonts w:ascii="Calibri" w:cs="Calibri" w:eastAsia="Calibri" w:hAnsi="Calibri"/>
          <w:color w:val="1E293B"/>
          <w:sz w:val="20"/>
          <w:szCs w:val="20"/>
        </w:rPr>
        <w:t xml:space="preserve">Year 2: DSA referral programme — existing DSA earns ₹2,000 for each new DSA they bring who achieves first disbursal</w:t>
      </w:r>
    </w:p>
    <w:p>
      <w:pPr>
        <w:pStyle w:val="ListParagraph"/>
        <w:numPr>
          <w:ilvl w:val="0"/>
          <w:numId w:val="1"/>
        </w:numPr>
        <w:spacing w:after="40" w:before="40"/>
      </w:pPr>
      <w:r>
        <w:rPr>
          <w:rFonts w:ascii="Calibri" w:cs="Calibri" w:eastAsia="Calibri" w:hAnsi="Calibri"/>
          <w:color w:val="1E293B"/>
          <w:sz w:val="20"/>
          <w:szCs w:val="20"/>
        </w:rPr>
        <w:t xml:space="preserve">Year 2: DSA Pro Subscription (₹999–₹2,999/month) unlocks: bulk lead import, team analytics dashboard, priority lender routing, dedicated relationship manager</w:t>
      </w:r>
    </w:p>
    <w:p>
      <w:pPr>
        <w:pStyle w:val="ListParagraph"/>
        <w:numPr>
          <w:ilvl w:val="0"/>
          <w:numId w:val="1"/>
        </w:numPr>
        <w:spacing w:after="40" w:before="40"/>
      </w:pPr>
      <w:r>
        <w:rPr>
          <w:rFonts w:ascii="Calibri" w:cs="Calibri" w:eastAsia="Calibri" w:hAnsi="Calibri"/>
          <w:color w:val="1E293B"/>
          <w:sz w:val="20"/>
          <w:szCs w:val="20"/>
        </w:rPr>
        <w:t xml:space="preserve">Year 3: DSA Org programme — onboard established loan agent organisations (25+ agents); custom commission tiers; co-branded marketing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12"/>
              <w:left w:val="single" w:color="92400E" w:sz="12"/>
              <w:bottom w:val="none" w:color="auto" w:sz="0"/>
              <w:right w:val="none" w:color="auto" w:sz="0"/>
            </w:tcBorders>
            <w:shd w:fill="FEF3C7"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Key Risk</w:t>
            </w:r>
          </w:p>
          <w:p>
            <w:pPr>
              <w:spacing w:after="0" w:before="0"/>
            </w:pPr>
            <w:r>
              <w:rPr>
                <w:rFonts w:ascii="Calibri" w:cs="Calibri" w:eastAsia="Calibri" w:hAnsi="Calibri"/>
                <w:color w:val="1E293B"/>
                <w:sz w:val="18"/>
                <w:szCs w:val="18"/>
              </w:rPr>
              <w:t xml:space="preserve">DSA churn is high in Indian fintech if payout is slow or opaque. LeapMoney's competitive advantage is payout speed and transparency. Target: commission payout within 5 working days of disbursal confirmation. This is a product and ops commitment, not just a policy.</w:t>
            </w:r>
          </w:p>
        </w:tc>
      </w:tr>
    </w:tbl>
    <w:p>
      <w:r>
        <w:br w:type="page"/>
      </w:r>
    </w:p>
    <w:p>
      <w:pPr>
        <w:pStyle w:val="Heading1"/>
        <w:pBdr>
          <w:bottom w:val="single" w:color="0D9488" w:sz="6"/>
        </w:pBdr>
        <w:spacing w:after="120" w:before="480"/>
      </w:pPr>
      <w:r>
        <w:t xml:space="preserve">5  Referral Partner Revenue Model</w:t>
      </w:r>
    </w:p>
    <w:p>
      <w:pPr>
        <w:spacing w:after="60" w:before="60"/>
      </w:pPr>
      <w:r>
        <w:rPr>
          <w:rFonts w:ascii="Calibri" w:cs="Calibri" w:eastAsia="Calibri" w:hAnsi="Calibri"/>
          <w:color w:val="1E293B"/>
          <w:sz w:val="20"/>
          <w:szCs w:val="20"/>
        </w:rPr>
        <w:t xml:space="preserve">Referral partners are non-lending entities who refer borrowers to LeapMoney and earn a commission on successful disbursals. Unlike DSAs (who actively manage applications), referral partners passively distribute — via links, widgets, or content. The channel is high-margin for LeapMoney once acquisition is complete.</w:t>
      </w:r>
    </w:p>
    <w:p>
      <w:pPr>
        <w:spacing w:after="0" w:before="0"/>
      </w:pPr>
    </w:p>
    <w:p>
      <w:pPr>
        <w:pStyle w:val="Heading2"/>
        <w:spacing w:after="80" w:before="320"/>
      </w:pPr>
      <w:r>
        <w:t xml:space="preserve">5.1  Partner Types &amp; Commission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Partner Type</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Referral Method</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Commission to Partner</w:t>
            </w:r>
          </w:p>
        </w:tc>
        <w:tc>
          <w:tcPr>
            <w:tcW w:type="dxa" w:w="1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LeapMoney Margin</w:t>
            </w:r>
          </w:p>
        </w:tc>
        <w:tc>
          <w:tcPr>
            <w:tcW w:type="dxa" w:w="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Volume Potential</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Fintech App Partner (e.g. budgeting app, expense tracker)</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Deep-link SDK / embedded widget</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₹500–₹800 per disbursal</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₹700–₹1,000 per disbursal</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 large user bases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 / Tax Professional</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link in client advisory</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₹400–₹600 per qualified application</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₹900–₹1,100 per disbursal</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 — trust-driven conversion</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Employer / HR Portal</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Co-branded salary advance / loan link</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₹300–₹500 per application + ₹200 disbursal bonus</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₹1,000–₹1,200 per disbursal</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 captive salaried audience</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Housing / Real Estate Platform</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Home loan deep-link at property listing</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₹2,000–₹4,000 per home loan disbursal</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₹4,000–₹7,000 per home loan disbursal</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Medium — high ticket, low volume</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Content Creator / Influencer</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link in bio / content</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₹200–₹400 per application</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₹1,100–₹1,300 per disbursal</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Variable — audience-dependent</w:t>
            </w:r>
          </w:p>
        </w:tc>
      </w:tr>
    </w:tbl>
    <w:p>
      <w:pPr>
        <w:spacing w:after="0" w:before="0"/>
      </w:pPr>
    </w:p>
    <w:p>
      <w:pPr>
        <w:pStyle w:val="Heading2"/>
        <w:spacing w:after="80" w:before="320"/>
      </w:pPr>
      <w:r>
        <w:t xml:space="preserve">5.2  Referral Channel Economics (Year 1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5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Value</w:t>
            </w:r>
          </w:p>
        </w:tc>
      </w:tr>
      <w:tr>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Target referral partners (end Year 1)</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 active partners</w:t>
            </w:r>
          </w:p>
        </w:tc>
      </w:tr>
      <w:tr>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Average clicks per partner per month</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w:t>
            </w:r>
          </w:p>
        </w:tc>
      </w:tr>
      <w:tr>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Click-to-application CVR</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 (40 applications/partner/month)</w:t>
            </w:r>
          </w:p>
        </w:tc>
      </w:tr>
      <w:tr>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Application-to-disbursal CVR</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w:t>
            </w:r>
          </w:p>
        </w:tc>
      </w:tr>
      <w:tr>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Disbursals per partner per month (avg)</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r>
      <w:tr>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disbursals from referral channel (Year 1 steady state)</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160/month</w:t>
            </w:r>
          </w:p>
        </w:tc>
      </w:tr>
      <w:tr>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Average LeapMoney margin per referral disbursal</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₹1,050</w:t>
            </w:r>
          </w:p>
        </w:tc>
      </w:tr>
      <w:tr>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Gross referral channel revenue per month</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₹1,68,000</w:t>
            </w:r>
          </w:p>
        </w:tc>
      </w:tr>
      <w:tr>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Annual gross referral channel revenue</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₹20.2L</w:t>
            </w:r>
          </w:p>
        </w:tc>
      </w:tr>
    </w:tbl>
    <w:p>
      <w:pPr>
        <w:spacing w:after="0" w:before="0"/>
      </w:pPr>
    </w:p>
    <w:p>
      <w:pPr>
        <w:pStyle w:val="Heading2"/>
        <w:spacing w:after="80" w:before="320"/>
      </w:pPr>
      <w:r>
        <w:t xml:space="preserve">5.3  Partner Programme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Tier</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Criteria</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Commission Rate</w:t>
            </w:r>
          </w:p>
        </w:tc>
        <w:tc>
          <w:tcPr>
            <w:tcW w:type="dxa" w:w="2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Additional Benefits</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Partner</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0–50 disbursals/month</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rate (per type above)</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Self-serve portal, link generator, basic attribution dashboard</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Silver Partner</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50–200 disbursals/month</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 above standard rate</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Dedicated relationship manager, co-branded marketing materials, featured placement in LeapMoney partner directory</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Gold Partner</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 disbursals/month</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 above standard rate + bonus on milestones</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integration support, API access, joint marketing budget, quarterly business reviews</w:t>
            </w:r>
          </w:p>
        </w:tc>
      </w:tr>
    </w:tbl>
    <w:p>
      <w:r>
        <w:br w:type="page"/>
      </w:r>
    </w:p>
    <w:p>
      <w:pPr>
        <w:pStyle w:val="Heading1"/>
        <w:pBdr>
          <w:bottom w:val="single" w:color="0D9488" w:sz="6"/>
        </w:pBdr>
        <w:spacing w:after="120" w:before="480"/>
      </w:pPr>
      <w:r>
        <w:t xml:space="preserve">6  Subscription Opportunities</w:t>
      </w:r>
    </w:p>
    <w:p>
      <w:pPr>
        <w:spacing w:after="60" w:before="60"/>
      </w:pPr>
      <w:r>
        <w:rPr>
          <w:rFonts w:ascii="Calibri" w:cs="Calibri" w:eastAsia="Calibri" w:hAnsi="Calibri"/>
          <w:color w:val="1E293B"/>
          <w:sz w:val="20"/>
          <w:szCs w:val="20"/>
        </w:rPr>
        <w:t xml:space="preserve">Subscription revenue provides the recurring, predictable income that complements transaction-based commissions. These streams are Phase 2 initiatives — introduced once the marketplace has established volume and a data asset worth monetising.</w:t>
      </w:r>
    </w:p>
    <w:p>
      <w:pPr>
        <w:spacing w:after="0" w:before="0"/>
      </w:pPr>
    </w:p>
    <w:p>
      <w:pPr>
        <w:pStyle w:val="Heading2"/>
        <w:spacing w:after="80" w:before="320"/>
      </w:pPr>
      <w:r>
        <w:t xml:space="preserve">6.1  DSA Pro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Feature</w:t>
            </w:r>
          </w:p>
        </w:tc>
        <w:tc>
          <w:tcPr>
            <w:tcW w:type="dxa" w:w="132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Free (DSA Standard)</w:t>
            </w:r>
          </w:p>
        </w:tc>
        <w:tc>
          <w:tcPr>
            <w:tcW w:type="dxa" w:w="132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 (₹999/month)</w:t>
            </w:r>
          </w:p>
        </w:tc>
        <w:tc>
          <w:tcPr>
            <w:tcW w:type="dxa" w:w="432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Enterprise (₹2,999/month + custom)</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submission</w:t>
            </w:r>
          </w:p>
        </w:tc>
        <w:tc>
          <w:tcPr>
            <w:tcW w:type="dxa" w:w="1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Unlimited</w:t>
            </w:r>
          </w:p>
        </w:tc>
        <w:tc>
          <w:tcPr>
            <w:tcW w:type="dxa" w:w="1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Unlimited</w:t>
            </w:r>
          </w:p>
        </w:tc>
        <w:tc>
          <w:tcPr>
            <w:tcW w:type="dxa" w:w="4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Unlimited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tracker</w:t>
            </w:r>
          </w:p>
        </w:tc>
        <w:tc>
          <w:tcPr>
            <w:tcW w:type="dxa" w:w="1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Basic table view</w:t>
            </w:r>
          </w:p>
        </w:tc>
        <w:tc>
          <w:tcPr>
            <w:tcW w:type="dxa" w:w="1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Advanced filters, export, bulk actions</w:t>
            </w:r>
          </w:p>
        </w:tc>
        <w:tc>
          <w:tcPr>
            <w:tcW w:type="dxa" w:w="4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views, team analytics, API access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management</w:t>
            </w:r>
          </w:p>
        </w:tc>
        <w:tc>
          <w:tcPr>
            <w:tcW w:type="dxa" w:w="1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Solo only</w:t>
            </w:r>
          </w:p>
        </w:tc>
        <w:tc>
          <w:tcPr>
            <w:tcW w:type="dxa" w:w="1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 to 5 sub-agents</w:t>
            </w:r>
          </w:p>
        </w:tc>
        <w:tc>
          <w:tcPr>
            <w:tcW w:type="dxa" w:w="4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Unlimited agents + org hierarchy</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Priority lender routing</w:t>
            </w:r>
          </w:p>
        </w:tc>
        <w:tc>
          <w:tcPr>
            <w:tcW w:type="dxa" w:w="1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w:t>
            </w:r>
          </w:p>
        </w:tc>
        <w:tc>
          <w:tcPr>
            <w:tcW w:type="dxa" w:w="1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leads jump queue</w:t>
            </w:r>
          </w:p>
        </w:tc>
        <w:tc>
          <w:tcPr>
            <w:tcW w:type="dxa" w:w="4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dedicated lender relationship</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analytics</w:t>
            </w:r>
          </w:p>
        </w:tc>
        <w:tc>
          <w:tcPr>
            <w:tcW w:type="dxa" w:w="1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Basic</w:t>
            </w:r>
          </w:p>
        </w:tc>
        <w:tc>
          <w:tcPr>
            <w:tcW w:type="dxa" w:w="1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Advanced (by loan type, lender, period)</w:t>
            </w:r>
          </w:p>
        </w:tc>
        <w:tc>
          <w:tcPr>
            <w:tcW w:type="dxa" w:w="4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P&amp;L dashboard + payout forecasting</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nudges to borrowers</w:t>
            </w:r>
          </w:p>
        </w:tc>
        <w:tc>
          <w:tcPr>
            <w:tcW w:type="dxa" w:w="1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cadence</w:t>
            </w:r>
          </w:p>
        </w:tc>
        <w:tc>
          <w:tcPr>
            <w:tcW w:type="dxa" w:w="1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Accelerated follow-up cadence</w:t>
            </w:r>
          </w:p>
        </w:tc>
        <w:tc>
          <w:tcPr>
            <w:tcW w:type="dxa" w:w="4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cadence + branded messages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Dedicated RM</w:t>
            </w:r>
          </w:p>
        </w:tc>
        <w:tc>
          <w:tcPr>
            <w:tcW w:type="dxa" w:w="1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w:t>
            </w:r>
          </w:p>
        </w:tc>
        <w:tc>
          <w:tcPr>
            <w:tcW w:type="dxa" w:w="1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Shared RM pool</w:t>
            </w:r>
          </w:p>
        </w:tc>
        <w:tc>
          <w:tcPr>
            <w:tcW w:type="dxa" w:w="4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Dedicated named RM</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access</w:t>
            </w:r>
          </w:p>
        </w:tc>
        <w:tc>
          <w:tcPr>
            <w:tcW w:type="dxa" w:w="1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w:t>
            </w:r>
          </w:p>
        </w:tc>
        <w:tc>
          <w:tcPr>
            <w:tcW w:type="dxa" w:w="1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w:t>
            </w:r>
          </w:p>
        </w:tc>
        <w:tc>
          <w:tcPr>
            <w:tcW w:type="dxa" w:w="43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lead submission via API</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Target DSA type</w:t>
            </w:r>
          </w:p>
        </w:tc>
        <w:tc>
          <w:tcPr>
            <w:tcW w:type="dxa" w:w="1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Individual DSA just starting</w:t>
            </w:r>
          </w:p>
        </w:tc>
        <w:tc>
          <w:tcPr>
            <w:tcW w:type="dxa" w:w="1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Established individual or small team</w:t>
            </w:r>
          </w:p>
        </w:tc>
        <w:tc>
          <w:tcPr>
            <w:tcW w:type="dxa" w:w="43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Large DSA org (20+ agents)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Conservative</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Base</w:t>
            </w:r>
          </w:p>
        </w:tc>
        <w:tc>
          <w:tcPr>
            <w:tcW w:type="dxa" w:w="2186"/>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Optimistic</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Pro subscribers (end Year 2)</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Enterprise subscribers (end Year 2)</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 recurring revenue (Year 2 end)</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₹59,700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₹1,11,600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₹1,94,500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Annual DSA subscription revenue (Year 2)</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₹7.2L</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₹13.4L</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₹23.3L</w:t>
            </w:r>
          </w:p>
        </w:tc>
      </w:tr>
    </w:tbl>
    <w:p>
      <w:pPr>
        <w:spacing w:after="0" w:before="0"/>
      </w:pPr>
    </w:p>
    <w:p>
      <w:pPr>
        <w:pStyle w:val="Heading2"/>
        <w:spacing w:after="80" w:before="320"/>
      </w:pPr>
      <w:r>
        <w:t xml:space="preserve">6.2  Lender Data Intelligence Subscription</w:t>
      </w:r>
    </w:p>
    <w:p>
      <w:pPr>
        <w:spacing w:after="60" w:before="60"/>
      </w:pPr>
      <w:r>
        <w:rPr>
          <w:rFonts w:ascii="Calibri" w:cs="Calibri" w:eastAsia="Calibri" w:hAnsi="Calibri"/>
          <w:color w:val="1E293B"/>
          <w:sz w:val="20"/>
          <w:szCs w:val="20"/>
        </w:rPr>
        <w:t xml:space="preserve">Lenders and NBFCs need market intelligence to calibrate credit policy, understand competitive landscape, and identify underserved segments. LeapMoney's aggregate data (anonymised, aggregated) is a unique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Report / Insight</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Description</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Audience</w:t>
            </w:r>
          </w:p>
        </w:tc>
        <w:tc>
          <w:tcPr>
            <w:tcW w:type="dxa" w:w="2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Pricing</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 Credit Demand Report</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enquiry volume by type, city tier, income band, LeapScore distribution</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lender partners</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₹50,000/month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Approval Rate Benchmarking</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Lender's own approval rate vs anonymised peer benchmark by loan type</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Individual lender (own data + peer avg)</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₹75,000/month</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Rejection Reason Analysis</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Most common rejection reasons across the platform — helps lenders identify policy mismatches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Individual lender (own data + platform avg)</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₹50,000/month</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Geographic Opportunity Map</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Districts/cities with high demand and low approval coverage — untapped opportunity</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expansion teams</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₹1,00,000/quarter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Score-to-Approval Correlation</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Historical correlation between LeapScore bands and actual lender approval rates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policy teams</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₹1,50,000/quarter (limited release)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Conservative</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Base</w:t>
            </w:r>
          </w:p>
        </w:tc>
        <w:tc>
          <w:tcPr>
            <w:tcW w:type="dxa" w:w="2186"/>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Optimistic</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data subscribers (end Year 2)</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Average monthly revenue per subscriber</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₹60,000</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 recurring revenue (Year 2 end)</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₹1,20,000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₹3,75,000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₹8,00,000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Annual lender intelligence revenue (Year 2)</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₹14.4L</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₹45L</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₹96L</w:t>
            </w:r>
          </w:p>
        </w:tc>
      </w:tr>
    </w:tbl>
    <w:p>
      <w:r>
        <w:br w:type="page"/>
      </w:r>
    </w:p>
    <w:p>
      <w:pPr>
        <w:pStyle w:val="Heading1"/>
        <w:pBdr>
          <w:bottom w:val="single" w:color="0D9488" w:sz="6"/>
        </w:pBdr>
        <w:spacing w:after="120" w:before="480"/>
      </w:pPr>
      <w:r>
        <w:t xml:space="preserve">7  LeapScore™ Monetisation</w:t>
      </w:r>
    </w:p>
    <w:p>
      <w:pPr>
        <w:spacing w:after="60" w:before="60"/>
      </w:pPr>
      <w:r>
        <w:rPr>
          <w:rFonts w:ascii="Calibri" w:cs="Calibri" w:eastAsia="Calibri" w:hAnsi="Calibri"/>
          <w:color w:val="1E293B"/>
          <w:sz w:val="20"/>
          <w:szCs w:val="20"/>
        </w:rPr>
        <w:t xml:space="preserve">LeapScore™ is LeapMoney's proprietary credit health rating (0–100, 5 bands). It is a unique data asset built from LeapMoney's own algorithmic synthesis of bureau data, income signals, and behavioural patterns. Monetisation paths operate at three levels: consumer (borrower), B2B API, and data licensing.</w:t>
      </w:r>
    </w:p>
    <w:p>
      <w:pPr>
        <w:spacing w:after="0" w:before="0"/>
      </w:pPr>
    </w:p>
    <w:p>
      <w:pPr>
        <w:pStyle w:val="Heading2"/>
        <w:spacing w:after="80" w:before="320"/>
      </w:pPr>
      <w:r>
        <w:t xml:space="preserve">7.1  LeapScore — Consumer Freemium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Tier</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Price</w:t>
            </w:r>
          </w:p>
        </w:tc>
        <w:tc>
          <w:tcPr>
            <w:tcW w:type="dxa" w:w="4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Features</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Monetisation Logic</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Free (LeapScore Basic)</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₹0/month</w:t>
            </w:r>
          </w:p>
        </w:tc>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Score check once per month · Band display · Basic improvement tips · Score history (3 months)</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acquisition and retention tool; drives application conversion</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Premium (LeapScore+)</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₹299/month</w:t>
            </w:r>
          </w:p>
        </w:tc>
        <w:tc>
          <w:tcPr>
            <w:tcW w:type="dxa" w:w="4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Real-time score refresh · Full dimension breakdown · 12-month score history · Priority improvement plan · "Lender view" simulation · Early access to matched offers</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Freemium upsell; targets engaged borrowers improving their credit health</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Premium Annual</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₹1,999/year (₹167/month effective)</w:t>
            </w:r>
          </w:p>
        </w:tc>
        <w:tc>
          <w:tcPr>
            <w:tcW w:type="dxa" w:w="4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Premium features + credit dispute tracker + email alerts on score change · 2 free bureau report fetches/year</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Annual commitment discount; reduces churn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Conservative</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Base</w:t>
            </w:r>
          </w:p>
        </w:tc>
        <w:tc>
          <w:tcPr>
            <w:tcW w:type="dxa" w:w="2186"/>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Optimistic</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Registered borrowers with active score (Year 2)</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Premium conversion rate</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Premium subscribers (Year 2)</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450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Avg monthly revenue per subscriber</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 (blended monthly/annual)</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 recurring revenue (Year 2 end)</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₹18,750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₹1,12,500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₹3,75,000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Annual LeapScore consumer revenue (Year 2)</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₹2.25L</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₹13.5L</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₹45L</w:t>
            </w:r>
          </w:p>
        </w:tc>
      </w:tr>
    </w:tbl>
    <w:p>
      <w:pPr>
        <w:spacing w:after="0" w:before="0"/>
      </w:pPr>
    </w:p>
    <w:p>
      <w:pPr>
        <w:pStyle w:val="Heading2"/>
        <w:spacing w:after="80" w:before="320"/>
      </w:pPr>
      <w:r>
        <w:t xml:space="preserve">7.2  LeapScore B2B API</w:t>
      </w:r>
    </w:p>
    <w:p>
      <w:pPr>
        <w:spacing w:after="60" w:before="60"/>
      </w:pPr>
      <w:r>
        <w:rPr>
          <w:rFonts w:ascii="Calibri" w:cs="Calibri" w:eastAsia="Calibri" w:hAnsi="Calibri"/>
          <w:color w:val="1E293B"/>
          <w:sz w:val="20"/>
          <w:szCs w:val="20"/>
        </w:rPr>
        <w:t xml:space="preserve">Third-party applications (employer HR portals, NBFCs without their own scoring, fintech apps, housing platforms) can integrate the LeapScore API to offer their users a credit readiness score. LeapMoney earns per API call or via monthly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API Tier</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Price Model</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Included Calls</w:t>
            </w:r>
          </w:p>
        </w:tc>
        <w:tc>
          <w:tcPr>
            <w:tcW w:type="dxa" w:w="2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Target Customer</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Starter</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₹10/call (pay-per-use)</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None — pure PAYG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Early-stage fintech apps exploring integration</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Growth</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₹50,000/month flat</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 to 10,000 calls/month (₹5/call effective)</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Mid-size fintech apps with consistent user base</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Enterprise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₹2,00,000/month</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 to 1,00,000 calls/month (₹2/call effective) + dedicated SLA + white-label option</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Large employers, insurance companies, major fintech apps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Conservative</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Base</w:t>
            </w:r>
          </w:p>
        </w:tc>
        <w:tc>
          <w:tcPr>
            <w:tcW w:type="dxa" w:w="2186"/>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Optimistic</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B2B API integrations (end Year 2)</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Average monthly API revenue per integration</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₹40,000</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₹60,000</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 recurring revenue (Year 2 end)</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₹80,000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₹3,00,000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Annual LeapScore B2B API revenue (Year 2)</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₹9.6L</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₹36L</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₹1.2Cr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D4ED8" w:sz="12"/>
              <w:left w:val="single" w:color="1D4ED8" w:sz="12"/>
              <w:bottom w:val="none" w:color="auto" w:sz="0"/>
              <w:right w:val="none" w:color="auto" w:sz="0"/>
            </w:tcBorders>
            <w:shd w:fill="EFF6FF"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Strategic Note — LeapScore as Moat</w:t>
            </w:r>
          </w:p>
          <w:p>
            <w:pPr>
              <w:spacing w:after="0" w:before="0"/>
            </w:pPr>
            <w:r>
              <w:rPr>
                <w:rFonts w:ascii="Calibri" w:cs="Calibri" w:eastAsia="Calibri" w:hAnsi="Calibri"/>
                <w:color w:val="1E293B"/>
                <w:sz w:val="18"/>
                <w:szCs w:val="18"/>
              </w:rPr>
              <w:t xml:space="preserve">LeapScore is not just a product feature — it is LeapMoney's proprietary data asset. As the platform processes more applications and observes lender approval/rejection outcomes, the correlation between LeapScore bands and actual approval rates improves. This creates a self-reinforcing moat: more volume → better scoring → higher APE accuracy → more lender trust → higher commissions → more volume. B2B API monetisation of LeapScore in Phase 2 should be treated as a strategic priority, not just an incremental revenue line.</w:t>
            </w:r>
          </w:p>
        </w:tc>
      </w:tr>
    </w:tbl>
    <w:p>
      <w:r>
        <w:br w:type="page"/>
      </w:r>
    </w:p>
    <w:p>
      <w:pPr>
        <w:pStyle w:val="Heading1"/>
        <w:pBdr>
          <w:bottom w:val="single" w:color="0D9488" w:sz="6"/>
        </w:pBdr>
        <w:spacing w:after="120" w:before="480"/>
      </w:pPr>
      <w:r>
        <w:t xml:space="preserve">8  Future Super App Revenue Streams</w:t>
      </w:r>
    </w:p>
    <w:p>
      <w:pPr>
        <w:spacing w:after="60" w:before="60"/>
      </w:pPr>
      <w:r>
        <w:rPr>
          <w:rFonts w:ascii="Calibri" w:cs="Calibri" w:eastAsia="Calibri" w:hAnsi="Calibri"/>
          <w:color w:val="1E293B"/>
          <w:sz w:val="20"/>
          <w:szCs w:val="20"/>
        </w:rPr>
        <w:t xml:space="preserve">The LeapMoney Super App vision (from Phase 1 &amp; Phase 3 Addendum) extends beyond loan matching to become the complete financial health platform for India's emerging credit class. These revenue streams become accessible once the core loan marketplace has 50,000+ registered users and strong brand trust.</w:t>
      </w:r>
    </w:p>
    <w:p>
      <w:pPr>
        <w:spacing w:after="0" w:before="0"/>
      </w:pPr>
    </w:p>
    <w:p>
      <w:pPr>
        <w:pStyle w:val="Heading2"/>
        <w:spacing w:after="80" w:before="320"/>
      </w:pPr>
      <w:r>
        <w:t xml:space="preserve">8.1  Super App Revenue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Stream</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Phase</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Revenue Mechanism</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Market Precedent</w:t>
            </w:r>
          </w:p>
        </w:tc>
        <w:tc>
          <w:tcPr>
            <w:tcW w:type="dxa" w:w="1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LeapMoney Advantage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Card Referral</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3 (Year 2–3)</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₹500–₹2,000 per approved card application</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BankBazaar, Paisabazaar</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band data enables pre-qualification; lower rejection rate → better lender relationship</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Insurance Co-Distribution</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3 (Year 2–3)</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3–8% commission on first-year premium</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PolicyBazaar, Digit</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application moment is natural cross-sell for credit life, term, or EMI protection</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Mutual Fund / SIP Distribution</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3 (Year 3+)</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0.5–1.0% trail commission on AUM; ₹100–₹200 one-time per SIP started</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Groww, Zerodha Coin</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Post-loan borrowers have disposable income cadence perfect for SIP habit building</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FD / Savings Referral</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3 (Year 3+)</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₹200–₹500 per FD opened</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BankBazaar savings</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Users improving LeapScore are natural target for savings products</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Finance Advisory (AI)</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3 (Year 3+)</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₹199–₹499/month premium subscription</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 Money, Jupiter</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 loan history + investment data → genuinely personalised financial plan</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Peer-to-Peer Lending (NBFC-P2P)</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4+ (Year 4+)</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Interest margin on matched loans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Faircent, Lendbox</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regulatory complexity; revenue potential significant if licensed</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Buy Now Pay Later (BNPL)</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4+ (Year 4+)</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Merchant fee + interest margin</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LazyPay, Simpl, ZestMoney</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Requires RE partnership or own NBFC licence; high CAC market</w:t>
            </w:r>
          </w:p>
        </w:tc>
      </w:tr>
    </w:tbl>
    <w:p>
      <w:pPr>
        <w:spacing w:after="0" w:before="0"/>
      </w:pPr>
    </w:p>
    <w:p>
      <w:pPr>
        <w:pStyle w:val="Heading2"/>
        <w:spacing w:after="80" w:before="320"/>
      </w:pPr>
      <w:r>
        <w:t xml:space="preserve">8.2  Insurance Co-Distribution Model</w:t>
      </w:r>
    </w:p>
    <w:p>
      <w:pPr>
        <w:spacing w:after="60" w:before="60"/>
      </w:pPr>
      <w:r>
        <w:rPr>
          <w:rFonts w:ascii="Calibri" w:cs="Calibri" w:eastAsia="Calibri" w:hAnsi="Calibri"/>
          <w:color w:val="1E293B"/>
          <w:sz w:val="20"/>
          <w:szCs w:val="20"/>
        </w:rPr>
        <w:t xml:space="preserve">At loan application, LeapMoney surfaces relevant insurance products (credit life, EMI protection, term cover) to borrowers. This is a natural moment — the borrower is actively thinking about financial commitment and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Product Type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Premium Range</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Commission Rate</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Commission per Policy</w:t>
            </w:r>
          </w:p>
        </w:tc>
        <w:tc>
          <w:tcPr>
            <w:tcW w:type="dxa" w:w="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Conversion Rate Estimate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Life Cover (loan amount coverage on death/disability)</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₹2,000–₹8,000/year (bundled with loan)</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5–8% of first-year premium</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₹100–₹640</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30–50% (embedded offer)</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EMI Protection (job loss or critical illness)</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₹1,500–₹5,000/year</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5–8% of first-year premium</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₹75–₹400</w:t>
            </w:r>
          </w:p>
        </w:tc>
        <w:tc>
          <w:tcPr>
            <w:tcW w:type="dxa" w:w="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20–35%</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Term Life (standalone cross-sell)</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₹5,000–₹20,000/year</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10–15% of first-year premium</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₹500–₹3,000</w:t>
            </w:r>
          </w:p>
        </w:tc>
        <w:tc>
          <w:tcPr>
            <w:tcW w:type="dxa" w:w="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3–8%</w:t>
            </w:r>
          </w:p>
        </w:tc>
      </w:tr>
    </w:tbl>
    <w:p>
      <w:pPr>
        <w:spacing w:after="0" w:before="0"/>
      </w:pPr>
    </w:p>
    <w:p>
      <w:pPr>
        <w:pStyle w:val="Heading2"/>
        <w:spacing w:after="80" w:before="320"/>
      </w:pPr>
      <w:r>
        <w:t xml:space="preserve">8.3  Super App Revenue Projection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Stream</w:t>
            </w:r>
          </w:p>
        </w:tc>
        <w:tc>
          <w:tcPr>
            <w:tcW w:type="dxa" w:w="5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Year 3 Monthly Revenue (Base Case)</w:t>
            </w:r>
          </w:p>
        </w:tc>
      </w:tr>
      <w:tr>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Card Referral</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₹2,00,000 (100 cards/month × ₹2,000 avg)</w:t>
            </w:r>
          </w:p>
        </w:tc>
      </w:tr>
      <w:tr>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Insurance Co-Distribution</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₹3,00,000 (500 policies/month × ₹600 avg commission)</w:t>
            </w:r>
          </w:p>
        </w:tc>
      </w:tr>
      <w:tr>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Mutual Fund Trail Commission</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 (₹3Cr AUM × 0.6% annual trail ÷ 12)</w:t>
            </w:r>
          </w:p>
        </w:tc>
      </w:tr>
      <w:tr>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FD / Savings Referral</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 (100 FDs/month × ₹500 avg)</w:t>
            </w:r>
          </w:p>
        </w:tc>
      </w:tr>
      <w:tr>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Finance Advisory Premium</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 (500 subscribers × ₹200/month avg)</w:t>
            </w:r>
          </w:p>
        </w:tc>
      </w:tr>
      <w:tr>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Super App Revenue (Year 3 monthly)</w:t>
            </w:r>
          </w:p>
        </w:tc>
        <w:tc>
          <w:tcPr>
            <w:tcW w:type="dxa" w:w="5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₹8,00,000</w:t>
            </w:r>
          </w:p>
        </w:tc>
      </w:tr>
      <w:tr>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Super App Revenue (Year 3 annual)</w:t>
            </w:r>
          </w:p>
        </w:tc>
        <w:tc>
          <w:tcPr>
            <w:tcW w:type="dxa" w:w="5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₹96L</w:t>
            </w:r>
          </w:p>
        </w:tc>
      </w:tr>
    </w:tbl>
    <w:p>
      <w:r>
        <w:br w:type="page"/>
      </w:r>
    </w:p>
    <w:p>
      <w:pPr>
        <w:pStyle w:val="Heading1"/>
        <w:pBdr>
          <w:bottom w:val="single" w:color="0D9488" w:sz="6"/>
        </w:pBdr>
        <w:spacing w:after="120" w:before="480"/>
      </w:pPr>
      <w:r>
        <w:t xml:space="preserve">9  Unit Economics — CAC, LTV &amp; Payback Period</w:t>
      </w:r>
    </w:p>
    <w:p>
      <w:pPr>
        <w:spacing w:after="60" w:before="60"/>
      </w:pPr>
      <w:r>
        <w:rPr>
          <w:rFonts w:ascii="Calibri" w:cs="Calibri" w:eastAsia="Calibri" w:hAnsi="Calibri"/>
          <w:color w:val="1E293B"/>
          <w:sz w:val="20"/>
          <w:szCs w:val="20"/>
        </w:rPr>
        <w:t xml:space="preserve">Unit economics reveal whether LeapMoney's business model is fundamentally healthy at the individual customer level. The analysis covers three customer types: Borrowers (who use the platform to find a loan), DSAs (who use the platform to submit leads), and Lenders (who use the platform to receive qualified leads).</w:t>
      </w:r>
    </w:p>
    <w:p>
      <w:pPr>
        <w:spacing w:after="0" w:before="0"/>
      </w:pPr>
    </w:p>
    <w:p>
      <w:pPr>
        <w:pStyle w:val="Heading2"/>
        <w:spacing w:after="80" w:before="320"/>
      </w:pPr>
      <w:r>
        <w:t xml:space="preserve">9.1  Customer Acquisition Cost (CAC)</w:t>
      </w:r>
    </w:p>
    <w:p>
      <w:pPr>
        <w:spacing w:after="60" w:before="60"/>
      </w:pPr>
      <w:r>
        <w:rPr>
          <w:rFonts w:ascii="Calibri" w:cs="Calibri" w:eastAsia="Calibri" w:hAnsi="Calibri"/>
          <w:color w:val="1E293B"/>
          <w:sz w:val="20"/>
          <w:szCs w:val="20"/>
        </w:rPr>
        <w:t xml:space="preserve">CAC is the total marketing and sales cost to acquire one paying/active customer. For LeapMoney, the primary "customer" from a revenue perspective is the borrower who completes an application that leads to disbursal.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CAC Component</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Cost Driver</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Year 1 Estimate</w:t>
            </w:r>
          </w:p>
        </w:tc>
        <w:tc>
          <w:tcPr>
            <w:tcW w:type="dxa" w:w="2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Year 2 Estimate (scaled)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SEO / Content marketing</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Agency + tooling cost amortised over organic leads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₹150/application (from organic)</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₹80/application (SEO scales)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marketing (Google / Meta)</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CPC × CTR × CVR; estimated ₹12 CPC, 3% CTR, 4% CVR on landing page</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₹500–₹800/application</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₹400–₹600/application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 SMS campaigns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Platform cost (360dialog) per message, amortised over conversions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₹50–₹100/application</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₹30–₹60/application</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acquisition cost (to onboard a DSA)</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Onboarding bonus ₹5,000 amortised over DSA lifetime disbursals (avg 200 disbursals)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₹25/application (DSA channel)</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₹15/application (DSA channel — lower with scale)</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partner acquisition cost</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Integration + legal + onboarding cost amortised over partner lifetime volume</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₹30–₹80/application</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₹15–₹40/application</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Blended CAC (all channels, application level)</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₹350–₹600 per completed application</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₹250–₹450 per completed application</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Blended CAC (disbursal level — 25% conversion)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Divide by lead-to-disbursal CVR</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₹1,400–₹2,400 per disbursal</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₹1,000–₹1,800 per disbursal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CAC by Channel</w:t>
            </w:r>
          </w:p>
        </w:tc>
        <w:tc>
          <w:tcPr>
            <w:tcW w:type="dxa" w:w="172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Year 1</w:t>
            </w:r>
          </w:p>
        </w:tc>
        <w:tc>
          <w:tcPr>
            <w:tcW w:type="dxa" w:w="172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Year 2</w:t>
            </w:r>
          </w:p>
        </w:tc>
        <w:tc>
          <w:tcPr>
            <w:tcW w:type="dxa" w:w="312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Organic / SEO (cost per disbursal)</w:t>
            </w:r>
          </w:p>
        </w:tc>
        <w:tc>
          <w:tcPr>
            <w:tcW w:type="dxa" w:w="17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₹600</w:t>
            </w:r>
          </w:p>
        </w:tc>
        <w:tc>
          <w:tcPr>
            <w:tcW w:type="dxa" w:w="17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₹320</w:t>
            </w:r>
          </w:p>
        </w:tc>
        <w:tc>
          <w:tcPr>
            <w:tcW w:type="dxa" w:w="31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Best channel — zero variable cost once ranked</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marketing (cost per disbursal)</w:t>
            </w:r>
          </w:p>
        </w:tc>
        <w:tc>
          <w:tcPr>
            <w:tcW w:type="dxa" w:w="17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₹2,000–₹3,200</w:t>
            </w:r>
          </w:p>
        </w:tc>
        <w:tc>
          <w:tcPr>
            <w:tcW w:type="dxa" w:w="17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₹1,600–₹2,400</w:t>
            </w:r>
          </w:p>
        </w:tc>
        <w:tc>
          <w:tcPr>
            <w:tcW w:type="dxa" w:w="31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Scales with budget; diminishing returns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channel (cost per disbursal)</w:t>
            </w:r>
          </w:p>
        </w:tc>
        <w:tc>
          <w:tcPr>
            <w:tcW w:type="dxa" w:w="17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w:t>
            </w:r>
          </w:p>
        </w:tc>
        <w:tc>
          <w:tcPr>
            <w:tcW w:type="dxa" w:w="17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w:t>
            </w:r>
          </w:p>
        </w:tc>
        <w:tc>
          <w:tcPr>
            <w:tcW w:type="dxa" w:w="31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bears own acquisition cost; LeapMoney only pays onboarding</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 partner (cost per disbursal)</w:t>
            </w:r>
          </w:p>
        </w:tc>
        <w:tc>
          <w:tcPr>
            <w:tcW w:type="dxa" w:w="17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₹120–₹320</w:t>
            </w:r>
          </w:p>
        </w:tc>
        <w:tc>
          <w:tcPr>
            <w:tcW w:type="dxa" w:w="17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₹60–₹160</w:t>
            </w:r>
          </w:p>
        </w:tc>
        <w:tc>
          <w:tcPr>
            <w:tcW w:type="dxa" w:w="312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Integration cost amortises over time</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Blended CAC (all channels)</w:t>
            </w:r>
          </w:p>
        </w:tc>
        <w:tc>
          <w:tcPr>
            <w:tcW w:type="dxa" w:w="17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₹1,400–₹2,400</w:t>
            </w:r>
          </w:p>
        </w:tc>
        <w:tc>
          <w:tcPr>
            <w:tcW w:type="dxa" w:w="17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₹1,000–₹1,800</w:t>
            </w:r>
          </w:p>
        </w:tc>
        <w:tc>
          <w:tcPr>
            <w:tcW w:type="dxa" w:w="312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Target: under ₹1,500 by mid-Year 2</w:t>
            </w:r>
          </w:p>
        </w:tc>
      </w:tr>
    </w:tbl>
    <w:p>
      <w:pPr>
        <w:spacing w:after="0" w:before="0"/>
      </w:pPr>
    </w:p>
    <w:p>
      <w:pPr>
        <w:pStyle w:val="Heading2"/>
        <w:spacing w:after="80" w:before="320"/>
      </w:pPr>
      <w:r>
        <w:t xml:space="preserve">9.2  Customer Lifetime Value (LTV)</w:t>
      </w:r>
    </w:p>
    <w:p>
      <w:pPr>
        <w:spacing w:after="60" w:before="60"/>
      </w:pPr>
      <w:r>
        <w:rPr>
          <w:rFonts w:ascii="Calibri" w:cs="Calibri" w:eastAsia="Calibri" w:hAnsi="Calibri"/>
          <w:color w:val="1E293B"/>
          <w:sz w:val="20"/>
          <w:szCs w:val="20"/>
        </w:rPr>
        <w:t xml:space="preserve">LTV is the net revenue LeapMoney earns from a borrower over their entire relationship with the platform. A borrower who takes one personal loan and returns 18 months later for a top-up or a business loan is worth significantly more than a one-time borrower.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LTV Component</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Value</w:t>
            </w:r>
          </w:p>
        </w:tc>
        <w:tc>
          <w:tcPr>
            <w:tcW w:type="dxa" w:w="4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Assumptions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Avg transactions per borrower lifetime</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2.3 disbursals</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loan borrowers typically re-apply within 18–24 months; some cross-sell to business loan or home loan</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Avg LeapMoney net commission per disbursal (blended)</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₹1,100</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73% of ₹1,500 gross (blended direct/DSA/partner mix)</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Revenue from repeat disbursals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₹2,530 (2.3 × ₹1,100)</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Does not include subscription or Super App revenue</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Premium revenue (if subscribed)</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₹1,800 (6 months avg subscription at ₹299/month)</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Estimated 8% of borrowers subscribe in Year 2+</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Insurance co-distribution commission</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 avg (30% of borrowers take an insurance product)</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Conservative: only credit life included</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Blended LTV per borrower (Year 1, commission only)</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₹2,530</w:t>
            </w:r>
          </w:p>
        </w:tc>
        <w:tc>
          <w:tcPr>
            <w:tcW w:type="dxa" w:w="4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subscription or insurance uplift in Year 1</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Blended LTV per borrower (Year 2+, full model)</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₹4,200–₹5,500</w:t>
            </w:r>
          </w:p>
        </w:tc>
        <w:tc>
          <w:tcPr>
            <w:tcW w:type="dxa" w:w="4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Includes subscription uptake + insurance + some repeat disbursal</w:t>
            </w:r>
          </w:p>
        </w:tc>
      </w:tr>
    </w:tbl>
    <w:p>
      <w:pPr>
        <w:spacing w:after="0" w:before="0"/>
      </w:pPr>
    </w:p>
    <w:p>
      <w:pPr>
        <w:pStyle w:val="Heading2"/>
        <w:spacing w:after="80" w:before="320"/>
      </w:pPr>
      <w:r>
        <w:t xml:space="preserve">9.3  LTV:CAC Ratio &amp; Payback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15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Year 1 (Base)</w:t>
            </w:r>
          </w:p>
        </w:tc>
        <w:tc>
          <w:tcPr>
            <w:tcW w:type="dxa" w:w="15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Year 2 (Base)</w:t>
            </w:r>
          </w:p>
        </w:tc>
        <w:tc>
          <w:tcPr>
            <w:tcW w:type="dxa" w:w="15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Target (Year 3)</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LTV (per borrower)</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₹2,530</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₹4,200</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CAC (per borrower — disbursal level)</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₹1,900</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₹1,400</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LTV:CAC Ratio</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1.3x</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3.0x</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5.5x</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Gross margin on first transaction</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₹1,100 (commission only)</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₹1,100</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₹1,200 (higher commissions negotiated)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Payback period (months)</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20.7 months</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15.3 months</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 months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Status</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Below threshold — Year 1 expected</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Approaching healthy (3:1 is minimum SaaS benchmark)</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Strong — target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5803D" w:sz="12"/>
              <w:left w:val="single" w:color="15803D" w:sz="12"/>
              <w:bottom w:val="none" w:color="auto" w:sz="0"/>
              <w:right w:val="none" w:color="auto" w:sz="0"/>
            </w:tcBorders>
            <w:shd w:fill="F0FDF4"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Founder Insight — Why Year 1 LTV:CAC &lt; 3:1 Is Acceptable</w:t>
            </w:r>
          </w:p>
          <w:p>
            <w:pPr>
              <w:spacing w:after="0" w:before="0"/>
            </w:pPr>
            <w:r>
              <w:rPr>
                <w:rFonts w:ascii="Calibri" w:cs="Calibri" w:eastAsia="Calibri" w:hAnsi="Calibri"/>
                <w:color w:val="1E293B"/>
                <w:sz w:val="18"/>
                <w:szCs w:val="18"/>
              </w:rPr>
              <w:t xml:space="preserve">Year 1 is a land-grab phase. The platform is building its lender network, DSA base, SEO authority, and data asset. A 1.3x LTV:CAC in Year 1 is acceptable for a marketplace business that earns nothing until it reaches critical mass. The priority is reducing CAC (through SEO and DSA channel growth) and increasing LTV (through repeat disbursals and subscription upsell) simultaneously. The 3x milestone in Year 2 is the fundability threshold for Series A.</w:t>
            </w:r>
          </w:p>
        </w:tc>
      </w:tr>
    </w:tbl>
    <w:p>
      <w:r>
        <w:br w:type="page"/>
      </w:r>
    </w:p>
    <w:p>
      <w:pPr>
        <w:pStyle w:val="Heading1"/>
        <w:pBdr>
          <w:bottom w:val="single" w:color="0D9488" w:sz="6"/>
        </w:pBdr>
        <w:spacing w:after="120" w:before="480"/>
      </w:pPr>
      <w:r>
        <w:t xml:space="preserve">10  Contribution Margin Analysis</w:t>
      </w:r>
    </w:p>
    <w:p>
      <w:pPr>
        <w:spacing w:after="60" w:before="60"/>
      </w:pPr>
      <w:r>
        <w:rPr>
          <w:rFonts w:ascii="Calibri" w:cs="Calibri" w:eastAsia="Calibri" w:hAnsi="Calibri"/>
          <w:color w:val="1E293B"/>
          <w:sz w:val="20"/>
          <w:szCs w:val="20"/>
        </w:rPr>
        <w:t xml:space="preserve">Contribution margin measures how much of each transaction's revenue remains after deducting the direct variable costs attributable to that transaction. It is a more precise measure than gross margin for a marketplace business.</w:t>
      </w:r>
    </w:p>
    <w:p>
      <w:pPr>
        <w:spacing w:after="0" w:before="0"/>
      </w:pPr>
    </w:p>
    <w:p>
      <w:pPr>
        <w:pStyle w:val="Heading2"/>
        <w:spacing w:after="80" w:before="320"/>
      </w:pPr>
      <w:r>
        <w:t xml:space="preserve">10.1  Per-Transaction Contribution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Line Item</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Personal Loan (Base)</w:t>
            </w:r>
          </w:p>
        </w:tc>
        <w:tc>
          <w:tcPr>
            <w:tcW w:type="dxa" w:w="2187"/>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Home Loan (Base)</w:t>
            </w:r>
          </w:p>
        </w:tc>
        <w:tc>
          <w:tcPr>
            <w:tcW w:type="dxa" w:w="2186"/>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Business Loan (Base)</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Gross lender commission</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₹9,000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Less: DSA commission (if DSA-sourced, 40% mix)</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−₹280 (₹700 × 40%)</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−₹1,680 (₹4,200 × 40%)</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−₹480 (₹1,200 × 40%)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Less: Partner commission (if partner-sourced, 20% mix)</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 (₹500 × 20%)</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−₹600 (₹3,000 × 20%)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 (₹1,000 × 20%)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Net commission (LeapMoney keeps)</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₹1,120</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₹6,720</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₹1,820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Less: Variable ops cost per disbursal</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 (KYC + bureau + WhatsApp + infra est.)</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Less: Payment processing (payout to DSA/partner)</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 (Razorpay transfer fee)</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Less: TDS receivable adjustment (cash flow)</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−₹112 (10% TDS on ₹1,120 held back by lender)</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−₹672</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−₹182</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Net contribution per disbursal (cash)</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₹913</w:t>
            </w:r>
          </w:p>
        </w:tc>
        <w:tc>
          <w:tcPr>
            <w:tcW w:type="dxa" w:w="2187"/>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₹5,913</w:t>
            </w:r>
          </w:p>
        </w:tc>
        <w:tc>
          <w:tcPr>
            <w:tcW w:type="dxa" w:w="2186"/>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₹1,543</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Contribution margin %</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60.9%</w:t>
            </w:r>
          </w:p>
        </w:tc>
        <w:tc>
          <w:tcPr>
            <w:tcW w:type="dxa" w:w="2187"/>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65.7%</w:t>
            </w:r>
          </w:p>
        </w:tc>
        <w:tc>
          <w:tcPr>
            <w:tcW w:type="dxa" w:w="2186"/>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61.7%</w:t>
            </w:r>
          </w:p>
        </w:tc>
      </w:tr>
    </w:tbl>
    <w:p>
      <w:pPr>
        <w:spacing w:after="0" w:before="0"/>
      </w:pPr>
    </w:p>
    <w:p>
      <w:pPr>
        <w:pStyle w:val="Heading2"/>
        <w:spacing w:after="80" w:before="320"/>
      </w:pPr>
      <w:r>
        <w:t xml:space="preserve">10.2  Platform-Level Contribution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Revenue Item</w:t>
            </w:r>
          </w:p>
        </w:tc>
        <w:tc>
          <w:tcPr>
            <w:tcW w:type="dxa" w:w="15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Monthly (Year 1 End)</w:t>
            </w:r>
          </w:p>
        </w:tc>
        <w:tc>
          <w:tcPr>
            <w:tcW w:type="dxa" w:w="15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Monthly (Year 2 End)</w:t>
            </w:r>
          </w:p>
        </w:tc>
        <w:tc>
          <w:tcPr>
            <w:tcW w:type="dxa" w:w="3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Monthly (Year 3 End)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Gross lender commissions</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₹7,50,000</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₹37,50,000</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₹1,12,50,000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Less: DSA &amp; partner payouts</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−₹2,25,000</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−₹11,25,000</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−₹33,75,000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Net commission revenue</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₹5,25,000</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₹26,25,000</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₹78,75,000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Subscription &amp; B2B revenue (no variable cost)</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₹5,00,000</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₹18,00,000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Gross margin revenue pool</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₹5,25,000</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₹31,25,000</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₹96,75,000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Less: Variable costs (ops, infra, bureau, WhatsApp)</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−₹1,05,000</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−₹3,75,000</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−₹7,50,000</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Contribution margin (cash)</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₹4,20,000</w:t>
            </w:r>
          </w:p>
        </w:tc>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₹27,50,000</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₹89,25,000</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Contribution margin %</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56%</w:t>
            </w:r>
          </w:p>
        </w:tc>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73.3%</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79.4%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12"/>
              <w:left w:val="single" w:color="92400E" w:sz="12"/>
              <w:bottom w:val="none" w:color="auto" w:sz="0"/>
              <w:right w:val="none" w:color="auto" w:sz="0"/>
            </w:tcBorders>
            <w:shd w:fill="FEF3C7"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Note on Margin Expansion</w:t>
            </w:r>
          </w:p>
          <w:p>
            <w:pPr>
              <w:spacing w:after="0" w:before="0"/>
            </w:pPr>
            <w:r>
              <w:rPr>
                <w:rFonts w:ascii="Calibri" w:cs="Calibri" w:eastAsia="Calibri" w:hAnsi="Calibri"/>
                <w:color w:val="1E293B"/>
                <w:sz w:val="18"/>
                <w:szCs w:val="18"/>
              </w:rPr>
              <w:t xml:space="preserve">Contribution margin expands from 56% to 79% over three years primarily because: (1) subscription and B2B revenue (100% margin products) grows as a share of revenue mix; (2) fixed tech infrastructure costs get amortised over a larger volume base; (3) bureau and KYC costs per lead decline with volume-based pricing renegotiation.</w:t>
            </w:r>
          </w:p>
        </w:tc>
      </w:tr>
    </w:tbl>
    <w:p>
      <w:r>
        <w:br w:type="page"/>
      </w:r>
    </w:p>
    <w:p>
      <w:pPr>
        <w:pStyle w:val="Heading1"/>
        <w:pBdr>
          <w:bottom w:val="single" w:color="0D9488" w:sz="6"/>
        </w:pBdr>
        <w:spacing w:after="120" w:before="480"/>
      </w:pPr>
      <w:r>
        <w:t xml:space="preserve">11  Break-even Analysis</w:t>
      </w:r>
    </w:p>
    <w:p>
      <w:pPr>
        <w:spacing w:after="60" w:before="60"/>
      </w:pPr>
      <w:r>
        <w:rPr>
          <w:rFonts w:ascii="Calibri" w:cs="Calibri" w:eastAsia="Calibri" w:hAnsi="Calibri"/>
          <w:color w:val="1E293B"/>
          <w:sz w:val="20"/>
          <w:szCs w:val="20"/>
        </w:rPr>
        <w:t xml:space="preserve">Break-even is the monthly disbursal volume at which total gross contribution margin covers total fixed operating costs. Reaching break-even is the first financial milestone — it demonstrates the unit economics work and the business can scale sustainably.</w:t>
      </w:r>
    </w:p>
    <w:p>
      <w:pPr>
        <w:spacing w:after="0" w:before="0"/>
      </w:pPr>
    </w:p>
    <w:p>
      <w:pPr>
        <w:pStyle w:val="Heading2"/>
        <w:spacing w:after="80" w:before="320"/>
      </w:pPr>
      <w:r>
        <w:t xml:space="preserve">11.1  Fixed Cost Base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Cost Category</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Line Item</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Monthly Cost (Year 1)</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Monthly Cost (Year 2)</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 Technology</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full-stack engineers + 1 QA (Year 1: 3 FTE)</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₹3,60,000</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₹6,00,000 (5 FTE)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 Product</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Product Manager</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 Operations</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Ops executives (lead ops + lender ops)</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₹1,20,000</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₹2,00,000 (3 FTE)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 Sales / DSA Growth</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DSA relationship manager + 1 BD exec</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₹1,20,000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₹2,40,000 (3 FTE)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Team — Marketing</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growth/SEO lead</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₹90,000</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 (2 FTE)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Leadership</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Founder(s) — cost at notional salary</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₹2,00,000</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team cost</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₹9,40,000</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₹15,40,000</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Technology infrastructure</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 Vercel + Redis + CI/CD + monitoring</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Third-party APIs</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(CIBIL/Experian): ₹15,000 | WhatsApp (360dialog): ₹20,000 | Razorpay: variable | Other: ₹10,000</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₹45,000 (fixed portion)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₹90,000 (fixed portion)</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&amp; compliance</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Retainer: CA + CS + compliance counsel</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(non-performance)</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SEO tools + content creation base spend</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Office &amp; admin</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Coworking + utilities + incidentals</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₹75,000</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FIXED COSTS (monthly)</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₹12,35,000</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₹20,80,000</w:t>
            </w:r>
          </w:p>
        </w:tc>
      </w:tr>
    </w:tbl>
    <w:p>
      <w:pPr>
        <w:spacing w:after="0" w:before="0"/>
      </w:pPr>
    </w:p>
    <w:p>
      <w:pPr>
        <w:pStyle w:val="Heading2"/>
        <w:spacing w:after="80" w:before="320"/>
      </w:pPr>
      <w:r>
        <w:t xml:space="preserve">11.2  Variable Cost Per Disbursal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Variable Cost Item</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Per-Disbursal Cost</w:t>
            </w:r>
          </w:p>
        </w:tc>
        <w:tc>
          <w:tcPr>
            <w:tcW w:type="dxa" w:w="4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pull (hard enquiry at full application)</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₹65</w:t>
            </w:r>
          </w:p>
        </w:tc>
        <w:tc>
          <w:tcPr>
            <w:tcW w:type="dxa" w:w="4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CIBIL/Experian pull per verified applicant; not per lead</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API messages (per lead lifecycle)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4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 messages per lead lifecycle at ₹0.15/msg</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KYC verification (PAN + Aadhaar)</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w:t>
            </w:r>
          </w:p>
        </w:tc>
        <w:tc>
          <w:tcPr>
            <w:tcW w:type="dxa" w:w="4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Via Digilocker or third-party KYC provider</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Infra compute per transaction</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compute + matching engine + API calls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 partner payout transfer fee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c>
          <w:tcPr>
            <w:tcW w:type="dxa" w:w="4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 IMPS per payout</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variable cost per disbursal</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₹105</w:t>
            </w:r>
          </w:p>
        </w:tc>
        <w:tc>
          <w:tcPr>
            <w:tcW w:type="dxa" w:w="4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Excludes commissions paid to DSA/partner (accounted in margin)</w:t>
            </w:r>
          </w:p>
        </w:tc>
      </w:tr>
    </w:tbl>
    <w:p>
      <w:pPr>
        <w:spacing w:after="0" w:before="0"/>
      </w:pPr>
    </w:p>
    <w:p>
      <w:pPr>
        <w:pStyle w:val="Heading2"/>
        <w:spacing w:after="80" w:before="320"/>
      </w:pPr>
      <w:r>
        <w:t xml:space="preserve">11.3  Break-even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Value</w:t>
            </w:r>
          </w:p>
        </w:tc>
        <w:tc>
          <w:tcPr>
            <w:tcW w:type="dxa" w:w="5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Derivation</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Fixed monthly costs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₹12,35,000</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 table above (Year 1)</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Average net commission per disbursal (blended)</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₹1,100</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73% of ₹1,500 gross; blended channel mix</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Variable cost per disbursal</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₹105</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 table above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Contribution per disbursal</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₹995</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₹1,100 − ₹105</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Break-even disbursal volume (monthly)</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1,242 disbursals/month</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₹12,35,000 ÷ ₹995 = 1,241.2</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Break-even daily disbursal rate</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41 disbursals/day</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1,242 ÷ 30 days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Break-even lead volume (at 25% CVR)</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4,968 leads/month</w:t>
            </w:r>
          </w:p>
        </w:tc>
        <w:tc>
          <w:tcPr>
            <w:tcW w:type="dxa" w:w="5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1,242 ÷ 0.25</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Break-even website sessions (at 4% app CVR)</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1,24,200 sessions/month</w:t>
            </w:r>
          </w:p>
        </w:tc>
        <w:tc>
          <w:tcPr>
            <w:tcW w:type="dxa" w:w="5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4,968 ÷ 0.04</w:t>
            </w:r>
          </w:p>
        </w:tc>
      </w:tr>
    </w:tbl>
    <w:p>
      <w:pPr>
        <w:spacing w:after="0" w:before="0"/>
      </w:pPr>
    </w:p>
    <w:p>
      <w:pPr>
        <w:pStyle w:val="Heading2"/>
        <w:spacing w:after="80" w:before="320"/>
      </w:pPr>
      <w:r>
        <w:t xml:space="preserve">11.4  Break-even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Milestone</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Target Month</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Disbursal Volume Required</w:t>
            </w:r>
          </w:p>
        </w:tc>
        <w:tc>
          <w:tcPr>
            <w:tcW w:type="dxa" w:w="3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Key Enablers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First disbursal</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2–3</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(MVP proof of concept)</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onboarding complete; first DSA submitting leads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 disbursals/month</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4–6</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5–10 active DSAs; 3+ lender partners; SEO warming up</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 disbursals/month</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8–10</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 DSAs; 8+ lenders; 30,000+ website visitors/month</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Break-even (1,242 disbursals/month)</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15–18</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1,242</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 active DSAs; 10+ lender partners; SEO driving 30%+ leads; referral partners live</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Profitability (2x break-even)</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22–24</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platform live; subscriptions contributing; Year 2 team scale 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D4ED8" w:sz="12"/>
              <w:left w:val="single" w:color="1D4ED8" w:sz="12"/>
              <w:bottom w:val="none" w:color="auto" w:sz="0"/>
              <w:right w:val="none" w:color="auto" w:sz="0"/>
            </w:tcBorders>
            <w:shd w:fill="EFF6FF"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Strategic Note — Break-even Acceleration Levers</w:t>
            </w:r>
          </w:p>
          <w:p>
            <w:pPr>
              <w:spacing w:after="0" w:before="0"/>
            </w:pPr>
            <w:r>
              <w:rPr>
                <w:rFonts w:ascii="Calibri" w:cs="Calibri" w:eastAsia="Calibri" w:hAnsi="Calibri"/>
                <w:color w:val="1E293B"/>
                <w:sz w:val="18"/>
                <w:szCs w:val="18"/>
              </w:rPr>
              <w:t xml:space="preserve">Three levers can pull break-even forward by 3–4 months: (1) Focus early DSA onboarding on home loan and business loan DSAs — higher ticket size means 3–5x commission per transaction; (2) Prioritise lender partners who pay per-qualified-lead in addition to per-disbursal — generates revenue even on unconverted leads; (3) Attack SEO aggressively in Month 1 — organic traffic has zero variable CAC and is the highest-margin acquisition channel.</w:t>
            </w:r>
          </w:p>
        </w:tc>
      </w:tr>
    </w:tbl>
    <w:p>
      <w:r>
        <w:br w:type="page"/>
      </w:r>
    </w:p>
    <w:p>
      <w:pPr>
        <w:pStyle w:val="Heading1"/>
        <w:pBdr>
          <w:bottom w:val="single" w:color="0D9488" w:sz="6"/>
        </w:pBdr>
        <w:spacing w:after="120" w:before="480"/>
      </w:pPr>
      <w:r>
        <w:t xml:space="preserve">12  3-Year Revenue Roadmap</w:t>
      </w:r>
    </w:p>
    <w:p>
      <w:pPr>
        <w:spacing w:after="60" w:before="60"/>
      </w:pPr>
      <w:r>
        <w:rPr>
          <w:rFonts w:ascii="Calibri" w:cs="Calibri" w:eastAsia="Calibri" w:hAnsi="Calibri"/>
          <w:color w:val="1E293B"/>
          <w:sz w:val="20"/>
          <w:szCs w:val="20"/>
        </w:rPr>
        <w:t xml:space="preserve">The revenue roadmap maps LeapMoney's financial trajectory across three years. Year 1 is about marketplace establishment. Year 2 is about product diversification and subscription revenue introduction. Year 3 is about scale, channel maturity, and Super App revenue emergence.</w:t>
      </w:r>
    </w:p>
    <w:p>
      <w:pPr>
        <w:spacing w:after="0" w:before="0"/>
      </w:pPr>
    </w:p>
    <w:p>
      <w:pPr>
        <w:pStyle w:val="Heading2"/>
        <w:spacing w:after="80" w:before="320"/>
      </w:pPr>
      <w:r>
        <w:t xml:space="preserve">12.1  Year 1 — Marketplace Foundation (Target: ₹1.5–2.5 Cr GMR)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Quarter</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Disbursal Target</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Monthly Revenue Run-Rate (End of Quarter)</w:t>
            </w:r>
          </w:p>
        </w:tc>
        <w:tc>
          <w:tcPr>
            <w:tcW w:type="dxa" w:w="36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Key Revenue Milestone</w:t>
            </w:r>
          </w:p>
        </w:tc>
      </w:tr>
      <w:tr>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Q1 (Months 1–3)</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0–30 total disbursals</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₹30,000–₹50,000</w:t>
            </w:r>
          </w:p>
        </w:tc>
        <w:tc>
          <w:tcPr>
            <w:tcW w:type="dxa" w:w="36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First lender partner live; first DSA disbursal; MVP operational</w:t>
            </w:r>
          </w:p>
        </w:tc>
      </w:tr>
      <w:tr>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Q2 (Months 4–6)</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30–150 cumulative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₹1,00,000–₹2,00,000</w:t>
            </w:r>
          </w:p>
        </w:tc>
        <w:tc>
          <w:tcPr>
            <w:tcW w:type="dxa" w:w="36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lender partners active; 20+ DSAs onboarded; SEO indexed</w:t>
            </w:r>
          </w:p>
        </w:tc>
      </w:tr>
      <w:tr>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Q3 (Months 7–9)</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150–500 cumulative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₹3,00,000–₹5,00,000</w:t>
            </w:r>
          </w:p>
        </w:tc>
        <w:tc>
          <w:tcPr>
            <w:tcW w:type="dxa" w:w="36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Home loan vertical live; referral programme launched; 60+ DSAs</w:t>
            </w:r>
          </w:p>
        </w:tc>
      </w:tr>
      <w:tr>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Q4 (Months 10–12)</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500–1,200 cumulative</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₹6,00,000–₹12,00,000</w:t>
            </w:r>
          </w:p>
        </w:tc>
        <w:tc>
          <w:tcPr>
            <w:tcW w:type="dxa" w:w="36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Break-even approaching; 8+ lenders; 100+ DSAs; SEO driving 20%+ traffic</w:t>
            </w:r>
          </w:p>
        </w:tc>
      </w:tr>
      <w:tr>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Year 1 Total Revenue</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₹1.5–₹2.5 Cr (gross; net of DSA/partner payouts: ₹1.1–₹1.8 Cr)</w:t>
            </w:r>
          </w:p>
        </w:tc>
        <w:tc>
          <w:tcPr>
            <w:tcW w:type="dxa" w:w="36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year gross marketplace revenue</w:t>
            </w:r>
          </w:p>
        </w:tc>
      </w:tr>
    </w:tbl>
    <w:p>
      <w:pPr>
        <w:spacing w:after="0" w:before="0"/>
      </w:pPr>
    </w:p>
    <w:p>
      <w:pPr>
        <w:pStyle w:val="Heading2"/>
        <w:spacing w:after="80" w:before="320"/>
      </w:pPr>
      <w:r>
        <w:t xml:space="preserve">12.2  Year 2 — Product Diversification (Target: ₹8–12 Cr GMR)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Quarter</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Disbursal Target</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Subscription MRR (End of Quarter)</w:t>
            </w:r>
          </w:p>
        </w:tc>
        <w:tc>
          <w:tcPr>
            <w:tcW w:type="dxa" w:w="36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Key Revenue Milestone</w:t>
            </w:r>
          </w:p>
        </w:tc>
      </w:tr>
      <w:tr>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Q1 Y2 (Months 13–15)</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1,200–1,800 cumulative (400–600/month)</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₹0–₹2,00,000</w:t>
            </w:r>
          </w:p>
        </w:tc>
        <w:tc>
          <w:tcPr>
            <w:tcW w:type="dxa" w:w="36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Pro subscription launched; LeapScore Premium beta</w:t>
            </w:r>
          </w:p>
        </w:tc>
      </w:tr>
      <w:tr>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Q2 Y2 (Months 16–18)</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1,800–3,000 (600–800/month)</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₹2,00,000–₹5,00,000</w:t>
            </w:r>
          </w:p>
        </w:tc>
        <w:tc>
          <w:tcPr>
            <w:tcW w:type="dxa" w:w="36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Break-even achieved; Lender Intelligence subscription live; 150+ DSAs</w:t>
            </w:r>
          </w:p>
        </w:tc>
      </w:tr>
      <w:tr>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Q3 Y2 (Months 19–21)</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3,000–4,800 (800–1,000/month)</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₹5,00,000–₹8,00,000</w:t>
            </w:r>
          </w:p>
        </w:tc>
        <w:tc>
          <w:tcPr>
            <w:tcW w:type="dxa" w:w="36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API B2B signed with first 2 enterprise partners</w:t>
            </w:r>
          </w:p>
        </w:tc>
      </w:tr>
      <w:tr>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Q4 Y2 (Months 22–24)</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4,800–7,200 (1,000–1,200/month)</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₹8,00,000–₹12,00,000</w:t>
            </w:r>
          </w:p>
        </w:tc>
        <w:tc>
          <w:tcPr>
            <w:tcW w:type="dxa" w:w="36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Subscription MRR &gt; 25% of total revenue; Series A ready</w:t>
            </w:r>
          </w:p>
        </w:tc>
      </w:tr>
      <w:tr>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Year 2 Total Revenue</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₹8–₹12 Cr gross; ₹6–₹9 Cr net</w:t>
            </w:r>
          </w:p>
        </w:tc>
        <w:tc>
          <w:tcPr>
            <w:tcW w:type="dxa" w:w="36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(75%) + Subscription (25%) mix achieved</w:t>
            </w:r>
          </w:p>
        </w:tc>
      </w:tr>
    </w:tbl>
    <w:p>
      <w:pPr>
        <w:spacing w:after="0" w:before="0"/>
      </w:pPr>
    </w:p>
    <w:p>
      <w:pPr>
        <w:pStyle w:val="Heading2"/>
        <w:spacing w:after="80" w:before="320"/>
      </w:pPr>
      <w:r>
        <w:t xml:space="preserve">12.3  Year 3 — Scale &amp; Super App (Target: ₹25–40 Cr GMR)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Quarter</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Disbursal Target</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New Revenue Streams</w:t>
            </w:r>
          </w:p>
        </w:tc>
        <w:tc>
          <w:tcPr>
            <w:tcW w:type="dxa" w:w="36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Key Revenue Milestone</w:t>
            </w:r>
          </w:p>
        </w:tc>
      </w:tr>
      <w:tr>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Q1 Y3 (Months 25–27)</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1,200–1,500/month</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Insurance co-distribution live; credit card referrals</w:t>
            </w:r>
          </w:p>
        </w:tc>
        <w:tc>
          <w:tcPr>
            <w:tcW w:type="dxa" w:w="36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Super App revenue &gt; ₹50L/quarter</w:t>
            </w:r>
          </w:p>
        </w:tc>
      </w:tr>
      <w:tr>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Q2 Y3 (Months 28–30)</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1,500–2,000/month</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SIP/mutual fund referral live; FD referral live</w:t>
            </w:r>
          </w:p>
        </w:tc>
        <w:tc>
          <w:tcPr>
            <w:tcW w:type="dxa" w:w="36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Super App revenue &gt; ₹1Cr/quarter</w:t>
            </w:r>
          </w:p>
        </w:tc>
      </w:tr>
      <w:tr>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Q3 Y3 (Months 31–33)</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2,000–2,500/month</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finance advisory (₹299/month premium)</w:t>
            </w:r>
          </w:p>
        </w:tc>
        <w:tc>
          <w:tcPr>
            <w:tcW w:type="dxa" w:w="36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Subscription + Super App &gt; 40% of revenue</w:t>
            </w:r>
          </w:p>
        </w:tc>
      </w:tr>
      <w:tr>
        <w:tc>
          <w:tcPr>
            <w:tcW w:type="dxa" w:w="15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Q4 Y3 (Months 34–36)</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2,500–3,000/month</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Potential NBFC licence exploration / P2P</w:t>
            </w:r>
          </w:p>
        </w:tc>
        <w:tc>
          <w:tcPr>
            <w:tcW w:type="dxa" w:w="36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₹25–₹40 Cr run-rate; exit optionality or Series B</w:t>
            </w:r>
          </w:p>
        </w:tc>
      </w:tr>
      <w:tr>
        <w:tc>
          <w:tcPr>
            <w:tcW w:type="dxa" w:w="15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Year 3 Total Revenue</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₹25–₹40 Cr gross</w:t>
            </w:r>
          </w:p>
        </w:tc>
        <w:tc>
          <w:tcPr>
            <w:tcW w:type="dxa" w:w="36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(55%) + Subscription+B2B (25%) + Super App (20%) mix</w:t>
            </w:r>
          </w:p>
        </w:tc>
      </w:tr>
    </w:tbl>
    <w:p>
      <w:pPr>
        <w:spacing w:after="0" w:before="0"/>
      </w:pPr>
    </w:p>
    <w:p>
      <w:pPr>
        <w:pStyle w:val="Heading2"/>
        <w:spacing w:after="80" w:before="320"/>
      </w:pPr>
      <w:r>
        <w:t xml:space="preserve">12.4  3-Year P&amp;L Summary (Base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Line Item</w:t>
            </w:r>
          </w:p>
        </w:tc>
        <w:tc>
          <w:tcPr>
            <w:tcW w:type="dxa" w:w="1890"/>
            <w:tcBorders>
              <w:top w:val="none" w:color="auto" w:sz="0"/>
              <w:left w:val="none" w:color="auto" w:sz="0"/>
              <w:bottom w:val="none" w:color="auto" w:sz="0"/>
              <w:right w:val="none" w:color="auto" w:sz="0"/>
            </w:tcBorders>
            <w:shd w:fill="0F1F3D"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Year 1</w:t>
            </w:r>
          </w:p>
        </w:tc>
        <w:tc>
          <w:tcPr>
            <w:tcW w:type="dxa" w:w="1890"/>
            <w:tcBorders>
              <w:top w:val="none" w:color="auto" w:sz="0"/>
              <w:left w:val="none" w:color="auto" w:sz="0"/>
              <w:bottom w:val="none" w:color="auto" w:sz="0"/>
              <w:right w:val="none" w:color="auto" w:sz="0"/>
            </w:tcBorders>
            <w:shd w:fill="0F1F3D"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Year 2</w:t>
            </w:r>
          </w:p>
        </w:tc>
        <w:tc>
          <w:tcPr>
            <w:tcW w:type="dxa" w:w="1780"/>
            <w:tcBorders>
              <w:top w:val="none" w:color="auto" w:sz="0"/>
              <w:left w:val="none" w:color="auto" w:sz="0"/>
              <w:bottom w:val="none" w:color="auto" w:sz="0"/>
              <w:right w:val="none" w:color="auto" w:sz="0"/>
            </w:tcBorders>
            <w:shd w:fill="0F1F3D"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Year 3</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Gross Lender Commissions (Revenue)</w:t>
            </w:r>
          </w:p>
        </w:tc>
        <w:tc>
          <w:tcPr>
            <w:tcW w:type="dxa" w:w="189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₹1.80 Cr</w:t>
            </w:r>
          </w:p>
        </w:tc>
        <w:tc>
          <w:tcPr>
            <w:tcW w:type="dxa" w:w="189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₹9.00 Cr</w:t>
            </w:r>
          </w:p>
        </w:tc>
        <w:tc>
          <w:tcPr>
            <w:tcW w:type="dxa" w:w="17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₹28.00 Cr</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DSA &amp; Partner Payouts</w:t>
            </w:r>
          </w:p>
        </w:tc>
        <w:tc>
          <w:tcPr>
            <w:tcW w:type="dxa" w:w="189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−₹0.54 Cr</w:t>
            </w:r>
          </w:p>
        </w:tc>
        <w:tc>
          <w:tcPr>
            <w:tcW w:type="dxa" w:w="189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−₹2.70 Cr</w:t>
            </w:r>
          </w:p>
        </w:tc>
        <w:tc>
          <w:tcPr>
            <w:tcW w:type="dxa" w:w="17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−₹8.40 Cr</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Net Commission Revenue</w:t>
            </w:r>
          </w:p>
        </w:tc>
        <w:tc>
          <w:tcPr>
            <w:tcW w:type="dxa" w:w="189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₹1.26 Cr</w:t>
            </w:r>
          </w:p>
        </w:tc>
        <w:tc>
          <w:tcPr>
            <w:tcW w:type="dxa" w:w="189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₹6.30 Cr</w:t>
            </w:r>
          </w:p>
        </w:tc>
        <w:tc>
          <w:tcPr>
            <w:tcW w:type="dxa" w:w="17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₹19.60 Cr</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Subscription &amp; B2B Revenue</w:t>
            </w:r>
          </w:p>
        </w:tc>
        <w:tc>
          <w:tcPr>
            <w:tcW w:type="dxa" w:w="189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₹0</w:t>
            </w:r>
          </w:p>
        </w:tc>
        <w:tc>
          <w:tcPr>
            <w:tcW w:type="dxa" w:w="189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₹1.50 Cr</w:t>
            </w:r>
          </w:p>
        </w:tc>
        <w:tc>
          <w:tcPr>
            <w:tcW w:type="dxa" w:w="17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₹6.50 Cr</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Super App Revenue</w:t>
            </w:r>
          </w:p>
        </w:tc>
        <w:tc>
          <w:tcPr>
            <w:tcW w:type="dxa" w:w="189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₹0.05 Cr</w:t>
            </w:r>
          </w:p>
        </w:tc>
        <w:tc>
          <w:tcPr>
            <w:tcW w:type="dxa" w:w="189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₹0.25 Cr</w:t>
            </w:r>
          </w:p>
        </w:tc>
        <w:tc>
          <w:tcPr>
            <w:tcW w:type="dxa" w:w="17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₹1.50 Cr</w:t>
            </w:r>
          </w:p>
        </w:tc>
      </w:tr>
      <w:tr>
        <w:tc>
          <w:tcPr>
            <w:tcW w:type="dxa" w:w="280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Total Net Revenue</w:t>
            </w:r>
          </w:p>
        </w:tc>
        <w:tc>
          <w:tcPr>
            <w:tcW w:type="dxa" w:w="189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₹1.31 Cr</w:t>
            </w:r>
          </w:p>
        </w:tc>
        <w:tc>
          <w:tcPr>
            <w:tcW w:type="dxa" w:w="189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₹8.05 Cr</w:t>
            </w:r>
          </w:p>
        </w:tc>
        <w:tc>
          <w:tcPr>
            <w:tcW w:type="dxa" w:w="178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₹27.60 Cr</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Variable Costs</w:t>
            </w:r>
          </w:p>
        </w:tc>
        <w:tc>
          <w:tcPr>
            <w:tcW w:type="dxa" w:w="189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−₹0.16 Cr</w:t>
            </w:r>
          </w:p>
        </w:tc>
        <w:tc>
          <w:tcPr>
            <w:tcW w:type="dxa" w:w="189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−₹0.60 Cr</w:t>
            </w:r>
          </w:p>
        </w:tc>
        <w:tc>
          <w:tcPr>
            <w:tcW w:type="dxa" w:w="17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−₹1.50 Cr</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Gross Contribution</w:t>
            </w:r>
          </w:p>
        </w:tc>
        <w:tc>
          <w:tcPr>
            <w:tcW w:type="dxa" w:w="189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₹1.15 Cr</w:t>
            </w:r>
          </w:p>
        </w:tc>
        <w:tc>
          <w:tcPr>
            <w:tcW w:type="dxa" w:w="189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₹7.45 Cr</w:t>
            </w:r>
          </w:p>
        </w:tc>
        <w:tc>
          <w:tcPr>
            <w:tcW w:type="dxa" w:w="178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₹26.10 Cr</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Total Fixed Costs (Opex)</w:t>
            </w:r>
          </w:p>
        </w:tc>
        <w:tc>
          <w:tcPr>
            <w:tcW w:type="dxa" w:w="189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−₹1.48 Cr</w:t>
            </w:r>
          </w:p>
        </w:tc>
        <w:tc>
          <w:tcPr>
            <w:tcW w:type="dxa" w:w="189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−₹2.50 Cr</w:t>
            </w:r>
          </w:p>
        </w:tc>
        <w:tc>
          <w:tcPr>
            <w:tcW w:type="dxa" w:w="178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tcPr>
          <w:p>
            <w:pPr>
              <w:jc w:val="left"/>
            </w:pPr>
            <w:r>
              <w:rPr>
                <w:rFonts w:ascii="Calibri" w:cs="Calibri" w:eastAsia="Calibri" w:hAnsi="Calibri"/>
                <w:b w:val="false"/>
                <w:bCs w:val="false"/>
                <w:color w:val="1E293B"/>
                <w:sz w:val="18"/>
                <w:szCs w:val="18"/>
              </w:rPr>
              <w:t xml:space="preserve">−₹4.20 Cr</w:t>
            </w:r>
          </w:p>
        </w:tc>
      </w:tr>
      <w:tr>
        <w:tc>
          <w:tcPr>
            <w:tcW w:type="dxa" w:w="280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EBITDA</w:t>
            </w:r>
          </w:p>
        </w:tc>
        <w:tc>
          <w:tcPr>
            <w:tcW w:type="dxa" w:w="189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−₹0.33 Cr</w:t>
            </w:r>
          </w:p>
        </w:tc>
        <w:tc>
          <w:tcPr>
            <w:tcW w:type="dxa" w:w="189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₹4.95 Cr</w:t>
            </w:r>
          </w:p>
        </w:tc>
        <w:tc>
          <w:tcPr>
            <w:tcW w:type="dxa" w:w="178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₹21.90 Cr</w:t>
            </w:r>
          </w:p>
        </w:tc>
      </w:tr>
      <w:tr>
        <w:tc>
          <w:tcPr>
            <w:tcW w:type="dxa" w:w="280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EBITDA Margin %</w:t>
            </w:r>
          </w:p>
        </w:tc>
        <w:tc>
          <w:tcPr>
            <w:tcW w:type="dxa" w:w="189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−25%</w:t>
            </w:r>
          </w:p>
        </w:tc>
        <w:tc>
          <w:tcPr>
            <w:tcW w:type="dxa" w:w="189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62%</w:t>
            </w:r>
          </w:p>
        </w:tc>
        <w:tc>
          <w:tcPr>
            <w:tcW w:type="dxa" w:w="1780"/>
            <w:tcBorders>
              <w:top w:val="single" w:color="E2E8F0" w:sz="2"/>
              <w:left w:val="none" w:color="auto" w:sz="0"/>
              <w:bottom w:val="single" w:color="E2E8F0" w:sz="2"/>
              <w:right w:val="none" w:color="auto" w:sz="0"/>
            </w:tcBorders>
            <w:shd w:fill="F0FDFA" w:val="clear"/>
            <w:tcMar>
              <w:top w:type="dxa" w:w="60"/>
              <w:left w:type="dxa" w:w="100"/>
              <w:bottom w:type="dxa" w:w="60"/>
              <w:right w:type="dxa" w:w="100"/>
            </w:tcMar>
          </w:tcPr>
          <w:p>
            <w:pPr>
              <w:jc w:val="left"/>
            </w:pPr>
            <w:r>
              <w:rPr>
                <w:rFonts w:ascii="Calibri" w:cs="Calibri" w:eastAsia="Calibri" w:hAnsi="Calibri"/>
                <w:b/>
                <w:bCs/>
                <w:color w:val="0F1F3D"/>
                <w:sz w:val="18"/>
                <w:szCs w:val="18"/>
              </w:rPr>
              <w:t xml:space="preserve">79%</w:t>
            </w:r>
          </w:p>
        </w:tc>
      </w:tr>
    </w:tbl>
    <w:p>
      <w:r>
        <w:br w:type="page"/>
      </w:r>
    </w:p>
    <w:p>
      <w:pPr>
        <w:pStyle w:val="Heading1"/>
        <w:pBdr>
          <w:bottom w:val="single" w:color="0D9488" w:sz="6"/>
        </w:pBdr>
        <w:spacing w:after="120" w:before="480"/>
      </w:pPr>
      <w:r>
        <w:t xml:space="preserve">Appendix A  Revenue Model Assumptions &amp; Sensitivity Analysis</w:t>
      </w:r>
    </w:p>
    <w:p>
      <w:pPr>
        <w:pStyle w:val="Heading2"/>
        <w:spacing w:after="80" w:before="320"/>
      </w:pPr>
      <w:r>
        <w:t xml:space="preserve">A.1  Core Model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Assumption</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Base Case Value</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Low Case</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High Case</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Rationale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loan avg ticket size</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₹3.5L</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₹2.5L</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₹5L</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Salaried borrowers in Tier 1–2 cities; modal disbursals from partner lender data</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Blended gross commission per personal loan disbursal</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₹2,200</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Industry range ₹800–₹3,000; blended NBFC+bank rate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Lead-to-disbursal conversion rate</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Platform average; improves with LeapScore pre-filtering; Paisabazaar reportedly ~20–30%</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channel share of disbursals</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Year 1 assumption; DSA channel grows faster than direct in early months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Direct channel CAC (per disbursal)</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₹1,800</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₹2,800</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₹900</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Improves as SEO compounds; Performance marketing remains expensive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commission as % of gross lender commission</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47%</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Negotiated per DSA tier; market range 40–60%</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Repeat disbursal rate (borrower returning within 24 months)</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Industry average for personal loan marketplaces; higher for platforms with ongoing engagement (credit health monitoring)</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Premium subscription conversion (% of scored users)</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Conservative; improving UX and improvement plan quality is the lever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Year 1 active lender partners</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NBFCs more accessible than banks; 8 is achievable within 6–8 months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Year 1 active DSAs (end of year)</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Based on DSA outreach plan; key dependency is payout speed and DSA Suite quality</w:t>
            </w:r>
          </w:p>
        </w:tc>
      </w:tr>
    </w:tbl>
    <w:p>
      <w:pPr>
        <w:spacing w:after="0" w:before="0"/>
      </w:pPr>
    </w:p>
    <w:p>
      <w:pPr>
        <w:pStyle w:val="Heading2"/>
        <w:spacing w:after="80" w:before="320"/>
      </w:pPr>
      <w:r>
        <w:t xml:space="preserve">A.2  Sensitivity Analysis — Year 1 Net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Variable</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−30% Change</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Base Case</w:t>
            </w:r>
          </w:p>
        </w:tc>
        <w:tc>
          <w:tcPr>
            <w:tcW w:type="dxa" w:w="344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+30% Change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volume</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₹0.92 Cr</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₹1.31 Cr</w:t>
            </w:r>
          </w:p>
        </w:tc>
        <w:tc>
          <w:tcPr>
            <w:tcW w:type="dxa" w:w="344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₹1.70 Cr</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Lead-to-disbursal CVR (±5pp)</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₹1.05 Cr</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₹1.31 Cr</w:t>
            </w:r>
          </w:p>
        </w:tc>
        <w:tc>
          <w:tcPr>
            <w:tcW w:type="dxa" w:w="344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₹1.57 Cr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Gross commission per disbursal</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₹0.96 Cr</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₹1.31 Cr</w:t>
            </w:r>
          </w:p>
        </w:tc>
        <w:tc>
          <w:tcPr>
            <w:tcW w:type="dxa" w:w="344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₹1.66 Cr</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channel mix (±15pp more DSA)</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₹1.19 Cr</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₹1.31 Cr</w:t>
            </w:r>
          </w:p>
        </w:tc>
        <w:tc>
          <w:tcPr>
            <w:tcW w:type="dxa" w:w="344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₹1.43 Cr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variables −30% simultaneously</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₹0.51 Cr (worst case)</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₹1.31 Cr</w:t>
            </w:r>
          </w:p>
        </w:tc>
        <w:tc>
          <w:tcPr>
            <w:tcW w:type="dxa" w:w="344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₹2.56 Cr (best case)</w:t>
            </w:r>
          </w:p>
        </w:tc>
      </w:tr>
    </w:tbl>
    <w:p>
      <w:pPr>
        <w:pStyle w:val="Heading2"/>
        <w:spacing w:after="80" w:before="320"/>
      </w:pPr>
      <w:r>
        <w:t xml:space="preserve">A.3  Key Operational Assumptions</w:t>
      </w:r>
    </w:p>
    <w:p>
      <w:pPr>
        <w:pStyle w:val="ListParagraph"/>
        <w:numPr>
          <w:ilvl w:val="0"/>
          <w:numId w:val="1"/>
        </w:numPr>
        <w:spacing w:after="40" w:before="40"/>
      </w:pPr>
      <w:r>
        <w:rPr>
          <w:rFonts w:ascii="Calibri" w:cs="Calibri" w:eastAsia="Calibri" w:hAnsi="Calibri"/>
          <w:color w:val="1E293B"/>
          <w:sz w:val="20"/>
          <w:szCs w:val="20"/>
        </w:rPr>
        <w:t xml:space="preserve">Commission settlement cycle: Net 30 days (all calculations use cash received, not accrued)</w:t>
      </w:r>
    </w:p>
    <w:p>
      <w:pPr>
        <w:pStyle w:val="ListParagraph"/>
        <w:numPr>
          <w:ilvl w:val="0"/>
          <w:numId w:val="1"/>
        </w:numPr>
        <w:spacing w:after="40" w:before="40"/>
      </w:pPr>
      <w:r>
        <w:rPr>
          <w:rFonts w:ascii="Calibri" w:cs="Calibri" w:eastAsia="Calibri" w:hAnsi="Calibri"/>
          <w:color w:val="1E293B"/>
          <w:sz w:val="20"/>
          <w:szCs w:val="20"/>
        </w:rPr>
        <w:t xml:space="preserve">TDS at 10% deducted at source by lenders; recovered in annual ITR — creates ~10% receivable on commission</w:t>
      </w:r>
    </w:p>
    <w:p>
      <w:pPr>
        <w:pStyle w:val="ListParagraph"/>
        <w:numPr>
          <w:ilvl w:val="0"/>
          <w:numId w:val="1"/>
        </w:numPr>
        <w:spacing w:after="40" w:before="40"/>
      </w:pPr>
      <w:r>
        <w:rPr>
          <w:rFonts w:ascii="Calibri" w:cs="Calibri" w:eastAsia="Calibri" w:hAnsi="Calibri"/>
          <w:color w:val="1E293B"/>
          <w:sz w:val="20"/>
          <w:szCs w:val="20"/>
        </w:rPr>
        <w:t xml:space="preserve">GST at 18% is collected on commission from lenders and paid to government; modelled as pass-through</w:t>
      </w:r>
    </w:p>
    <w:p>
      <w:pPr>
        <w:pStyle w:val="ListParagraph"/>
        <w:numPr>
          <w:ilvl w:val="0"/>
          <w:numId w:val="1"/>
        </w:numPr>
        <w:spacing w:after="40" w:before="40"/>
      </w:pPr>
      <w:r>
        <w:rPr>
          <w:rFonts w:ascii="Calibri" w:cs="Calibri" w:eastAsia="Calibri" w:hAnsi="Calibri"/>
          <w:color w:val="1E293B"/>
          <w:sz w:val="20"/>
          <w:szCs w:val="20"/>
        </w:rPr>
        <w:t xml:space="preserve">Bureau pull cost: ₹65/pull (CIBIL preferred panel pricing; Experian at ₹70); soft pull (eligibility check) at ₹15</w:t>
      </w:r>
    </w:p>
    <w:p>
      <w:pPr>
        <w:pStyle w:val="ListParagraph"/>
        <w:numPr>
          <w:ilvl w:val="0"/>
          <w:numId w:val="1"/>
        </w:numPr>
        <w:spacing w:after="40" w:before="40"/>
      </w:pPr>
      <w:r>
        <w:rPr>
          <w:rFonts w:ascii="Calibri" w:cs="Calibri" w:eastAsia="Calibri" w:hAnsi="Calibri"/>
          <w:color w:val="1E293B"/>
          <w:sz w:val="20"/>
          <w:szCs w:val="20"/>
        </w:rPr>
        <w:t xml:space="preserve">WhatsApp pricing: TRAI TCCCPR DLT-registered templates at ₹0.15/utility message; marketing messages at ₹0.35/message</w:t>
      </w:r>
    </w:p>
    <w:p>
      <w:pPr>
        <w:pStyle w:val="ListParagraph"/>
        <w:numPr>
          <w:ilvl w:val="0"/>
          <w:numId w:val="1"/>
        </w:numPr>
        <w:spacing w:after="40" w:before="40"/>
      </w:pPr>
      <w:r>
        <w:rPr>
          <w:rFonts w:ascii="Calibri" w:cs="Calibri" w:eastAsia="Calibri" w:hAnsi="Calibri"/>
          <w:color w:val="1E293B"/>
          <w:sz w:val="20"/>
          <w:szCs w:val="20"/>
        </w:rPr>
        <w:t xml:space="preserve">Performance marketing conversion: ₹12 CPC × 3% CTR = ₹400/click × 4% application CVR = ₹10,000/application; improves with landing page optimisation</w:t>
      </w:r>
    </w:p>
    <w:p>
      <w:r>
        <w:br w:type="page"/>
      </w:r>
    </w:p>
    <w:p>
      <w:pPr>
        <w:pStyle w:val="Heading1"/>
        <w:pBdr>
          <w:bottom w:val="single" w:color="0D9488" w:sz="6"/>
        </w:pBdr>
        <w:spacing w:after="120" w:before="480"/>
      </w:pPr>
      <w:r>
        <w:t xml:space="preserve">Appendix B  Competitive Revenue Benchmarking</w:t>
      </w:r>
    </w:p>
    <w:p>
      <w:pPr>
        <w:spacing w:after="60" w:before="60"/>
      </w:pPr>
      <w:r>
        <w:rPr>
          <w:rFonts w:ascii="Calibri" w:cs="Calibri" w:eastAsia="Calibri" w:hAnsi="Calibri"/>
          <w:color w:val="1E293B"/>
          <w:sz w:val="20"/>
          <w:szCs w:val="20"/>
        </w:rPr>
        <w:t xml:space="preserve">This appendix provides reference points from publicly disclosed revenue data, investor presentations, and industry research for comparable Indian fintech marketplace platforms. These are benchmarks, not targets — LeapMoney's model differs in focus (proprietary scoring, DSA-first distribution, credit health engagement) and should command differentiated economics.</w:t>
      </w:r>
    </w:p>
    <w:p>
      <w:pPr>
        <w:spacing w:after="0" w:before="0"/>
      </w:pPr>
    </w:p>
    <w:p>
      <w:pPr>
        <w:pStyle w:val="Heading2"/>
        <w:spacing w:after="80" w:before="320"/>
      </w:pPr>
      <w:r>
        <w:t xml:space="preserve">B.1  Comparable Platform Revenue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Platform</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Business Model</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Disclosed Revenue (Latest FY)</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Commission Rate Range</w:t>
            </w:r>
          </w:p>
        </w:tc>
        <w:tc>
          <w:tcPr>
            <w:tcW w:type="dxa" w:w="44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Key Metric</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Paisabazaar (PB Fintech)</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Loan marketplace + credit score (CIBIL-based); India's largest</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₹550 Cr (FY24, PB Fintech consolidated)</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₹1,000–₹3,500 per personal loan disbursal</w:t>
            </w:r>
          </w:p>
        </w:tc>
        <w:tc>
          <w:tcPr>
            <w:tcW w:type="dxa" w:w="44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~3.5M loan applications/year; profitable since FY23</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BankBazaar</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Multi-product marketplace (loans, cards, insurance)</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₹191 Cr (FY23, estimated)</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₹500–₹2,000 per personal loan</w:t>
            </w:r>
          </w:p>
        </w:tc>
        <w:tc>
          <w:tcPr>
            <w:tcW w:type="dxa" w:w="44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Focus shifting to credit card distribution; lower loan mix</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IndiaLends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Unsecured personal loan marketplace; DSA-heavy model</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₹45–₹60 Cr (estimated FY23)</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₹1,200–₹2,800 per disbursal</w:t>
            </w:r>
          </w:p>
        </w:tc>
        <w:tc>
          <w:tcPr>
            <w:tcW w:type="dxa" w:w="44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Strong DSA network; acquired by Moneyview integration</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Finnable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Digital NBFC + marketplace hybrid</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 Cr (FY23, NBFC book + fee)</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Direct lending mix; fee ₹1,000–₹1,500 on marketplace</w:t>
            </w:r>
          </w:p>
        </w:tc>
        <w:tc>
          <w:tcPr>
            <w:tcW w:type="dxa" w:w="44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Different model — partial NBFC; leaner marketplace share</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Creditmantri</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health + loan marketplace</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₹30–₹50 Cr (estimated FY23)</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₹800–₹1,800 per disbursal</w:t>
            </w:r>
          </w:p>
        </w:tc>
        <w:tc>
          <w:tcPr>
            <w:tcW w:type="dxa" w:w="44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Freemium credit score; credit health is acquisition hook — closest comp to LeapMoney</w:t>
            </w:r>
          </w:p>
        </w:tc>
      </w:tr>
    </w:tbl>
    <w:p>
      <w:pPr>
        <w:spacing w:after="0" w:before="0"/>
      </w:pPr>
    </w:p>
    <w:p>
      <w:pPr>
        <w:pStyle w:val="Heading2"/>
        <w:spacing w:after="80" w:before="320"/>
      </w:pPr>
      <w:r>
        <w:t xml:space="preserve">B.2  Industry Commission Rate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Loan Type</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Industry Low</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Industry Median</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Industry High</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LeapMoney Target</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Loan (NBFC)</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 base; ₹2,000 performance tier</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Loan (Bank)</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₹900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 base; ₹1,400 performance tier</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Home Loan</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0.15% of disbursal</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0.30%</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0.50%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0.30% base; 0.40% performance tier</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Business Loan (unsecured)</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₹1,200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 base; ₹3,000 for quality leads</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LAP</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0.20% of disbursal</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0.35%</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0.60%</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0.35% base</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Card Referral</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 (Phase 3 target)</w:t>
            </w:r>
          </w:p>
        </w:tc>
      </w:tr>
    </w:tbl>
    <w:p>
      <w:pPr>
        <w:spacing w:after="0" w:before="0"/>
      </w:pPr>
    </w:p>
    <w:p>
      <w:pPr>
        <w:pStyle w:val="Heading2"/>
        <w:spacing w:after="80" w:before="320"/>
      </w:pPr>
      <w:r>
        <w:t xml:space="preserve">B.3  Unit Economics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Paisabazaar (FY24 est.)</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BankBazaar (FY23 est.)</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IndiaLends (FY23 est.)</w:t>
            </w:r>
          </w:p>
        </w:tc>
        <w:tc>
          <w:tcPr>
            <w:tcW w:type="dxa" w:w="2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LeapMoney Target (Year 2)</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CAC per borrower (blended)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₹700–₹1,200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₹1,000–₹1,800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₹500–₹900</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₹1,000–₹1,400</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LTV per borrower</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₹4,000–₹8,000</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₹3,500–₹6,000</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₹2,800–₹4,500</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₹4,200–₹5,500</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LTV:CAC ratio</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3.5x–8x</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2.5x–4x</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3x–6x</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3x (Year 2 target)</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Lead-to-disbursal CVR</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22–35%</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18–28%</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25–40%</w:t>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 disbursals (FY24 est.)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~80,000–1,20,000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~20,000–35,000</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~10,000–20,000</w:t>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500–1,000 (Year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12"/>
              <w:left w:val="single" w:color="92400E" w:sz="12"/>
              <w:bottom w:val="none" w:color="auto" w:sz="0"/>
              <w:right w:val="none" w:color="auto" w:sz="0"/>
            </w:tcBorders>
            <w:shd w:fill="FEF3C7"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Data Caveat</w:t>
            </w:r>
          </w:p>
          <w:p>
            <w:pPr>
              <w:spacing w:after="0" w:before="0"/>
            </w:pPr>
            <w:r>
              <w:rPr>
                <w:rFonts w:ascii="Calibri" w:cs="Calibri" w:eastAsia="Calibri" w:hAnsi="Calibri"/>
                <w:color w:val="1E293B"/>
                <w:sz w:val="18"/>
                <w:szCs w:val="18"/>
              </w:rPr>
              <w:t xml:space="preserve">Competitor revenue and unit economics figures are estimated from public investor presentations, media interviews, Ministry of Corporate Affairs filings, and industry reports. Exact figures are not publicly disclosed for most platforms. These numbers are indicative benchmarks for planning purposes only.</w:t>
            </w:r>
          </w:p>
        </w:tc>
      </w:tr>
    </w:tbl>
    <w:p>
      <w:pPr>
        <w:spacing w:after="0" w:before="0"/>
      </w:pPr>
    </w:p>
    <w:p>
      <w:pPr>
        <w:pStyle w:val="Heading2"/>
        <w:spacing w:after="80" w:before="320"/>
      </w:pPr>
      <w:r>
        <w:t xml:space="preserve">B.4  Why LeapMoney Can Outperform on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Advantage</w:t>
            </w:r>
          </w:p>
        </w:tc>
        <w:tc>
          <w:tcPr>
            <w:tcW w:type="dxa" w:w="7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How It Improves Economics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pre-qualification</w:t>
            </w:r>
          </w:p>
        </w:tc>
        <w:tc>
          <w:tcPr>
            <w:tcW w:type="dxa" w:w="7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Reduces wasted bureau pulls and ops time on ineligible applications; higher quality leads → higher lender commission willingness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AI routing</w:t>
            </w:r>
          </w:p>
        </w:tc>
        <w:tc>
          <w:tcPr>
            <w:tcW w:type="dxa" w:w="7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Higher lead-to-approval conversion at lender end → justifies premium commission over generic aggregators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stickiness</w:t>
            </w:r>
          </w:p>
        </w:tc>
        <w:tc>
          <w:tcPr>
            <w:tcW w:type="dxa" w:w="7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Lower DSA churn → lower CAC for DSA channel → lower blended CAC over time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Credit health engagement</w:t>
            </w:r>
          </w:p>
        </w:tc>
        <w:tc>
          <w:tcPr>
            <w:tcW w:type="dxa" w:w="7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Borrowers who engage with Credit Health Dashboard return to the platform without requiring re-acquisition → LTV multiplier without incremental CAC</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asset (proprietary LeapScore)</w:t>
            </w:r>
          </w:p>
        </w:tc>
        <w:tc>
          <w:tcPr>
            <w:tcW w:type="dxa" w:w="7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Enables B2B API monetisation unavailable to platforms relying on CIBIL score passthrough</w:t>
            </w:r>
          </w:p>
        </w:tc>
      </w:tr>
    </w:tbl>
    <w:p>
      <w:r>
        <w:br w:type="page"/>
      </w:r>
    </w:p>
    <w:sectPr>
      <w:headerReference w:type="default" r:id="rId7"/>
      <w:footerReference w:type="default" r:id="rId8"/>
      <w:pgSz w:w="12240" w:h="15840" w:orient="portrait"/>
      <w:pgMar w:top="720" w:right="940" w:bottom="72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80"/>
      <w:jc w:val="center"/>
    </w:pPr>
    <w:r>
      <w:rPr>
        <w:rFonts w:ascii="Calibri" w:cs="Calibri" w:eastAsia="Calibri" w:hAnsi="Calibri"/>
        <w:color w:val="334155"/>
        <w:sz w:val="16"/>
        <w:szCs w:val="16"/>
      </w:rPr>
      <w:t xml:space="preserve">© 2026 LeapMoney  ·  Confidential  ·  Page </w:t>
    </w:r>
    <w:r>
      <w:rPr>
        <w:rFonts w:ascii="Calibri" w:cs="Calibri" w:eastAsia="Calibri" w:hAnsi="Calibri"/>
        <w:color w:val="334155"/>
        <w:sz w:val="16"/>
        <w:szCs w:val="16"/>
      </w:rPr>
      <w:fldChar w:fldCharType="begin"/>
      <w:instrText xml:space="preserve">PAGE</w:instrText>
      <w:fldChar w:fldCharType="separate"/>
      <w:fldChar w:fldCharType="end"/>
    </w:r>
    <w:r>
      <w:rPr>
        <w:rFonts w:ascii="Calibri" w:cs="Calibri" w:eastAsia="Calibri" w:hAnsi="Calibri"/>
        <w:color w:val="334155"/>
        <w:sz w:val="16"/>
        <w:szCs w:val="16"/>
      </w:rPr>
      <w:t xml:space="preserve"> of </w:t>
    </w:r>
    <w:r>
      <w:rPr>
        <w:rFonts w:ascii="Calibri" w:cs="Calibri" w:eastAsia="Calibri" w:hAnsi="Calibri"/>
        <w:color w:val="3341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80"/>
    </w:pPr>
    <w:r>
      <w:rPr>
        <w:rFonts w:ascii="Calibri" w:cs="Calibri" w:eastAsia="Calibri" w:hAnsi="Calibri"/>
        <w:color w:val="334155"/>
        <w:sz w:val="16"/>
        <w:szCs w:val="16"/>
      </w:rPr>
      <w:t xml:space="preserve">LeapMoney  ·  Phase 9: Revenue Model &amp; Unit Economics  ·  Founder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pPr>
    <w:rPr>
      <w:rFonts w:ascii="Calibri" w:cs="Calibri" w:eastAsia="Calibri" w:hAnsi="Calibri"/>
      <w:b/>
      <w:bCs/>
      <w:color w:val="0F1F3D"/>
      <w:sz w:val="32"/>
      <w:szCs w:val="32"/>
    </w:rPr>
  </w:style>
  <w:style w:type="paragraph" w:styleId="Heading2">
    <w:name w:val="Heading 2"/>
    <w:basedOn w:val="Normal"/>
    <w:next w:val="Normal"/>
    <w:pPr>
      <w:spacing w:after="80" w:before="320"/>
    </w:pPr>
    <w:rPr>
      <w:rFonts w:ascii="Calibri" w:cs="Calibri" w:eastAsia="Calibri" w:hAnsi="Calibri"/>
      <w:b/>
      <w:bCs/>
      <w:color w:val="1E293B"/>
      <w:sz w:val="26"/>
      <w:szCs w:val="26"/>
    </w:rPr>
  </w:style>
  <w:style w:type="paragraph" w:styleId="Heading3">
    <w:name w:val="Heading 3"/>
    <w:basedOn w:val="Normal"/>
    <w:next w:val="Normal"/>
    <w:pPr>
      <w:spacing w:after="60" w:before="200"/>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LeapMoney Phase 9 — Revenue Model &amp; Unit Economics</dc:title>
  <dc:creator>LeapMoney Founder Office</dc:creator>
  <dc:description>Complete revenue model, unit economics, and 3-year roadmap for LeapMoney loan marketplace platform</dc:description>
  <cp:lastModifiedBy>Un-named</cp:lastModifiedBy>
  <cp:revision>1</cp:revision>
  <dcterms:created xsi:type="dcterms:W3CDTF">2026-06-16T09:41:18.140Z</dcterms:created>
  <dcterms:modified xsi:type="dcterms:W3CDTF">2026-06-16T09:41:18.140Z</dcterms:modified>
</cp:coreProperties>
</file>

<file path=docProps/custom.xml><?xml version="1.0" encoding="utf-8"?>
<Properties xmlns="http://schemas.openxmlformats.org/officeDocument/2006/custom-properties" xmlns:vt="http://schemas.openxmlformats.org/officeDocument/2006/docPropsVTypes"/>
</file>