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9E9C" w14:textId="55097EC1" w:rsidR="009C7517" w:rsidRDefault="009C7517">
      <w:pPr>
        <w:rPr>
          <w:b/>
        </w:rPr>
      </w:pPr>
      <w:r w:rsidRPr="009C7517">
        <w:rPr>
          <w:b/>
        </w:rPr>
        <w:t>Questionnaire Examples Comparison</w:t>
      </w:r>
    </w:p>
    <w:p w14:paraId="2576DA0C" w14:textId="5B97BCB3"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Purpose</w:t>
      </w:r>
    </w:p>
    <w:p w14:paraId="669394E9" w14:textId="01101C8B" w:rsidR="009C7517" w:rsidRDefault="009C7517">
      <w:r w:rsidRPr="009C7517">
        <w:t>This document pulls together the most useful questionnaire-style material from the papers already connected to your thesis. It is meant to help you compare what is actually reusable, what is only conceptually helpful, and what should be adapted rather than copied. To stay copyright-safe, the examples below are paraphrased unless the original wording is very short and standard.</w:t>
      </w:r>
    </w:p>
    <w:p w14:paraId="328693B7" w14:textId="6FDDA1A1"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Quick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3"/>
        <w:gridCol w:w="1701"/>
        <w:gridCol w:w="1847"/>
        <w:gridCol w:w="1787"/>
        <w:gridCol w:w="1388"/>
        <w:gridCol w:w="1274"/>
      </w:tblGrid>
      <w:tr w:rsidR="009C7517" w:rsidRPr="009C7517" w14:paraId="76352D8F" w14:textId="77777777" w:rsidTr="009C7517">
        <w:tblPrEx>
          <w:tblCellMar>
            <w:top w:w="0" w:type="dxa"/>
            <w:bottom w:w="0" w:type="dxa"/>
          </w:tblCellMar>
        </w:tblPrEx>
        <w:tc>
          <w:tcPr>
            <w:tcW w:w="0" w:type="auto"/>
          </w:tcPr>
          <w:p w14:paraId="2343E1A9" w14:textId="20AE6D09" w:rsidR="009C7517" w:rsidRPr="009C7517" w:rsidRDefault="009C7517">
            <w:pPr>
              <w:rPr>
                <w:b/>
                <w:sz w:val="20"/>
              </w:rPr>
            </w:pPr>
            <w:r w:rsidRPr="009C7517">
              <w:rPr>
                <w:b/>
                <w:sz w:val="20"/>
              </w:rPr>
              <w:t>Source</w:t>
            </w:r>
          </w:p>
        </w:tc>
        <w:tc>
          <w:tcPr>
            <w:tcW w:w="0" w:type="auto"/>
          </w:tcPr>
          <w:p w14:paraId="7E34E0F0" w14:textId="5E99B4BB" w:rsidR="009C7517" w:rsidRPr="009C7517" w:rsidRDefault="009C7517">
            <w:pPr>
              <w:rPr>
                <w:b/>
                <w:sz w:val="20"/>
              </w:rPr>
            </w:pPr>
            <w:r w:rsidRPr="009C7517">
              <w:rPr>
                <w:b/>
                <w:sz w:val="20"/>
              </w:rPr>
              <w:t>Construct</w:t>
            </w:r>
          </w:p>
        </w:tc>
        <w:tc>
          <w:tcPr>
            <w:tcW w:w="0" w:type="auto"/>
          </w:tcPr>
          <w:p w14:paraId="4DA66181" w14:textId="49B74831" w:rsidR="009C7517" w:rsidRPr="009C7517" w:rsidRDefault="009C7517">
            <w:pPr>
              <w:rPr>
                <w:b/>
                <w:sz w:val="20"/>
              </w:rPr>
            </w:pPr>
            <w:r w:rsidRPr="009C7517">
              <w:rPr>
                <w:b/>
                <w:sz w:val="20"/>
              </w:rPr>
              <w:t>Format</w:t>
            </w:r>
          </w:p>
        </w:tc>
        <w:tc>
          <w:tcPr>
            <w:tcW w:w="0" w:type="auto"/>
          </w:tcPr>
          <w:p w14:paraId="02F777B2" w14:textId="17596CF9" w:rsidR="009C7517" w:rsidRPr="009C7517" w:rsidRDefault="009C7517">
            <w:pPr>
              <w:rPr>
                <w:b/>
                <w:sz w:val="20"/>
              </w:rPr>
            </w:pPr>
            <w:r w:rsidRPr="009C7517">
              <w:rPr>
                <w:b/>
                <w:sz w:val="20"/>
              </w:rPr>
              <w:t>Example Items or Themes</w:t>
            </w:r>
          </w:p>
        </w:tc>
        <w:tc>
          <w:tcPr>
            <w:tcW w:w="0" w:type="auto"/>
          </w:tcPr>
          <w:p w14:paraId="6AB7955E" w14:textId="5CB658E2" w:rsidR="009C7517" w:rsidRPr="009C7517" w:rsidRDefault="009C7517">
            <w:pPr>
              <w:rPr>
                <w:b/>
                <w:sz w:val="20"/>
              </w:rPr>
            </w:pPr>
            <w:r w:rsidRPr="009C7517">
              <w:rPr>
                <w:b/>
                <w:sz w:val="20"/>
              </w:rPr>
              <w:t>Best Use</w:t>
            </w:r>
          </w:p>
        </w:tc>
        <w:tc>
          <w:tcPr>
            <w:tcW w:w="0" w:type="auto"/>
          </w:tcPr>
          <w:p w14:paraId="1FEA2FB6" w14:textId="5A7CBA6E" w:rsidR="009C7517" w:rsidRPr="009C7517" w:rsidRDefault="009C7517">
            <w:pPr>
              <w:rPr>
                <w:b/>
                <w:sz w:val="20"/>
              </w:rPr>
            </w:pPr>
            <w:r w:rsidRPr="009C7517">
              <w:rPr>
                <w:b/>
                <w:sz w:val="20"/>
              </w:rPr>
              <w:t>Reusability</w:t>
            </w:r>
          </w:p>
        </w:tc>
      </w:tr>
      <w:tr w:rsidR="009C7517" w:rsidRPr="009C7517" w14:paraId="298BB139" w14:textId="77777777" w:rsidTr="009C7517">
        <w:tblPrEx>
          <w:tblCellMar>
            <w:top w:w="0" w:type="dxa"/>
            <w:bottom w:w="0" w:type="dxa"/>
          </w:tblCellMar>
        </w:tblPrEx>
        <w:tc>
          <w:tcPr>
            <w:tcW w:w="0" w:type="auto"/>
          </w:tcPr>
          <w:p w14:paraId="7121BBFC" w14:textId="7E08F01D" w:rsidR="009C7517" w:rsidRPr="009C7517" w:rsidRDefault="009C7517">
            <w:pPr>
              <w:rPr>
                <w:b/>
                <w:sz w:val="20"/>
              </w:rPr>
            </w:pPr>
            <w:r w:rsidRPr="009C7517">
              <w:rPr>
                <w:b/>
                <w:sz w:val="20"/>
              </w:rPr>
              <w:t>Ha, Van Dyke, and Spittle (2025)</w:t>
            </w:r>
          </w:p>
        </w:tc>
        <w:tc>
          <w:tcPr>
            <w:tcW w:w="0" w:type="auto"/>
          </w:tcPr>
          <w:p w14:paraId="3635A843" w14:textId="37F086CA" w:rsidR="009C7517" w:rsidRPr="009C7517" w:rsidRDefault="009C7517">
            <w:pPr>
              <w:rPr>
                <w:b/>
                <w:sz w:val="20"/>
              </w:rPr>
            </w:pPr>
            <w:r w:rsidRPr="009C7517">
              <w:rPr>
                <w:b/>
                <w:sz w:val="20"/>
              </w:rPr>
              <w:t>Micro-credential benefits and interest</w:t>
            </w:r>
          </w:p>
        </w:tc>
        <w:tc>
          <w:tcPr>
            <w:tcW w:w="0" w:type="auto"/>
          </w:tcPr>
          <w:p w14:paraId="4384D39A" w14:textId="216FCFC6" w:rsidR="009C7517" w:rsidRPr="009C7517" w:rsidRDefault="009C7517">
            <w:pPr>
              <w:rPr>
                <w:b/>
                <w:sz w:val="20"/>
              </w:rPr>
            </w:pPr>
            <w:r w:rsidRPr="009C7517">
              <w:rPr>
                <w:b/>
                <w:sz w:val="20"/>
              </w:rPr>
              <w:t>5-point scales</w:t>
            </w:r>
          </w:p>
        </w:tc>
        <w:tc>
          <w:tcPr>
            <w:tcW w:w="0" w:type="auto"/>
          </w:tcPr>
          <w:p w14:paraId="59B69CCD" w14:textId="598290FB" w:rsidR="009C7517" w:rsidRPr="009C7517" w:rsidRDefault="009C7517">
            <w:pPr>
              <w:rPr>
                <w:b/>
                <w:sz w:val="20"/>
              </w:rPr>
            </w:pPr>
            <w:r w:rsidRPr="009C7517">
              <w:rPr>
                <w:b/>
                <w:sz w:val="20"/>
              </w:rPr>
              <w:t>Knowledge gain, skill gain, industry insight, CV value, job confidence, networking, workplace preparation, interest in communication, leadership, teamwork</w:t>
            </w:r>
          </w:p>
        </w:tc>
        <w:tc>
          <w:tcPr>
            <w:tcW w:w="0" w:type="auto"/>
          </w:tcPr>
          <w:p w14:paraId="4DAA46DA" w14:textId="0100D3EA" w:rsidR="009C7517" w:rsidRPr="009C7517" w:rsidRDefault="009C7517">
            <w:pPr>
              <w:rPr>
                <w:b/>
                <w:sz w:val="20"/>
              </w:rPr>
            </w:pPr>
            <w:r w:rsidRPr="009C7517">
              <w:rPr>
                <w:b/>
                <w:sz w:val="20"/>
              </w:rPr>
              <w:t>Most micro-credential-specific source for your study</w:t>
            </w:r>
          </w:p>
        </w:tc>
        <w:tc>
          <w:tcPr>
            <w:tcW w:w="0" w:type="auto"/>
          </w:tcPr>
          <w:p w14:paraId="186D05FE" w14:textId="17CE6C9C" w:rsidR="009C7517" w:rsidRPr="009C7517" w:rsidRDefault="009C7517">
            <w:pPr>
              <w:rPr>
                <w:b/>
                <w:sz w:val="20"/>
              </w:rPr>
            </w:pPr>
            <w:r w:rsidRPr="009C7517">
              <w:rPr>
                <w:b/>
                <w:sz w:val="20"/>
              </w:rPr>
              <w:t>High</w:t>
            </w:r>
          </w:p>
        </w:tc>
      </w:tr>
      <w:tr w:rsidR="009C7517" w:rsidRPr="009C7517" w14:paraId="6A7C8E82" w14:textId="77777777" w:rsidTr="009C7517">
        <w:tblPrEx>
          <w:tblCellMar>
            <w:top w:w="0" w:type="dxa"/>
            <w:bottom w:w="0" w:type="dxa"/>
          </w:tblCellMar>
        </w:tblPrEx>
        <w:tc>
          <w:tcPr>
            <w:tcW w:w="0" w:type="auto"/>
          </w:tcPr>
          <w:p w14:paraId="6F1AAA47" w14:textId="652963C7" w:rsidR="009C7517" w:rsidRPr="009C7517" w:rsidRDefault="009C7517">
            <w:pPr>
              <w:rPr>
                <w:b/>
                <w:sz w:val="20"/>
              </w:rPr>
            </w:pPr>
            <w:r w:rsidRPr="009C7517">
              <w:rPr>
                <w:b/>
                <w:sz w:val="20"/>
              </w:rPr>
              <w:t>Ledden, Kalafatis, and Samouel (2011), viewed through open adaptation</w:t>
            </w:r>
          </w:p>
        </w:tc>
        <w:tc>
          <w:tcPr>
            <w:tcW w:w="0" w:type="auto"/>
          </w:tcPr>
          <w:p w14:paraId="6D034613" w14:textId="7FE5BD17" w:rsidR="009C7517" w:rsidRPr="009C7517" w:rsidRDefault="009C7517">
            <w:pPr>
              <w:rPr>
                <w:b/>
                <w:sz w:val="20"/>
              </w:rPr>
            </w:pPr>
            <w:r w:rsidRPr="009C7517">
              <w:rPr>
                <w:b/>
                <w:sz w:val="20"/>
              </w:rPr>
              <w:t>Perceived value in higher education</w:t>
            </w:r>
          </w:p>
        </w:tc>
        <w:tc>
          <w:tcPr>
            <w:tcW w:w="0" w:type="auto"/>
          </w:tcPr>
          <w:p w14:paraId="31A4307A" w14:textId="2B94242D" w:rsidR="009C7517" w:rsidRPr="009C7517" w:rsidRDefault="009C7517">
            <w:pPr>
              <w:rPr>
                <w:b/>
                <w:sz w:val="20"/>
              </w:rPr>
            </w:pPr>
            <w:r w:rsidRPr="009C7517">
              <w:rPr>
                <w:b/>
                <w:sz w:val="20"/>
              </w:rPr>
              <w:t>7-point Likert, multidimensional</w:t>
            </w:r>
          </w:p>
        </w:tc>
        <w:tc>
          <w:tcPr>
            <w:tcW w:w="0" w:type="auto"/>
          </w:tcPr>
          <w:p w14:paraId="02E48F9E" w14:textId="6D3C9FE5" w:rsidR="009C7517" w:rsidRPr="009C7517" w:rsidRDefault="009C7517">
            <w:pPr>
              <w:rPr>
                <w:b/>
                <w:sz w:val="20"/>
              </w:rPr>
            </w:pPr>
            <w:r w:rsidRPr="009C7517">
              <w:rPr>
                <w:b/>
                <w:sz w:val="20"/>
              </w:rPr>
              <w:t>Functional value, epistemic value, social value, emotional value, image, monetary sacrifice, non-monetary sacrifice</w:t>
            </w:r>
          </w:p>
        </w:tc>
        <w:tc>
          <w:tcPr>
            <w:tcW w:w="0" w:type="auto"/>
          </w:tcPr>
          <w:p w14:paraId="156644F7" w14:textId="49CF1452" w:rsidR="009C7517" w:rsidRPr="009C7517" w:rsidRDefault="009C7517">
            <w:pPr>
              <w:rPr>
                <w:b/>
                <w:sz w:val="20"/>
              </w:rPr>
            </w:pPr>
            <w:r w:rsidRPr="009C7517">
              <w:rPr>
                <w:b/>
                <w:sz w:val="20"/>
              </w:rPr>
              <w:t>Best foundation for your perceived value scale</w:t>
            </w:r>
          </w:p>
        </w:tc>
        <w:tc>
          <w:tcPr>
            <w:tcW w:w="0" w:type="auto"/>
          </w:tcPr>
          <w:p w14:paraId="0F7083CA" w14:textId="284B58A5" w:rsidR="009C7517" w:rsidRPr="009C7517" w:rsidRDefault="009C7517">
            <w:pPr>
              <w:rPr>
                <w:b/>
                <w:sz w:val="20"/>
              </w:rPr>
            </w:pPr>
            <w:r w:rsidRPr="009C7517">
              <w:rPr>
                <w:b/>
                <w:sz w:val="20"/>
              </w:rPr>
              <w:t>High after adaptation</w:t>
            </w:r>
          </w:p>
        </w:tc>
      </w:tr>
      <w:tr w:rsidR="009C7517" w:rsidRPr="009C7517" w14:paraId="6972B5E9" w14:textId="77777777" w:rsidTr="009C7517">
        <w:tblPrEx>
          <w:tblCellMar>
            <w:top w:w="0" w:type="dxa"/>
            <w:bottom w:w="0" w:type="dxa"/>
          </w:tblCellMar>
        </w:tblPrEx>
        <w:tc>
          <w:tcPr>
            <w:tcW w:w="0" w:type="auto"/>
          </w:tcPr>
          <w:p w14:paraId="4773FEEC" w14:textId="6D947706" w:rsidR="009C7517" w:rsidRPr="009C7517" w:rsidRDefault="009C7517">
            <w:pPr>
              <w:rPr>
                <w:b/>
                <w:sz w:val="20"/>
              </w:rPr>
            </w:pPr>
            <w:r w:rsidRPr="009C7517">
              <w:rPr>
                <w:b/>
                <w:sz w:val="20"/>
              </w:rPr>
              <w:lastRenderedPageBreak/>
              <w:t>Iskandar, Wirawan, and Salam (2024)</w:t>
            </w:r>
          </w:p>
        </w:tc>
        <w:tc>
          <w:tcPr>
            <w:tcW w:w="0" w:type="auto"/>
          </w:tcPr>
          <w:p w14:paraId="48077A93" w14:textId="73A70D26" w:rsidR="009C7517" w:rsidRPr="009C7517" w:rsidRDefault="009C7517">
            <w:pPr>
              <w:rPr>
                <w:b/>
                <w:sz w:val="20"/>
              </w:rPr>
            </w:pPr>
            <w:r w:rsidRPr="009C7517">
              <w:rPr>
                <w:b/>
                <w:sz w:val="20"/>
              </w:rPr>
              <w:t>Perceived value in higher education</w:t>
            </w:r>
          </w:p>
        </w:tc>
        <w:tc>
          <w:tcPr>
            <w:tcW w:w="0" w:type="auto"/>
          </w:tcPr>
          <w:p w14:paraId="61F6473F" w14:textId="6AB06144" w:rsidR="009C7517" w:rsidRPr="009C7517" w:rsidRDefault="009C7517">
            <w:pPr>
              <w:rPr>
                <w:b/>
                <w:sz w:val="20"/>
              </w:rPr>
            </w:pPr>
            <w:r w:rsidRPr="009C7517">
              <w:rPr>
                <w:b/>
                <w:sz w:val="20"/>
              </w:rPr>
              <w:t>7-point Likert, 19 items</w:t>
            </w:r>
          </w:p>
        </w:tc>
        <w:tc>
          <w:tcPr>
            <w:tcW w:w="0" w:type="auto"/>
          </w:tcPr>
          <w:p w14:paraId="401820AA" w14:textId="0B904E4A" w:rsidR="009C7517" w:rsidRPr="009C7517" w:rsidRDefault="009C7517">
            <w:pPr>
              <w:rPr>
                <w:b/>
                <w:sz w:val="20"/>
              </w:rPr>
            </w:pPr>
            <w:r w:rsidRPr="009C7517">
              <w:rPr>
                <w:b/>
                <w:sz w:val="20"/>
              </w:rPr>
              <w:t>Quality, emotional value, price value, social value; sample theme: acceptable academic service quality</w:t>
            </w:r>
          </w:p>
        </w:tc>
        <w:tc>
          <w:tcPr>
            <w:tcW w:w="0" w:type="auto"/>
          </w:tcPr>
          <w:p w14:paraId="78A9FF5C" w14:textId="3A182587" w:rsidR="009C7517" w:rsidRPr="009C7517" w:rsidRDefault="009C7517">
            <w:pPr>
              <w:rPr>
                <w:b/>
                <w:sz w:val="20"/>
              </w:rPr>
            </w:pPr>
            <w:r w:rsidRPr="009C7517">
              <w:rPr>
                <w:b/>
                <w:sz w:val="20"/>
              </w:rPr>
              <w:t>Cleaner shorter comparison source for perceived value</w:t>
            </w:r>
          </w:p>
        </w:tc>
        <w:tc>
          <w:tcPr>
            <w:tcW w:w="0" w:type="auto"/>
          </w:tcPr>
          <w:p w14:paraId="2CB651F4" w14:textId="4B64922B" w:rsidR="009C7517" w:rsidRPr="009C7517" w:rsidRDefault="009C7517">
            <w:pPr>
              <w:rPr>
                <w:b/>
                <w:sz w:val="20"/>
              </w:rPr>
            </w:pPr>
            <w:r w:rsidRPr="009C7517">
              <w:rPr>
                <w:b/>
                <w:sz w:val="20"/>
              </w:rPr>
              <w:t>Medium to high</w:t>
            </w:r>
          </w:p>
        </w:tc>
      </w:tr>
      <w:tr w:rsidR="009C7517" w:rsidRPr="009C7517" w14:paraId="0C8D0951" w14:textId="77777777" w:rsidTr="009C7517">
        <w:tblPrEx>
          <w:tblCellMar>
            <w:top w:w="0" w:type="dxa"/>
            <w:bottom w:w="0" w:type="dxa"/>
          </w:tblCellMar>
        </w:tblPrEx>
        <w:tc>
          <w:tcPr>
            <w:tcW w:w="0" w:type="auto"/>
          </w:tcPr>
          <w:p w14:paraId="70B9954A" w14:textId="6C486B90" w:rsidR="009C7517" w:rsidRPr="009C7517" w:rsidRDefault="009C7517">
            <w:pPr>
              <w:rPr>
                <w:b/>
                <w:sz w:val="20"/>
              </w:rPr>
            </w:pPr>
            <w:r w:rsidRPr="009C7517">
              <w:rPr>
                <w:b/>
                <w:sz w:val="20"/>
              </w:rPr>
              <w:t>Ohanian (1990)</w:t>
            </w:r>
          </w:p>
        </w:tc>
        <w:tc>
          <w:tcPr>
            <w:tcW w:w="0" w:type="auto"/>
          </w:tcPr>
          <w:p w14:paraId="1AA13C6F" w14:textId="31535B64" w:rsidR="009C7517" w:rsidRPr="009C7517" w:rsidRDefault="009C7517">
            <w:pPr>
              <w:rPr>
                <w:b/>
                <w:sz w:val="20"/>
              </w:rPr>
            </w:pPr>
            <w:r w:rsidRPr="009C7517">
              <w:rPr>
                <w:b/>
                <w:sz w:val="20"/>
              </w:rPr>
              <w:t>Trustworthiness and credibility</w:t>
            </w:r>
          </w:p>
        </w:tc>
        <w:tc>
          <w:tcPr>
            <w:tcW w:w="0" w:type="auto"/>
          </w:tcPr>
          <w:p w14:paraId="36982E3D" w14:textId="65E5CA57" w:rsidR="009C7517" w:rsidRPr="009C7517" w:rsidRDefault="009C7517">
            <w:pPr>
              <w:rPr>
                <w:b/>
                <w:sz w:val="20"/>
              </w:rPr>
            </w:pPr>
            <w:r w:rsidRPr="009C7517">
              <w:rPr>
                <w:b/>
                <w:sz w:val="20"/>
              </w:rPr>
              <w:t>Semantic differential pairs</w:t>
            </w:r>
          </w:p>
        </w:tc>
        <w:tc>
          <w:tcPr>
            <w:tcW w:w="0" w:type="auto"/>
          </w:tcPr>
          <w:p w14:paraId="0732B1AE" w14:textId="3B906298" w:rsidR="009C7517" w:rsidRPr="009C7517" w:rsidRDefault="009C7517">
            <w:pPr>
              <w:rPr>
                <w:b/>
                <w:sz w:val="20"/>
              </w:rPr>
            </w:pPr>
            <w:r w:rsidRPr="009C7517">
              <w:rPr>
                <w:b/>
                <w:sz w:val="20"/>
              </w:rPr>
              <w:t>Dependable, honest, reliable, sincere, trustworthy</w:t>
            </w:r>
          </w:p>
        </w:tc>
        <w:tc>
          <w:tcPr>
            <w:tcW w:w="0" w:type="auto"/>
          </w:tcPr>
          <w:p w14:paraId="3ED719AE" w14:textId="2D2325C8" w:rsidR="009C7517" w:rsidRPr="009C7517" w:rsidRDefault="009C7517">
            <w:pPr>
              <w:rPr>
                <w:b/>
                <w:sz w:val="20"/>
              </w:rPr>
            </w:pPr>
            <w:r w:rsidRPr="009C7517">
              <w:rPr>
                <w:b/>
                <w:sz w:val="20"/>
              </w:rPr>
              <w:t>Best logic source for a student trust scale</w:t>
            </w:r>
          </w:p>
        </w:tc>
        <w:tc>
          <w:tcPr>
            <w:tcW w:w="0" w:type="auto"/>
          </w:tcPr>
          <w:p w14:paraId="5D010E43" w14:textId="386D24DA" w:rsidR="009C7517" w:rsidRPr="009C7517" w:rsidRDefault="009C7517">
            <w:pPr>
              <w:rPr>
                <w:b/>
                <w:sz w:val="20"/>
              </w:rPr>
            </w:pPr>
            <w:r w:rsidRPr="009C7517">
              <w:rPr>
                <w:b/>
                <w:sz w:val="20"/>
              </w:rPr>
              <w:t>High after converting to simple statements</w:t>
            </w:r>
          </w:p>
        </w:tc>
      </w:tr>
      <w:tr w:rsidR="009C7517" w:rsidRPr="009C7517" w14:paraId="121357A6" w14:textId="77777777" w:rsidTr="009C7517">
        <w:tblPrEx>
          <w:tblCellMar>
            <w:top w:w="0" w:type="dxa"/>
            <w:bottom w:w="0" w:type="dxa"/>
          </w:tblCellMar>
        </w:tblPrEx>
        <w:tc>
          <w:tcPr>
            <w:tcW w:w="0" w:type="auto"/>
          </w:tcPr>
          <w:p w14:paraId="19AB2E43" w14:textId="4E2B85B4" w:rsidR="009C7517" w:rsidRPr="009C7517" w:rsidRDefault="009C7517">
            <w:pPr>
              <w:rPr>
                <w:b/>
                <w:sz w:val="20"/>
              </w:rPr>
            </w:pPr>
            <w:r w:rsidRPr="009C7517">
              <w:rPr>
                <w:b/>
                <w:sz w:val="20"/>
              </w:rPr>
              <w:t>Zou et al. (2024)</w:t>
            </w:r>
          </w:p>
        </w:tc>
        <w:tc>
          <w:tcPr>
            <w:tcW w:w="0" w:type="auto"/>
          </w:tcPr>
          <w:p w14:paraId="571A7EE7" w14:textId="76B5214E" w:rsidR="009C7517" w:rsidRPr="009C7517" w:rsidRDefault="009C7517">
            <w:pPr>
              <w:rPr>
                <w:b/>
                <w:sz w:val="20"/>
              </w:rPr>
            </w:pPr>
            <w:r w:rsidRPr="009C7517">
              <w:rPr>
                <w:b/>
                <w:sz w:val="20"/>
              </w:rPr>
              <w:t>Micro-credential learning, human capital, employability</w:t>
            </w:r>
          </w:p>
        </w:tc>
        <w:tc>
          <w:tcPr>
            <w:tcW w:w="0" w:type="auto"/>
          </w:tcPr>
          <w:p w14:paraId="2E835775" w14:textId="1DCBA227" w:rsidR="009C7517" w:rsidRPr="009C7517" w:rsidRDefault="009C7517">
            <w:pPr>
              <w:rPr>
                <w:b/>
                <w:sz w:val="20"/>
              </w:rPr>
            </w:pPr>
            <w:r w:rsidRPr="009C7517">
              <w:rPr>
                <w:b/>
                <w:sz w:val="20"/>
              </w:rPr>
              <w:t>Closed-ended survey reported, but item wording not visible</w:t>
            </w:r>
          </w:p>
        </w:tc>
        <w:tc>
          <w:tcPr>
            <w:tcW w:w="0" w:type="auto"/>
          </w:tcPr>
          <w:p w14:paraId="7FBF00C9" w14:textId="28186C8A" w:rsidR="009C7517" w:rsidRPr="009C7517" w:rsidRDefault="009C7517">
            <w:pPr>
              <w:rPr>
                <w:b/>
                <w:sz w:val="20"/>
              </w:rPr>
            </w:pPr>
            <w:r w:rsidRPr="009C7517">
              <w:rPr>
                <w:b/>
                <w:sz w:val="20"/>
              </w:rPr>
              <w:t>Employability and human capital direction is useful, but accessible item-level wording was not available</w:t>
            </w:r>
          </w:p>
        </w:tc>
        <w:tc>
          <w:tcPr>
            <w:tcW w:w="0" w:type="auto"/>
          </w:tcPr>
          <w:p w14:paraId="5D8E24B1" w14:textId="4C08B0B7" w:rsidR="009C7517" w:rsidRPr="009C7517" w:rsidRDefault="009C7517">
            <w:pPr>
              <w:rPr>
                <w:b/>
                <w:sz w:val="20"/>
              </w:rPr>
            </w:pPr>
            <w:r w:rsidRPr="009C7517">
              <w:rPr>
                <w:b/>
                <w:sz w:val="20"/>
              </w:rPr>
              <w:t>Best for model justification, not item borrowing</w:t>
            </w:r>
          </w:p>
        </w:tc>
        <w:tc>
          <w:tcPr>
            <w:tcW w:w="0" w:type="auto"/>
          </w:tcPr>
          <w:p w14:paraId="312275F0" w14:textId="04703A5F" w:rsidR="009C7517" w:rsidRPr="009C7517" w:rsidRDefault="009C7517">
            <w:pPr>
              <w:rPr>
                <w:b/>
                <w:sz w:val="20"/>
              </w:rPr>
            </w:pPr>
            <w:r w:rsidRPr="009C7517">
              <w:rPr>
                <w:b/>
                <w:sz w:val="20"/>
              </w:rPr>
              <w:t>Low for direct adoption</w:t>
            </w:r>
          </w:p>
        </w:tc>
      </w:tr>
      <w:tr w:rsidR="009C7517" w:rsidRPr="009C7517" w14:paraId="6F3A0A6A" w14:textId="77777777" w:rsidTr="009C7517">
        <w:tblPrEx>
          <w:tblCellMar>
            <w:top w:w="0" w:type="dxa"/>
            <w:bottom w:w="0" w:type="dxa"/>
          </w:tblCellMar>
        </w:tblPrEx>
        <w:tc>
          <w:tcPr>
            <w:tcW w:w="0" w:type="auto"/>
          </w:tcPr>
          <w:p w14:paraId="0B163E85" w14:textId="607BF27A" w:rsidR="009C7517" w:rsidRPr="009C7517" w:rsidRDefault="009C7517">
            <w:pPr>
              <w:rPr>
                <w:b/>
                <w:sz w:val="20"/>
              </w:rPr>
            </w:pPr>
            <w:r w:rsidRPr="009C7517">
              <w:rPr>
                <w:b/>
                <w:sz w:val="20"/>
              </w:rPr>
              <w:t>Ahsan et al. (2023); Varadarajan et al. (2023); Wheelahan and Moodie (2021); Reed et al. (2024); Ha et al. (2024)</w:t>
            </w:r>
          </w:p>
        </w:tc>
        <w:tc>
          <w:tcPr>
            <w:tcW w:w="0" w:type="auto"/>
          </w:tcPr>
          <w:p w14:paraId="6F69252B" w14:textId="0E12135B" w:rsidR="009C7517" w:rsidRPr="009C7517" w:rsidRDefault="009C7517">
            <w:pPr>
              <w:rPr>
                <w:b/>
                <w:sz w:val="20"/>
              </w:rPr>
            </w:pPr>
            <w:r w:rsidRPr="009C7517">
              <w:rPr>
                <w:b/>
                <w:sz w:val="20"/>
              </w:rPr>
              <w:t>Definitions, critique, design, stakeholder perspective</w:t>
            </w:r>
          </w:p>
        </w:tc>
        <w:tc>
          <w:tcPr>
            <w:tcW w:w="0" w:type="auto"/>
          </w:tcPr>
          <w:p w14:paraId="2FC3CCF2" w14:textId="667D4626" w:rsidR="009C7517" w:rsidRPr="009C7517" w:rsidRDefault="009C7517">
            <w:pPr>
              <w:rPr>
                <w:b/>
                <w:sz w:val="20"/>
              </w:rPr>
            </w:pPr>
            <w:r w:rsidRPr="009C7517">
              <w:rPr>
                <w:b/>
                <w:sz w:val="20"/>
              </w:rPr>
              <w:t>Reviews, conceptual, or qualitative studies</w:t>
            </w:r>
          </w:p>
        </w:tc>
        <w:tc>
          <w:tcPr>
            <w:tcW w:w="0" w:type="auto"/>
          </w:tcPr>
          <w:p w14:paraId="059A302B" w14:textId="6EF91391" w:rsidR="009C7517" w:rsidRPr="009C7517" w:rsidRDefault="009C7517">
            <w:pPr>
              <w:rPr>
                <w:b/>
                <w:sz w:val="20"/>
              </w:rPr>
            </w:pPr>
            <w:r w:rsidRPr="009C7517">
              <w:rPr>
                <w:b/>
                <w:sz w:val="20"/>
              </w:rPr>
              <w:t>Useful for theory, legitimacy, and context, but not for reusable survey items</w:t>
            </w:r>
          </w:p>
        </w:tc>
        <w:tc>
          <w:tcPr>
            <w:tcW w:w="0" w:type="auto"/>
          </w:tcPr>
          <w:p w14:paraId="07368358" w14:textId="647093DD" w:rsidR="009C7517" w:rsidRPr="009C7517" w:rsidRDefault="009C7517">
            <w:pPr>
              <w:rPr>
                <w:b/>
                <w:sz w:val="20"/>
              </w:rPr>
            </w:pPr>
            <w:r w:rsidRPr="009C7517">
              <w:rPr>
                <w:b/>
                <w:sz w:val="20"/>
              </w:rPr>
              <w:t>Use for literature review only</w:t>
            </w:r>
          </w:p>
        </w:tc>
        <w:tc>
          <w:tcPr>
            <w:tcW w:w="0" w:type="auto"/>
          </w:tcPr>
          <w:p w14:paraId="51597067" w14:textId="4DE57E98" w:rsidR="009C7517" w:rsidRPr="009C7517" w:rsidRDefault="009C7517">
            <w:pPr>
              <w:rPr>
                <w:b/>
                <w:sz w:val="20"/>
              </w:rPr>
            </w:pPr>
            <w:r w:rsidRPr="009C7517">
              <w:rPr>
                <w:b/>
                <w:sz w:val="20"/>
              </w:rPr>
              <w:t>Low</w:t>
            </w:r>
          </w:p>
        </w:tc>
      </w:tr>
    </w:tbl>
    <w:p w14:paraId="7AD462DC" w14:textId="77777777" w:rsidR="009C7517" w:rsidRDefault="009C7517">
      <w:pPr>
        <w:rPr>
          <w:b/>
        </w:rPr>
      </w:pPr>
    </w:p>
    <w:p w14:paraId="55C10EAC" w14:textId="6A5CB439"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Detailed Notes</w:t>
      </w:r>
    </w:p>
    <w:p w14:paraId="45A90A97" w14:textId="01082EAE" w:rsidR="009C7517" w:rsidRDefault="009C7517">
      <w:pPr>
        <w:rPr>
          <w:rFonts w:asciiTheme="majorHAnsi" w:eastAsiaTheme="majorEastAsia" w:hAnsiTheme="majorHAnsi" w:cstheme="majorBidi"/>
          <w:b/>
          <w:color w:val="0F4761" w:themeColor="accent1" w:themeShade="BF"/>
          <w:sz w:val="32"/>
          <w:szCs w:val="32"/>
        </w:rPr>
      </w:pPr>
      <w:r w:rsidRPr="009C7517">
        <w:rPr>
          <w:rFonts w:asciiTheme="majorHAnsi" w:eastAsiaTheme="majorEastAsia" w:hAnsiTheme="majorHAnsi" w:cstheme="majorBidi"/>
          <w:b/>
          <w:color w:val="0F4761" w:themeColor="accent1" w:themeShade="BF"/>
          <w:sz w:val="32"/>
          <w:szCs w:val="32"/>
        </w:rPr>
        <w:t>1. Ha, Van Dyke, and Spittle (2025)</w:t>
      </w:r>
    </w:p>
    <w:p w14:paraId="13427EB1" w14:textId="7903059E" w:rsidR="009C7517" w:rsidRDefault="009C7517">
      <w:r w:rsidRPr="009C7517">
        <w:t>Why it matters: this is the strongest micro-credential-specific questionnaire source among the papers tied to your topic.</w:t>
      </w:r>
    </w:p>
    <w:p w14:paraId="2A11CFF2" w14:textId="086346F1" w:rsidR="009C7517" w:rsidRDefault="009C7517">
      <w:r w:rsidRPr="009C7517">
        <w:lastRenderedPageBreak/>
        <w:t>Reported questionnaire structure: demographics, perceived benefits of micro-credentials for graduate employability, and interest in possible micro-credential offerings focused on employability skills.</w:t>
      </w:r>
    </w:p>
    <w:p w14:paraId="1B38ADEE" w14:textId="73C97DDC" w:rsidR="009C7517" w:rsidRDefault="009C7517">
      <w:r w:rsidRPr="009C7517">
        <w:t>Paraphrased item themes: gaining new knowledge, gaining new skills, learning about industry practice, meeting personal learning interests, helping the CV, improving confidence in finding jobs, building professional networks, and preparing for workplace environments.</w:t>
      </w:r>
    </w:p>
    <w:p w14:paraId="603A5779" w14:textId="393AA1F6" w:rsidR="009C7517" w:rsidRDefault="009C7517">
      <w:r w:rsidRPr="009C7517">
        <w:t>Good for your thesis because it helps your value items sound like micro-credentials, not like a generic university satisfaction scale.</w:t>
      </w:r>
    </w:p>
    <w:p w14:paraId="26F2D93A" w14:textId="4D8450EC" w:rsidR="009C7517" w:rsidRDefault="009C7517">
      <w:r w:rsidRPr="009C7517">
        <w:t>Source: https://doi.org/10.1080/03075079.2025.2516709</w:t>
      </w:r>
    </w:p>
    <w:p w14:paraId="47F5191F" w14:textId="20D1966D" w:rsidR="009C7517" w:rsidRDefault="009C7517">
      <w:pPr>
        <w:rPr>
          <w:rFonts w:asciiTheme="majorHAnsi" w:eastAsiaTheme="majorEastAsia" w:hAnsiTheme="majorHAnsi" w:cstheme="majorBidi"/>
          <w:b/>
          <w:color w:val="0F4761" w:themeColor="accent1" w:themeShade="BF"/>
          <w:sz w:val="32"/>
          <w:szCs w:val="32"/>
        </w:rPr>
      </w:pPr>
      <w:r w:rsidRPr="009C7517">
        <w:rPr>
          <w:rFonts w:asciiTheme="majorHAnsi" w:eastAsiaTheme="majorEastAsia" w:hAnsiTheme="majorHAnsi" w:cstheme="majorBidi"/>
          <w:b/>
          <w:color w:val="0F4761" w:themeColor="accent1" w:themeShade="BF"/>
          <w:sz w:val="32"/>
          <w:szCs w:val="32"/>
        </w:rPr>
        <w:t>2. Ledden, Kalafatis, and Samouel (2011), accessed through an open adaptation paper</w:t>
      </w:r>
    </w:p>
    <w:p w14:paraId="0BBEC25E" w14:textId="3033432D" w:rsidR="009C7517" w:rsidRDefault="009C7517">
      <w:r w:rsidRPr="009C7517">
        <w:t>Why it matters: this is the strongest structure for your perceived value construct.</w:t>
      </w:r>
    </w:p>
    <w:p w14:paraId="369ED81C" w14:textId="06D57EC5" w:rsidR="009C7517" w:rsidRDefault="009C7517">
      <w:r w:rsidRPr="009C7517">
        <w:t>Visible scale logic: value is treated as a trade-off between what students receive and what they sacrifice.</w:t>
      </w:r>
    </w:p>
    <w:p w14:paraId="16A76652" w14:textId="2F0D1455" w:rsidR="009C7517" w:rsidRDefault="009C7517">
      <w:r w:rsidRPr="009C7517">
        <w:t>Paraphrased item themes: career help, salary prospects, job promotion, learning new things, academic interest, approval from important others, pride, self-confidence, time sacrifice, price fairness, and institutional image.</w:t>
      </w:r>
    </w:p>
    <w:p w14:paraId="5608A8DC" w14:textId="2542F2A4" w:rsidR="009C7517" w:rsidRDefault="009C7517">
      <w:r w:rsidRPr="009C7517">
        <w:t>Good for your thesis because you can adapt a shorter subset of value items without carrying the full original scale.</w:t>
      </w:r>
    </w:p>
    <w:p w14:paraId="6BFCDA67" w14:textId="5E538778" w:rsidR="009C7517" w:rsidRDefault="009C7517">
      <w:r w:rsidRPr="009C7517">
        <w:t>Open adaptation source used to view the English items: https://pmc.ncbi.nlm.nih.gov/articles/PMC10089309/</w:t>
      </w:r>
    </w:p>
    <w:p w14:paraId="31553F35" w14:textId="2E66B177" w:rsidR="009C7517" w:rsidRDefault="009C7517">
      <w:r w:rsidRPr="009C7517">
        <w:t>Original source reference in your thesis should still cite Ledden et al. (2011).</w:t>
      </w:r>
    </w:p>
    <w:p w14:paraId="0B79F3E6" w14:textId="608E8403" w:rsidR="009C7517" w:rsidRDefault="009C7517">
      <w:pPr>
        <w:rPr>
          <w:rFonts w:asciiTheme="majorHAnsi" w:eastAsiaTheme="majorEastAsia" w:hAnsiTheme="majorHAnsi" w:cstheme="majorBidi"/>
          <w:b/>
          <w:color w:val="0F4761" w:themeColor="accent1" w:themeShade="BF"/>
          <w:sz w:val="32"/>
          <w:szCs w:val="32"/>
        </w:rPr>
      </w:pPr>
      <w:r w:rsidRPr="009C7517">
        <w:rPr>
          <w:rFonts w:asciiTheme="majorHAnsi" w:eastAsiaTheme="majorEastAsia" w:hAnsiTheme="majorHAnsi" w:cstheme="majorBidi"/>
          <w:b/>
          <w:color w:val="0F4761" w:themeColor="accent1" w:themeShade="BF"/>
          <w:sz w:val="32"/>
          <w:szCs w:val="32"/>
        </w:rPr>
        <w:t>3. Iskandar, Wirawan, and Salam (2024)</w:t>
      </w:r>
    </w:p>
    <w:p w14:paraId="004A87CB" w14:textId="46482008" w:rsidR="009C7517" w:rsidRDefault="009C7517">
      <w:r w:rsidRPr="009C7517">
        <w:t>Why it matters: this gives you a newer higher-education perceived value instrument with a tighter structure than Ledden.</w:t>
      </w:r>
    </w:p>
    <w:p w14:paraId="7538B70E" w14:textId="1BD3836F" w:rsidR="009C7517" w:rsidRDefault="009C7517">
      <w:r w:rsidRPr="009C7517">
        <w:t>Reported scale structure: 19 items across quality, emotional value, price value, and social value, using a 7-point Likert scale.</w:t>
      </w:r>
    </w:p>
    <w:p w14:paraId="4A357B7E" w14:textId="00CF764E" w:rsidR="009C7517" w:rsidRDefault="009C7517">
      <w:r w:rsidRPr="009C7517">
        <w:t>Accessible theme example: whether academic services meet an acceptable quality standard.</w:t>
      </w:r>
    </w:p>
    <w:p w14:paraId="236BFD8D" w14:textId="00EAC80B" w:rsidR="009C7517" w:rsidRDefault="009C7517">
      <w:r w:rsidRPr="009C7517">
        <w:t>Good for your thesis because it gives you a contemporary comparison source when selecting a shorter perceived value scale.</w:t>
      </w:r>
    </w:p>
    <w:p w14:paraId="3E9817F8" w14:textId="6BDC6214" w:rsidR="009C7517" w:rsidRDefault="009C7517">
      <w:r w:rsidRPr="009C7517">
        <w:t>Source: https://doi.org/10.1080/23311975.2024.2313789</w:t>
      </w:r>
    </w:p>
    <w:p w14:paraId="2D3359C8" w14:textId="2608228D" w:rsidR="009C7517" w:rsidRDefault="009C7517">
      <w:pPr>
        <w:rPr>
          <w:rFonts w:asciiTheme="majorHAnsi" w:eastAsiaTheme="majorEastAsia" w:hAnsiTheme="majorHAnsi" w:cstheme="majorBidi"/>
          <w:b/>
          <w:color w:val="0F4761" w:themeColor="accent1" w:themeShade="BF"/>
          <w:sz w:val="32"/>
          <w:szCs w:val="32"/>
        </w:rPr>
      </w:pPr>
      <w:r w:rsidRPr="009C7517">
        <w:rPr>
          <w:rFonts w:asciiTheme="majorHAnsi" w:eastAsiaTheme="majorEastAsia" w:hAnsiTheme="majorHAnsi" w:cstheme="majorBidi"/>
          <w:b/>
          <w:color w:val="0F4761" w:themeColor="accent1" w:themeShade="BF"/>
          <w:sz w:val="32"/>
          <w:szCs w:val="32"/>
        </w:rPr>
        <w:t>4. Ohanian (1990)</w:t>
      </w:r>
    </w:p>
    <w:p w14:paraId="56C92007" w14:textId="7CDE89C0" w:rsidR="009C7517" w:rsidRDefault="009C7517">
      <w:r w:rsidRPr="009C7517">
        <w:t>Why it matters: this is the cleanest trustworthiness logic for your trust construct.</w:t>
      </w:r>
    </w:p>
    <w:p w14:paraId="5FDDC696" w14:textId="5A184FE4" w:rsidR="009C7517" w:rsidRDefault="009C7517">
      <w:r w:rsidRPr="009C7517">
        <w:t>Short standard adjective pairs that can inform your adaptation: dependable-undependable, honest-dishonest, reliable-unreliable, sincere-insincere, trustworthy-untrustworthy.</w:t>
      </w:r>
    </w:p>
    <w:p w14:paraId="0DB0AEA0" w14:textId="4E27EB8B" w:rsidR="009C7517" w:rsidRDefault="009C7517">
      <w:r w:rsidRPr="009C7517">
        <w:t>Good for your thesis because you can convert this logic into simple statements such as whether the credential appears trustworthy, credible, and dependable.</w:t>
      </w:r>
    </w:p>
    <w:p w14:paraId="6A542268" w14:textId="38B8E08D" w:rsidR="009C7517" w:rsidRDefault="009C7517">
      <w:r w:rsidRPr="009C7517">
        <w:t>Source: https://doi.org/10.1080/00913367.1990.10673191</w:t>
      </w:r>
    </w:p>
    <w:p w14:paraId="1FF1516C" w14:textId="07CD5A94" w:rsidR="009C7517" w:rsidRDefault="009C7517">
      <w:pPr>
        <w:rPr>
          <w:rFonts w:asciiTheme="majorHAnsi" w:eastAsiaTheme="majorEastAsia" w:hAnsiTheme="majorHAnsi" w:cstheme="majorBidi"/>
          <w:b/>
          <w:color w:val="0F4761" w:themeColor="accent1" w:themeShade="BF"/>
          <w:sz w:val="32"/>
          <w:szCs w:val="32"/>
        </w:rPr>
      </w:pPr>
      <w:r w:rsidRPr="009C7517">
        <w:rPr>
          <w:rFonts w:asciiTheme="majorHAnsi" w:eastAsiaTheme="majorEastAsia" w:hAnsiTheme="majorHAnsi" w:cstheme="majorBidi"/>
          <w:b/>
          <w:color w:val="0F4761" w:themeColor="accent1" w:themeShade="BF"/>
          <w:sz w:val="32"/>
          <w:szCs w:val="32"/>
        </w:rPr>
        <w:t>5. Zou et al. (2024)</w:t>
      </w:r>
    </w:p>
    <w:p w14:paraId="3CE45888" w14:textId="1F2521DD" w:rsidR="009C7517" w:rsidRDefault="009C7517">
      <w:r w:rsidRPr="009C7517">
        <w:t>Why it matters: this paper is close to your topic and helps justify why employability-related outcomes matter.</w:t>
      </w:r>
    </w:p>
    <w:p w14:paraId="72F13064" w14:textId="29DA71ED" w:rsidR="009C7517" w:rsidRDefault="009C7517">
      <w:r w:rsidRPr="009C7517">
        <w:t>Limitation: accessible sources confirmed the constructs used in the model, but not the exact item wording.</w:t>
      </w:r>
    </w:p>
    <w:p w14:paraId="22DA8480" w14:textId="3419F78B" w:rsidR="009C7517" w:rsidRDefault="009C7517">
      <w:r w:rsidRPr="009C7517">
        <w:t>Good for your thesis because it supports your model and discussion, but it should not be your main questionnaire source unless you later obtain the full instrument from a library or publisher PDF.</w:t>
      </w:r>
    </w:p>
    <w:p w14:paraId="543C7B1C" w14:textId="2F4BBB89" w:rsidR="009C7517" w:rsidRDefault="009C7517">
      <w:r w:rsidRPr="009C7517">
        <w:t>Source: https://doi.org/10.1108/IJEM-01-2023-0002</w:t>
      </w:r>
    </w:p>
    <w:p w14:paraId="0DAC14CF" w14:textId="1DA6FF00"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Papers That Are Useful for Theory but Not for Questionnaire Borrowing</w:t>
      </w:r>
    </w:p>
    <w:p w14:paraId="76EC475F" w14:textId="47D28A01" w:rsidR="009C7517" w:rsidRDefault="009C7517">
      <w:r w:rsidRPr="009C7517">
        <w:t>Ahsan et al. (2023), Varadarajan et al. (2023), Wheelahan and Moodie (2021), Reed et al. (2024), and Ha et al. (2024) are valuable for definitions, legitimacy, critique, design principles, and stakeholder framing, but they do not give you a strong reusable item bank.</w:t>
      </w:r>
    </w:p>
    <w:p w14:paraId="7F8CA338" w14:textId="515EA4FC"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Recommended Borrowing Strategy</w:t>
      </w:r>
    </w:p>
    <w:p w14:paraId="3D1CF0B1" w14:textId="38CACF49" w:rsidR="009C7517" w:rsidRDefault="009C7517">
      <w:r w:rsidRPr="009C7517">
        <w:t>Use Ha et al. (2025) to shape micro-credential-specific value and interest wording. Use Ledden et al. (2011) and Iskandar et al. (2024) to build the perceived value scale. Use Ohanian (1990) to shape trust wording. Use Zou et al. (2024) to justify why employability-related value matters, not as your main item source.</w:t>
      </w:r>
    </w:p>
    <w:p w14:paraId="68589681" w14:textId="2992D192" w:rsidR="009C7517" w:rsidRDefault="009C7517">
      <w:pPr>
        <w:rPr>
          <w:rFonts w:asciiTheme="majorHAnsi" w:eastAsiaTheme="majorEastAsia" w:hAnsiTheme="majorHAnsi" w:cstheme="majorBidi"/>
          <w:b/>
          <w:color w:val="0F4761" w:themeColor="accent1" w:themeShade="BF"/>
          <w:sz w:val="40"/>
          <w:szCs w:val="40"/>
        </w:rPr>
      </w:pPr>
      <w:r w:rsidRPr="009C7517">
        <w:rPr>
          <w:rFonts w:asciiTheme="majorHAnsi" w:eastAsiaTheme="majorEastAsia" w:hAnsiTheme="majorHAnsi" w:cstheme="majorBidi"/>
          <w:b/>
          <w:color w:val="0F4761" w:themeColor="accent1" w:themeShade="BF"/>
          <w:sz w:val="40"/>
          <w:szCs w:val="40"/>
        </w:rPr>
        <w:t>Bottom Line</w:t>
      </w:r>
    </w:p>
    <w:p w14:paraId="222DAEB3" w14:textId="4D93D9CD" w:rsidR="009C7517" w:rsidRDefault="009C7517">
      <w:r w:rsidRPr="009C7517">
        <w:t>If you want the cleanest comparison, focus first on Ha et al. (2025), Ledden et al. (2011), Iskandar et al. (2024), and Ohanian (1990). Those are the papers that can most realistically help you build your own adapted questionnaire.</w:t>
      </w:r>
    </w:p>
    <w:p w14:paraId="67C98668" w14:textId="77777777" w:rsidR="009C7517" w:rsidRPr="009C7517" w:rsidRDefault="009C7517"/>
    <w:sectPr w:rsidR="009C7517" w:rsidRPr="009C7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17"/>
    <w:rsid w:val="002C521E"/>
    <w:rsid w:val="004F2CCD"/>
    <w:rsid w:val="009C7517"/>
    <w:rsid w:val="00AD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3038"/>
  <w15:chartTrackingRefBased/>
  <w15:docId w15:val="{DB5CECD4-23FC-4B5F-B4A9-9DFA6F18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17"/>
    <w:rPr>
      <w:rFonts w:eastAsiaTheme="majorEastAsia" w:cstheme="majorBidi"/>
      <w:color w:val="272727" w:themeColor="text1" w:themeTint="D8"/>
    </w:rPr>
  </w:style>
  <w:style w:type="paragraph" w:styleId="Title">
    <w:name w:val="Title"/>
    <w:basedOn w:val="Normal"/>
    <w:next w:val="Normal"/>
    <w:link w:val="TitleChar"/>
    <w:uiPriority w:val="10"/>
    <w:qFormat/>
    <w:rsid w:val="009C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17"/>
    <w:pPr>
      <w:spacing w:before="160"/>
      <w:jc w:val="center"/>
    </w:pPr>
    <w:rPr>
      <w:i/>
      <w:iCs/>
      <w:color w:val="404040" w:themeColor="text1" w:themeTint="BF"/>
    </w:rPr>
  </w:style>
  <w:style w:type="character" w:customStyle="1" w:styleId="QuoteChar">
    <w:name w:val="Quote Char"/>
    <w:basedOn w:val="DefaultParagraphFont"/>
    <w:link w:val="Quote"/>
    <w:uiPriority w:val="29"/>
    <w:rsid w:val="009C7517"/>
    <w:rPr>
      <w:i/>
      <w:iCs/>
      <w:color w:val="404040" w:themeColor="text1" w:themeTint="BF"/>
    </w:rPr>
  </w:style>
  <w:style w:type="paragraph" w:styleId="ListParagraph">
    <w:name w:val="List Paragraph"/>
    <w:basedOn w:val="Normal"/>
    <w:uiPriority w:val="34"/>
    <w:qFormat/>
    <w:rsid w:val="009C7517"/>
    <w:pPr>
      <w:ind w:left="720"/>
      <w:contextualSpacing/>
    </w:pPr>
  </w:style>
  <w:style w:type="character" w:styleId="IntenseEmphasis">
    <w:name w:val="Intense Emphasis"/>
    <w:basedOn w:val="DefaultParagraphFont"/>
    <w:uiPriority w:val="21"/>
    <w:qFormat/>
    <w:rsid w:val="009C7517"/>
    <w:rPr>
      <w:i/>
      <w:iCs/>
      <w:color w:val="0F4761" w:themeColor="accent1" w:themeShade="BF"/>
    </w:rPr>
  </w:style>
  <w:style w:type="paragraph" w:styleId="IntenseQuote">
    <w:name w:val="Intense Quote"/>
    <w:basedOn w:val="Normal"/>
    <w:next w:val="Normal"/>
    <w:link w:val="IntenseQuoteChar"/>
    <w:uiPriority w:val="30"/>
    <w:qFormat/>
    <w:rsid w:val="009C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517"/>
    <w:rPr>
      <w:i/>
      <w:iCs/>
      <w:color w:val="0F4761" w:themeColor="accent1" w:themeShade="BF"/>
    </w:rPr>
  </w:style>
  <w:style w:type="character" w:styleId="IntenseReference">
    <w:name w:val="Intense Reference"/>
    <w:basedOn w:val="DefaultParagraphFont"/>
    <w:uiPriority w:val="32"/>
    <w:qFormat/>
    <w:rsid w:val="009C7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Oo</dc:creator>
  <cp:keywords/>
  <dc:description/>
  <cp:lastModifiedBy>Min Oo</cp:lastModifiedBy>
  <cp:revision>1</cp:revision>
  <dcterms:created xsi:type="dcterms:W3CDTF">2026-03-28T10:52:00Z</dcterms:created>
  <dcterms:modified xsi:type="dcterms:W3CDTF">2026-03-28T10:52:00Z</dcterms:modified>
</cp:coreProperties>
</file>