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32B26" w14:textId="5CDB446B" w:rsidR="00691E6D" w:rsidRDefault="00691E6D">
      <w:pPr>
        <w:rPr>
          <w:b/>
        </w:rPr>
      </w:pPr>
      <w:r w:rsidRPr="00691E6D">
        <w:rPr>
          <w:b/>
        </w:rPr>
        <w:t>Questionnaire Originals Access Pack</w:t>
      </w:r>
    </w:p>
    <w:p w14:paraId="24ABE957" w14:textId="72238392" w:rsidR="00691E6D" w:rsidRDefault="00691E6D">
      <w:pPr>
        <w:rPr>
          <w:rFonts w:asciiTheme="majorHAnsi" w:eastAsiaTheme="majorEastAsia" w:hAnsiTheme="majorHAnsi" w:cstheme="majorBidi"/>
          <w:b/>
          <w:color w:val="0F4761" w:themeColor="accent1" w:themeShade="BF"/>
          <w:sz w:val="40"/>
          <w:szCs w:val="40"/>
        </w:rPr>
      </w:pPr>
      <w:r w:rsidRPr="00691E6D">
        <w:rPr>
          <w:rFonts w:asciiTheme="majorHAnsi" w:eastAsiaTheme="majorEastAsia" w:hAnsiTheme="majorHAnsi" w:cstheme="majorBidi"/>
          <w:b/>
          <w:color w:val="0F4761" w:themeColor="accent1" w:themeShade="BF"/>
          <w:sz w:val="40"/>
          <w:szCs w:val="40"/>
        </w:rPr>
        <w:t>What This File Does</w:t>
      </w:r>
    </w:p>
    <w:p w14:paraId="51EC4CAC" w14:textId="31BE08B5" w:rsidR="00691E6D" w:rsidRDefault="00691E6D">
      <w:r w:rsidRPr="00691E6D">
        <w:t>This file does not reproduce a copied anthology of full questionnaires from journal articles. Several of the papers do not publish the full instrument, and some are copyrighted publisher content. Instead, this pack tells you exactly where the original questionnaire can be accessed when it is publicly available, where only partial item information is visible, and which papers are not usable as questionnaire sources.</w:t>
      </w:r>
    </w:p>
    <w:p w14:paraId="110A1433" w14:textId="4AB5A00D" w:rsidR="00691E6D" w:rsidRDefault="00691E6D">
      <w:pPr>
        <w:rPr>
          <w:rFonts w:asciiTheme="majorHAnsi" w:eastAsiaTheme="majorEastAsia" w:hAnsiTheme="majorHAnsi" w:cstheme="majorBidi"/>
          <w:b/>
          <w:color w:val="0F4761" w:themeColor="accent1" w:themeShade="BF"/>
          <w:sz w:val="40"/>
          <w:szCs w:val="40"/>
        </w:rPr>
      </w:pPr>
      <w:r w:rsidRPr="00691E6D">
        <w:rPr>
          <w:rFonts w:asciiTheme="majorHAnsi" w:eastAsiaTheme="majorEastAsia" w:hAnsiTheme="majorHAnsi" w:cstheme="majorBidi"/>
          <w:b/>
          <w:color w:val="0F4761" w:themeColor="accent1" w:themeShade="BF"/>
          <w:sz w:val="40"/>
          <w:szCs w:val="40"/>
        </w:rPr>
        <w:t>Availability Summary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26"/>
        <w:gridCol w:w="1061"/>
        <w:gridCol w:w="1150"/>
        <w:gridCol w:w="4413"/>
        <w:gridCol w:w="1800"/>
      </w:tblGrid>
      <w:tr w:rsidR="00691E6D" w:rsidRPr="00691E6D" w14:paraId="4EA6EBBF" w14:textId="77777777" w:rsidTr="00691E6D">
        <w:tblPrEx>
          <w:tblCellMar>
            <w:top w:w="0" w:type="dxa"/>
            <w:bottom w:w="0" w:type="dxa"/>
          </w:tblCellMar>
        </w:tblPrEx>
        <w:tc>
          <w:tcPr>
            <w:tcW w:w="0" w:type="auto"/>
          </w:tcPr>
          <w:p w14:paraId="3F059C06" w14:textId="7AD57597" w:rsidR="00691E6D" w:rsidRPr="00691E6D" w:rsidRDefault="00691E6D">
            <w:pPr>
              <w:rPr>
                <w:b/>
                <w:sz w:val="20"/>
              </w:rPr>
            </w:pPr>
            <w:r w:rsidRPr="00691E6D">
              <w:rPr>
                <w:b/>
                <w:sz w:val="20"/>
              </w:rPr>
              <w:t>Source</w:t>
            </w:r>
          </w:p>
        </w:tc>
        <w:tc>
          <w:tcPr>
            <w:tcW w:w="0" w:type="auto"/>
          </w:tcPr>
          <w:p w14:paraId="553F6AD2" w14:textId="6A0D0BF4" w:rsidR="00691E6D" w:rsidRPr="00691E6D" w:rsidRDefault="00691E6D">
            <w:pPr>
              <w:rPr>
                <w:b/>
                <w:sz w:val="20"/>
              </w:rPr>
            </w:pPr>
            <w:r w:rsidRPr="00691E6D">
              <w:rPr>
                <w:b/>
                <w:sz w:val="20"/>
              </w:rPr>
              <w:t>Full Questionnaire Publicly Available?</w:t>
            </w:r>
          </w:p>
        </w:tc>
        <w:tc>
          <w:tcPr>
            <w:tcW w:w="0" w:type="auto"/>
          </w:tcPr>
          <w:p w14:paraId="7CF1CF8E" w14:textId="11907146" w:rsidR="00691E6D" w:rsidRPr="00691E6D" w:rsidRDefault="00691E6D">
            <w:pPr>
              <w:rPr>
                <w:b/>
                <w:sz w:val="20"/>
              </w:rPr>
            </w:pPr>
            <w:r w:rsidRPr="00691E6D">
              <w:rPr>
                <w:b/>
                <w:sz w:val="20"/>
              </w:rPr>
              <w:t>What Is Visible</w:t>
            </w:r>
          </w:p>
        </w:tc>
        <w:tc>
          <w:tcPr>
            <w:tcW w:w="0" w:type="auto"/>
          </w:tcPr>
          <w:p w14:paraId="63B46F8C" w14:textId="6D5657E7" w:rsidR="00691E6D" w:rsidRPr="00691E6D" w:rsidRDefault="00691E6D">
            <w:pPr>
              <w:rPr>
                <w:b/>
                <w:sz w:val="20"/>
              </w:rPr>
            </w:pPr>
            <w:r w:rsidRPr="00691E6D">
              <w:rPr>
                <w:b/>
                <w:sz w:val="20"/>
              </w:rPr>
              <w:t>Where To Get It</w:t>
            </w:r>
          </w:p>
        </w:tc>
        <w:tc>
          <w:tcPr>
            <w:tcW w:w="0" w:type="auto"/>
          </w:tcPr>
          <w:p w14:paraId="1C283C88" w14:textId="24773214" w:rsidR="00691E6D" w:rsidRPr="00691E6D" w:rsidRDefault="00691E6D">
            <w:pPr>
              <w:rPr>
                <w:b/>
                <w:sz w:val="20"/>
              </w:rPr>
            </w:pPr>
            <w:r w:rsidRPr="00691E6D">
              <w:rPr>
                <w:b/>
                <w:sz w:val="20"/>
              </w:rPr>
              <w:t>Use For Thesis</w:t>
            </w:r>
          </w:p>
        </w:tc>
      </w:tr>
      <w:tr w:rsidR="00691E6D" w:rsidRPr="00691E6D" w14:paraId="09E07F29" w14:textId="77777777" w:rsidTr="00691E6D">
        <w:tblPrEx>
          <w:tblCellMar>
            <w:top w:w="0" w:type="dxa"/>
            <w:bottom w:w="0" w:type="dxa"/>
          </w:tblCellMar>
        </w:tblPrEx>
        <w:tc>
          <w:tcPr>
            <w:tcW w:w="0" w:type="auto"/>
          </w:tcPr>
          <w:p w14:paraId="74AEDD05" w14:textId="0BC8F82B" w:rsidR="00691E6D" w:rsidRPr="00691E6D" w:rsidRDefault="00691E6D">
            <w:pPr>
              <w:rPr>
                <w:b/>
                <w:sz w:val="20"/>
              </w:rPr>
            </w:pPr>
            <w:r w:rsidRPr="00691E6D">
              <w:rPr>
                <w:b/>
                <w:sz w:val="20"/>
              </w:rPr>
              <w:t>Ha, Van Dyke, and Spittle (2025)</w:t>
            </w:r>
          </w:p>
        </w:tc>
        <w:tc>
          <w:tcPr>
            <w:tcW w:w="0" w:type="auto"/>
          </w:tcPr>
          <w:p w14:paraId="7361F276" w14:textId="37E5475D" w:rsidR="00691E6D" w:rsidRPr="00691E6D" w:rsidRDefault="00691E6D">
            <w:pPr>
              <w:rPr>
                <w:b/>
                <w:sz w:val="20"/>
              </w:rPr>
            </w:pPr>
            <w:r w:rsidRPr="00691E6D">
              <w:rPr>
                <w:b/>
                <w:sz w:val="20"/>
              </w:rPr>
              <w:t>Likely yes, via supplemental appendix</w:t>
            </w:r>
          </w:p>
        </w:tc>
        <w:tc>
          <w:tcPr>
            <w:tcW w:w="0" w:type="auto"/>
          </w:tcPr>
          <w:p w14:paraId="0F9F9D92" w14:textId="71EF8809" w:rsidR="00691E6D" w:rsidRPr="00691E6D" w:rsidRDefault="00691E6D">
            <w:pPr>
              <w:rPr>
                <w:b/>
                <w:sz w:val="20"/>
              </w:rPr>
            </w:pPr>
            <w:r w:rsidRPr="00691E6D">
              <w:rPr>
                <w:b/>
                <w:sz w:val="20"/>
              </w:rPr>
              <w:t>Publisher page states there is a downloadable Supplemental Appendix and describes the survey sections, response scales, and benefit/interest question areas.</w:t>
            </w:r>
          </w:p>
        </w:tc>
        <w:tc>
          <w:tcPr>
            <w:tcW w:w="0" w:type="auto"/>
          </w:tcPr>
          <w:p w14:paraId="796C9186" w14:textId="0D42A587" w:rsidR="00691E6D" w:rsidRPr="00691E6D" w:rsidRDefault="00691E6D">
            <w:pPr>
              <w:rPr>
                <w:b/>
                <w:sz w:val="20"/>
              </w:rPr>
            </w:pPr>
            <w:r w:rsidRPr="00691E6D">
              <w:rPr>
                <w:b/>
                <w:sz w:val="20"/>
              </w:rPr>
              <w:t>Article page: https://www.tandfonline.com/doi/full/10.1080/03075079.2025.2516709  Then open the Supplemental Appendix download on that page.</w:t>
            </w:r>
          </w:p>
        </w:tc>
        <w:tc>
          <w:tcPr>
            <w:tcW w:w="0" w:type="auto"/>
          </w:tcPr>
          <w:p w14:paraId="5517B751" w14:textId="50D4E104" w:rsidR="00691E6D" w:rsidRPr="00691E6D" w:rsidRDefault="00691E6D">
            <w:pPr>
              <w:rPr>
                <w:b/>
                <w:sz w:val="20"/>
              </w:rPr>
            </w:pPr>
            <w:r w:rsidRPr="00691E6D">
              <w:rPr>
                <w:b/>
                <w:sz w:val="20"/>
              </w:rPr>
              <w:t>Best original source to inspect first.</w:t>
            </w:r>
          </w:p>
        </w:tc>
      </w:tr>
      <w:tr w:rsidR="00691E6D" w:rsidRPr="00691E6D" w14:paraId="6B3F153E" w14:textId="77777777" w:rsidTr="00691E6D">
        <w:tblPrEx>
          <w:tblCellMar>
            <w:top w:w="0" w:type="dxa"/>
            <w:bottom w:w="0" w:type="dxa"/>
          </w:tblCellMar>
        </w:tblPrEx>
        <w:tc>
          <w:tcPr>
            <w:tcW w:w="0" w:type="auto"/>
          </w:tcPr>
          <w:p w14:paraId="047B0E7B" w14:textId="11C94068" w:rsidR="00691E6D" w:rsidRPr="00691E6D" w:rsidRDefault="00691E6D">
            <w:pPr>
              <w:rPr>
                <w:b/>
                <w:sz w:val="20"/>
              </w:rPr>
            </w:pPr>
            <w:r w:rsidRPr="00691E6D">
              <w:rPr>
                <w:b/>
                <w:sz w:val="20"/>
              </w:rPr>
              <w:t>Iskandar, Wirawan, and Salam (2024)</w:t>
            </w:r>
          </w:p>
        </w:tc>
        <w:tc>
          <w:tcPr>
            <w:tcW w:w="0" w:type="auto"/>
          </w:tcPr>
          <w:p w14:paraId="7FE73C34" w14:textId="70B8831C" w:rsidR="00691E6D" w:rsidRPr="00691E6D" w:rsidRDefault="00691E6D">
            <w:pPr>
              <w:rPr>
                <w:b/>
                <w:sz w:val="20"/>
              </w:rPr>
            </w:pPr>
            <w:r w:rsidRPr="00691E6D">
              <w:rPr>
                <w:b/>
                <w:sz w:val="20"/>
              </w:rPr>
              <w:t>No full questionnaire visible from accessible text</w:t>
            </w:r>
          </w:p>
        </w:tc>
        <w:tc>
          <w:tcPr>
            <w:tcW w:w="0" w:type="auto"/>
          </w:tcPr>
          <w:p w14:paraId="64FD8795" w14:textId="718AC540" w:rsidR="00691E6D" w:rsidRPr="00691E6D" w:rsidRDefault="00691E6D">
            <w:pPr>
              <w:rPr>
                <w:b/>
                <w:sz w:val="20"/>
              </w:rPr>
            </w:pPr>
            <w:r w:rsidRPr="00691E6D">
              <w:rPr>
                <w:b/>
                <w:sz w:val="20"/>
              </w:rPr>
              <w:t>The accessible article text identifies the underlying scales, scale lengths, scale formats, and one sample item for the perceived value scale, but not the full item list.</w:t>
            </w:r>
          </w:p>
        </w:tc>
        <w:tc>
          <w:tcPr>
            <w:tcW w:w="0" w:type="auto"/>
          </w:tcPr>
          <w:p w14:paraId="6D474029" w14:textId="73BE20A8" w:rsidR="00691E6D" w:rsidRPr="00691E6D" w:rsidRDefault="00691E6D">
            <w:pPr>
              <w:rPr>
                <w:b/>
                <w:sz w:val="20"/>
              </w:rPr>
            </w:pPr>
            <w:r w:rsidRPr="00691E6D">
              <w:rPr>
                <w:b/>
                <w:sz w:val="20"/>
              </w:rPr>
              <w:t>Article page: https://www.tandfonline.com/doi/full/10.1080/23311975.2024.2313789</w:t>
            </w:r>
          </w:p>
        </w:tc>
        <w:tc>
          <w:tcPr>
            <w:tcW w:w="0" w:type="auto"/>
          </w:tcPr>
          <w:p w14:paraId="61754759" w14:textId="5FF7C956" w:rsidR="00691E6D" w:rsidRPr="00691E6D" w:rsidRDefault="00691E6D">
            <w:pPr>
              <w:rPr>
                <w:b/>
                <w:sz w:val="20"/>
              </w:rPr>
            </w:pPr>
            <w:r w:rsidRPr="00691E6D">
              <w:rPr>
                <w:b/>
                <w:sz w:val="20"/>
              </w:rPr>
              <w:t>Useful for method and scale structure, not for full item extraction.</w:t>
            </w:r>
          </w:p>
        </w:tc>
      </w:tr>
      <w:tr w:rsidR="00691E6D" w:rsidRPr="00691E6D" w14:paraId="3FAC843C" w14:textId="77777777" w:rsidTr="00691E6D">
        <w:tblPrEx>
          <w:tblCellMar>
            <w:top w:w="0" w:type="dxa"/>
            <w:bottom w:w="0" w:type="dxa"/>
          </w:tblCellMar>
        </w:tblPrEx>
        <w:tc>
          <w:tcPr>
            <w:tcW w:w="0" w:type="auto"/>
          </w:tcPr>
          <w:p w14:paraId="6E1EEBA6" w14:textId="3FF3CF45" w:rsidR="00691E6D" w:rsidRPr="00691E6D" w:rsidRDefault="00691E6D">
            <w:pPr>
              <w:rPr>
                <w:b/>
                <w:sz w:val="20"/>
              </w:rPr>
            </w:pPr>
            <w:r w:rsidRPr="00691E6D">
              <w:rPr>
                <w:b/>
                <w:sz w:val="20"/>
              </w:rPr>
              <w:t>Zou et al. (2024)</w:t>
            </w:r>
          </w:p>
        </w:tc>
        <w:tc>
          <w:tcPr>
            <w:tcW w:w="0" w:type="auto"/>
          </w:tcPr>
          <w:p w14:paraId="33433086" w14:textId="07635A8B" w:rsidR="00691E6D" w:rsidRPr="00691E6D" w:rsidRDefault="00691E6D">
            <w:pPr>
              <w:rPr>
                <w:b/>
                <w:sz w:val="20"/>
              </w:rPr>
            </w:pPr>
            <w:r w:rsidRPr="00691E6D">
              <w:rPr>
                <w:b/>
                <w:sz w:val="20"/>
              </w:rPr>
              <w:t>No full questionnaire found in accessible sources</w:t>
            </w:r>
          </w:p>
        </w:tc>
        <w:tc>
          <w:tcPr>
            <w:tcW w:w="0" w:type="auto"/>
          </w:tcPr>
          <w:p w14:paraId="33A949D7" w14:textId="09953D1F" w:rsidR="00691E6D" w:rsidRPr="00691E6D" w:rsidRDefault="00691E6D">
            <w:pPr>
              <w:rPr>
                <w:b/>
                <w:sz w:val="20"/>
              </w:rPr>
            </w:pPr>
            <w:r w:rsidRPr="00691E6D">
              <w:rPr>
                <w:b/>
                <w:sz w:val="20"/>
              </w:rPr>
              <w:t>The model and constructs are visible, but item-level wording was not exposed in the accessible sources checked.</w:t>
            </w:r>
          </w:p>
        </w:tc>
        <w:tc>
          <w:tcPr>
            <w:tcW w:w="0" w:type="auto"/>
          </w:tcPr>
          <w:p w14:paraId="008289B0" w14:textId="3D5691B3" w:rsidR="00691E6D" w:rsidRPr="00691E6D" w:rsidRDefault="00691E6D">
            <w:pPr>
              <w:rPr>
                <w:b/>
                <w:sz w:val="20"/>
              </w:rPr>
            </w:pPr>
            <w:r w:rsidRPr="00691E6D">
              <w:rPr>
                <w:b/>
                <w:sz w:val="20"/>
              </w:rPr>
              <w:t>DOI page: https://doi.org/10.1108/IJEM-01-2023-0002</w:t>
            </w:r>
          </w:p>
        </w:tc>
        <w:tc>
          <w:tcPr>
            <w:tcW w:w="0" w:type="auto"/>
          </w:tcPr>
          <w:p w14:paraId="2AE8CA7A" w14:textId="3D2045C9" w:rsidR="00691E6D" w:rsidRPr="00691E6D" w:rsidRDefault="00691E6D">
            <w:pPr>
              <w:rPr>
                <w:b/>
                <w:sz w:val="20"/>
              </w:rPr>
            </w:pPr>
            <w:r w:rsidRPr="00691E6D">
              <w:rPr>
                <w:b/>
                <w:sz w:val="20"/>
              </w:rPr>
              <w:t>Use for model justification only unless you get full text elsewhere.</w:t>
            </w:r>
          </w:p>
        </w:tc>
      </w:tr>
      <w:tr w:rsidR="00691E6D" w:rsidRPr="00691E6D" w14:paraId="4C108A4D" w14:textId="77777777" w:rsidTr="00691E6D">
        <w:tblPrEx>
          <w:tblCellMar>
            <w:top w:w="0" w:type="dxa"/>
            <w:bottom w:w="0" w:type="dxa"/>
          </w:tblCellMar>
        </w:tblPrEx>
        <w:tc>
          <w:tcPr>
            <w:tcW w:w="0" w:type="auto"/>
          </w:tcPr>
          <w:p w14:paraId="5859D5F0" w14:textId="1A220DFB" w:rsidR="00691E6D" w:rsidRPr="00691E6D" w:rsidRDefault="00691E6D">
            <w:pPr>
              <w:rPr>
                <w:b/>
                <w:sz w:val="20"/>
              </w:rPr>
            </w:pPr>
            <w:r w:rsidRPr="00691E6D">
              <w:rPr>
                <w:b/>
                <w:sz w:val="20"/>
              </w:rPr>
              <w:t>Ohanian (1990)</w:t>
            </w:r>
          </w:p>
        </w:tc>
        <w:tc>
          <w:tcPr>
            <w:tcW w:w="0" w:type="auto"/>
          </w:tcPr>
          <w:p w14:paraId="09713C25" w14:textId="277F277C" w:rsidR="00691E6D" w:rsidRPr="00691E6D" w:rsidRDefault="00691E6D">
            <w:pPr>
              <w:rPr>
                <w:b/>
                <w:sz w:val="20"/>
              </w:rPr>
            </w:pPr>
            <w:r w:rsidRPr="00691E6D">
              <w:rPr>
                <w:b/>
                <w:sz w:val="20"/>
              </w:rPr>
              <w:t>Yes, in original article</w:t>
            </w:r>
          </w:p>
        </w:tc>
        <w:tc>
          <w:tcPr>
            <w:tcW w:w="0" w:type="auto"/>
          </w:tcPr>
          <w:p w14:paraId="581D16C1" w14:textId="541A7698" w:rsidR="00691E6D" w:rsidRPr="00691E6D" w:rsidRDefault="00691E6D">
            <w:pPr>
              <w:rPr>
                <w:b/>
                <w:sz w:val="20"/>
              </w:rPr>
            </w:pPr>
            <w:r w:rsidRPr="00691E6D">
              <w:rPr>
                <w:b/>
                <w:sz w:val="20"/>
              </w:rPr>
              <w:t>The original article contains the source credibility scale.</w:t>
            </w:r>
          </w:p>
        </w:tc>
        <w:tc>
          <w:tcPr>
            <w:tcW w:w="0" w:type="auto"/>
          </w:tcPr>
          <w:p w14:paraId="6EFED69B" w14:textId="1644880D" w:rsidR="00691E6D" w:rsidRPr="00691E6D" w:rsidRDefault="00691E6D">
            <w:pPr>
              <w:rPr>
                <w:b/>
                <w:sz w:val="20"/>
              </w:rPr>
            </w:pPr>
            <w:r w:rsidRPr="00691E6D">
              <w:rPr>
                <w:b/>
                <w:sz w:val="20"/>
              </w:rPr>
              <w:t>DOI page: https://doi.org/10.1080/00913367.1990.10673191</w:t>
            </w:r>
          </w:p>
        </w:tc>
        <w:tc>
          <w:tcPr>
            <w:tcW w:w="0" w:type="auto"/>
          </w:tcPr>
          <w:p w14:paraId="417BF91C" w14:textId="5E24249A" w:rsidR="00691E6D" w:rsidRPr="00691E6D" w:rsidRDefault="00691E6D">
            <w:pPr>
              <w:rPr>
                <w:b/>
                <w:sz w:val="20"/>
              </w:rPr>
            </w:pPr>
            <w:r w:rsidRPr="00691E6D">
              <w:rPr>
                <w:b/>
                <w:sz w:val="20"/>
              </w:rPr>
              <w:t>Useful for trustworthiness/credibility logic.</w:t>
            </w:r>
          </w:p>
        </w:tc>
      </w:tr>
      <w:tr w:rsidR="00691E6D" w:rsidRPr="00691E6D" w14:paraId="0ADE24D8" w14:textId="77777777" w:rsidTr="00691E6D">
        <w:tblPrEx>
          <w:tblCellMar>
            <w:top w:w="0" w:type="dxa"/>
            <w:bottom w:w="0" w:type="dxa"/>
          </w:tblCellMar>
        </w:tblPrEx>
        <w:tc>
          <w:tcPr>
            <w:tcW w:w="0" w:type="auto"/>
          </w:tcPr>
          <w:p w14:paraId="319691BA" w14:textId="2B9D0588" w:rsidR="00691E6D" w:rsidRPr="00691E6D" w:rsidRDefault="00691E6D">
            <w:pPr>
              <w:rPr>
                <w:b/>
                <w:sz w:val="20"/>
              </w:rPr>
            </w:pPr>
            <w:r w:rsidRPr="00691E6D">
              <w:rPr>
                <w:b/>
                <w:sz w:val="20"/>
              </w:rPr>
              <w:t>Ledden, Kalafatis, and Samouel (2011 / related value scale lineage)</w:t>
            </w:r>
          </w:p>
        </w:tc>
        <w:tc>
          <w:tcPr>
            <w:tcW w:w="0" w:type="auto"/>
          </w:tcPr>
          <w:p w14:paraId="786159AB" w14:textId="41EA073A" w:rsidR="00691E6D" w:rsidRPr="00691E6D" w:rsidRDefault="00691E6D">
            <w:pPr>
              <w:rPr>
                <w:b/>
                <w:sz w:val="20"/>
              </w:rPr>
            </w:pPr>
            <w:r w:rsidRPr="00691E6D">
              <w:rPr>
                <w:b/>
                <w:sz w:val="20"/>
              </w:rPr>
              <w:t>Partially accessible through open adaptation source, not cleanly exposed from the original paid source</w:t>
            </w:r>
          </w:p>
        </w:tc>
        <w:tc>
          <w:tcPr>
            <w:tcW w:w="0" w:type="auto"/>
          </w:tcPr>
          <w:p w14:paraId="49B9F1CD" w14:textId="4A240739" w:rsidR="00691E6D" w:rsidRPr="00691E6D" w:rsidRDefault="00691E6D">
            <w:pPr>
              <w:rPr>
                <w:b/>
                <w:sz w:val="20"/>
              </w:rPr>
            </w:pPr>
            <w:r w:rsidRPr="00691E6D">
              <w:rPr>
                <w:b/>
                <w:sz w:val="20"/>
              </w:rPr>
              <w:t>An open-access adaptation paper reproduces the English item set used for a higher-education perceived value instrument.</w:t>
            </w:r>
          </w:p>
        </w:tc>
        <w:tc>
          <w:tcPr>
            <w:tcW w:w="0" w:type="auto"/>
          </w:tcPr>
          <w:p w14:paraId="7D7E28E6" w14:textId="6335F6AA" w:rsidR="00691E6D" w:rsidRPr="00691E6D" w:rsidRDefault="00691E6D">
            <w:pPr>
              <w:rPr>
                <w:b/>
                <w:sz w:val="20"/>
              </w:rPr>
            </w:pPr>
            <w:r w:rsidRPr="00691E6D">
              <w:rPr>
                <w:b/>
                <w:sz w:val="20"/>
              </w:rPr>
              <w:t>Open adaptation source used earlier: https://pmc.ncbi.nlm.nih.gov/articles/PMC10089309/</w:t>
            </w:r>
          </w:p>
        </w:tc>
        <w:tc>
          <w:tcPr>
            <w:tcW w:w="0" w:type="auto"/>
          </w:tcPr>
          <w:p w14:paraId="6BF4012E" w14:textId="2844B33F" w:rsidR="00691E6D" w:rsidRPr="00691E6D" w:rsidRDefault="00691E6D">
            <w:pPr>
              <w:rPr>
                <w:b/>
                <w:sz w:val="20"/>
              </w:rPr>
            </w:pPr>
            <w:r w:rsidRPr="00691E6D">
              <w:rPr>
                <w:b/>
                <w:sz w:val="20"/>
              </w:rPr>
              <w:t>Useful for building your value scale, but treat the original citation carefully.</w:t>
            </w:r>
          </w:p>
        </w:tc>
      </w:tr>
      <w:tr w:rsidR="00691E6D" w:rsidRPr="00691E6D" w14:paraId="449A9F13" w14:textId="77777777" w:rsidTr="00691E6D">
        <w:tblPrEx>
          <w:tblCellMar>
            <w:top w:w="0" w:type="dxa"/>
            <w:bottom w:w="0" w:type="dxa"/>
          </w:tblCellMar>
        </w:tblPrEx>
        <w:tc>
          <w:tcPr>
            <w:tcW w:w="0" w:type="auto"/>
          </w:tcPr>
          <w:p w14:paraId="073831F0" w14:textId="6E9D4968" w:rsidR="00691E6D" w:rsidRPr="00691E6D" w:rsidRDefault="00691E6D">
            <w:pPr>
              <w:rPr>
                <w:b/>
                <w:sz w:val="20"/>
              </w:rPr>
            </w:pPr>
            <w:r w:rsidRPr="00691E6D">
              <w:rPr>
                <w:b/>
                <w:sz w:val="20"/>
              </w:rPr>
              <w:t>Ahsan et al. (2023), Varadarajan et al. (2023), Wheelahan and Moodie (2021), Reed et al. (2024), Ha et al. (2024)</w:t>
            </w:r>
          </w:p>
        </w:tc>
        <w:tc>
          <w:tcPr>
            <w:tcW w:w="0" w:type="auto"/>
          </w:tcPr>
          <w:p w14:paraId="11E071E6" w14:textId="23160C99" w:rsidR="00691E6D" w:rsidRPr="00691E6D" w:rsidRDefault="00691E6D">
            <w:pPr>
              <w:rPr>
                <w:b/>
                <w:sz w:val="20"/>
              </w:rPr>
            </w:pPr>
            <w:r w:rsidRPr="00691E6D">
              <w:rPr>
                <w:b/>
                <w:sz w:val="20"/>
              </w:rPr>
              <w:t>No</w:t>
            </w:r>
          </w:p>
        </w:tc>
        <w:tc>
          <w:tcPr>
            <w:tcW w:w="0" w:type="auto"/>
          </w:tcPr>
          <w:p w14:paraId="6A7E3063" w14:textId="1FEE2020" w:rsidR="00691E6D" w:rsidRPr="00691E6D" w:rsidRDefault="00691E6D">
            <w:pPr>
              <w:rPr>
                <w:b/>
                <w:sz w:val="20"/>
              </w:rPr>
            </w:pPr>
            <w:r w:rsidRPr="00691E6D">
              <w:rPr>
                <w:b/>
                <w:sz w:val="20"/>
              </w:rPr>
              <w:t>These are review, conceptual, design, or qualitative sources rather than reusable questionnaire papers.</w:t>
            </w:r>
          </w:p>
        </w:tc>
        <w:tc>
          <w:tcPr>
            <w:tcW w:w="0" w:type="auto"/>
          </w:tcPr>
          <w:p w14:paraId="061329C6" w14:textId="0D533D9A" w:rsidR="00691E6D" w:rsidRPr="00691E6D" w:rsidRDefault="00691E6D">
            <w:pPr>
              <w:rPr>
                <w:b/>
                <w:sz w:val="20"/>
              </w:rPr>
            </w:pPr>
            <w:r w:rsidRPr="00691E6D">
              <w:rPr>
                <w:b/>
                <w:sz w:val="20"/>
              </w:rPr>
              <w:t>Use article PDFs only for theory/context, not for questionnaire borrowing.</w:t>
            </w:r>
          </w:p>
        </w:tc>
        <w:tc>
          <w:tcPr>
            <w:tcW w:w="0" w:type="auto"/>
          </w:tcPr>
          <w:p w14:paraId="2836424F" w14:textId="4D6EE57B" w:rsidR="00691E6D" w:rsidRPr="00691E6D" w:rsidRDefault="00691E6D">
            <w:pPr>
              <w:rPr>
                <w:b/>
                <w:sz w:val="20"/>
              </w:rPr>
            </w:pPr>
            <w:r w:rsidRPr="00691E6D">
              <w:rPr>
                <w:b/>
                <w:sz w:val="20"/>
              </w:rPr>
              <w:t>Do not rely on these for item extraction.</w:t>
            </w:r>
          </w:p>
        </w:tc>
      </w:tr>
    </w:tbl>
    <w:p w14:paraId="2EEA8071" w14:textId="77777777" w:rsidR="00691E6D" w:rsidRDefault="00691E6D">
      <w:pPr>
        <w:rPr>
          <w:b/>
        </w:rPr>
      </w:pPr>
    </w:p>
    <w:p w14:paraId="16673700" w14:textId="10B5B0A7" w:rsidR="00691E6D" w:rsidRDefault="00691E6D">
      <w:pPr>
        <w:rPr>
          <w:rFonts w:asciiTheme="majorHAnsi" w:eastAsiaTheme="majorEastAsia" w:hAnsiTheme="majorHAnsi" w:cstheme="majorBidi"/>
          <w:b/>
          <w:color w:val="0F4761" w:themeColor="accent1" w:themeShade="BF"/>
          <w:sz w:val="40"/>
          <w:szCs w:val="40"/>
        </w:rPr>
      </w:pPr>
      <w:r w:rsidRPr="00691E6D">
        <w:rPr>
          <w:rFonts w:asciiTheme="majorHAnsi" w:eastAsiaTheme="majorEastAsia" w:hAnsiTheme="majorHAnsi" w:cstheme="majorBidi"/>
          <w:b/>
          <w:color w:val="0F4761" w:themeColor="accent1" w:themeShade="BF"/>
          <w:sz w:val="40"/>
          <w:szCs w:val="40"/>
        </w:rPr>
        <w:t>Source Notes</w:t>
      </w:r>
    </w:p>
    <w:p w14:paraId="1A533C01" w14:textId="0631A83E" w:rsidR="00691E6D" w:rsidRDefault="00691E6D">
      <w:pPr>
        <w:rPr>
          <w:rFonts w:asciiTheme="majorHAnsi" w:eastAsiaTheme="majorEastAsia" w:hAnsiTheme="majorHAnsi" w:cstheme="majorBidi"/>
          <w:b/>
          <w:color w:val="0F4761" w:themeColor="accent1" w:themeShade="BF"/>
          <w:sz w:val="32"/>
          <w:szCs w:val="32"/>
        </w:rPr>
      </w:pPr>
      <w:r w:rsidRPr="00691E6D">
        <w:rPr>
          <w:rFonts w:asciiTheme="majorHAnsi" w:eastAsiaTheme="majorEastAsia" w:hAnsiTheme="majorHAnsi" w:cstheme="majorBidi"/>
          <w:b/>
          <w:color w:val="0F4761" w:themeColor="accent1" w:themeShade="BF"/>
          <w:sz w:val="32"/>
          <w:szCs w:val="32"/>
        </w:rPr>
        <w:t>Ha, Van Dyke, and Spittle (2025)</w:t>
      </w:r>
    </w:p>
    <w:p w14:paraId="237AEAE2" w14:textId="1821A08C" w:rsidR="00691E6D" w:rsidRDefault="00691E6D">
      <w:r w:rsidRPr="00691E6D">
        <w:t>The publisher page explicitly states that the article includes a Supplemental Appendix available online. The accessible article text also describes the questionnaire structure in detail: demographics, perceived benefits of micro-credentials for graduate employability, and interest levels in potential micro-credential offerings. It also lists the benefit areas and the employability-skill offering areas. This is the strongest route to an original questionnaire from the papers connected to your thesis.</w:t>
      </w:r>
    </w:p>
    <w:p w14:paraId="0524D89C" w14:textId="71969EF4" w:rsidR="00691E6D" w:rsidRDefault="00691E6D">
      <w:pPr>
        <w:rPr>
          <w:rFonts w:asciiTheme="majorHAnsi" w:eastAsiaTheme="majorEastAsia" w:hAnsiTheme="majorHAnsi" w:cstheme="majorBidi"/>
          <w:b/>
          <w:color w:val="0F4761" w:themeColor="accent1" w:themeShade="BF"/>
          <w:sz w:val="32"/>
          <w:szCs w:val="32"/>
        </w:rPr>
      </w:pPr>
      <w:r w:rsidRPr="00691E6D">
        <w:rPr>
          <w:rFonts w:asciiTheme="majorHAnsi" w:eastAsiaTheme="majorEastAsia" w:hAnsiTheme="majorHAnsi" w:cstheme="majorBidi"/>
          <w:b/>
          <w:color w:val="0F4761" w:themeColor="accent1" w:themeShade="BF"/>
          <w:sz w:val="32"/>
          <w:szCs w:val="32"/>
        </w:rPr>
        <w:t>Iskandar, Wirawan, and Salam (2024)</w:t>
      </w:r>
    </w:p>
    <w:p w14:paraId="0459973C" w14:textId="611CD618" w:rsidR="00691E6D" w:rsidRDefault="00691E6D">
      <w:r w:rsidRPr="00691E6D">
        <w:t>The accessible article text reports the scale sources, number of items, dimensions, response format, reliability, and one sample item, but it does not expose the full questionnaire. The perceived value section uses a 19-item customer perceived value scale adapted from Sweeney and Soutar (2001), with four dimensions: quality, emotional value, price value, and social value.</w:t>
      </w:r>
    </w:p>
    <w:p w14:paraId="45FC52F7" w14:textId="7C07A552" w:rsidR="00691E6D" w:rsidRDefault="00691E6D">
      <w:pPr>
        <w:rPr>
          <w:rFonts w:asciiTheme="majorHAnsi" w:eastAsiaTheme="majorEastAsia" w:hAnsiTheme="majorHAnsi" w:cstheme="majorBidi"/>
          <w:b/>
          <w:color w:val="0F4761" w:themeColor="accent1" w:themeShade="BF"/>
          <w:sz w:val="32"/>
          <w:szCs w:val="32"/>
        </w:rPr>
      </w:pPr>
      <w:r w:rsidRPr="00691E6D">
        <w:rPr>
          <w:rFonts w:asciiTheme="majorHAnsi" w:eastAsiaTheme="majorEastAsia" w:hAnsiTheme="majorHAnsi" w:cstheme="majorBidi"/>
          <w:b/>
          <w:color w:val="0F4761" w:themeColor="accent1" w:themeShade="BF"/>
          <w:sz w:val="32"/>
          <w:szCs w:val="32"/>
        </w:rPr>
        <w:t>Zou et al. (2024)</w:t>
      </w:r>
    </w:p>
    <w:p w14:paraId="7E3135F6" w14:textId="40F00E76" w:rsidR="00691E6D" w:rsidRDefault="00691E6D">
      <w:r w:rsidRPr="00691E6D">
        <w:t>The accessible sources confirmed that the study used a closed-ended questionnaire around micro-credential learning, human capital, and perceived employability, but the exact item list was not visible in the sources checked.</w:t>
      </w:r>
    </w:p>
    <w:p w14:paraId="7AD5218E" w14:textId="5D754948" w:rsidR="00691E6D" w:rsidRDefault="00691E6D">
      <w:pPr>
        <w:rPr>
          <w:rFonts w:asciiTheme="majorHAnsi" w:eastAsiaTheme="majorEastAsia" w:hAnsiTheme="majorHAnsi" w:cstheme="majorBidi"/>
          <w:b/>
          <w:color w:val="0F4761" w:themeColor="accent1" w:themeShade="BF"/>
          <w:sz w:val="32"/>
          <w:szCs w:val="32"/>
        </w:rPr>
      </w:pPr>
      <w:r w:rsidRPr="00691E6D">
        <w:rPr>
          <w:rFonts w:asciiTheme="majorHAnsi" w:eastAsiaTheme="majorEastAsia" w:hAnsiTheme="majorHAnsi" w:cstheme="majorBidi"/>
          <w:b/>
          <w:color w:val="0F4761" w:themeColor="accent1" w:themeShade="BF"/>
          <w:sz w:val="32"/>
          <w:szCs w:val="32"/>
        </w:rPr>
        <w:t>Ohanian (1990)</w:t>
      </w:r>
    </w:p>
    <w:p w14:paraId="1B0347B3" w14:textId="67E2558C" w:rsidR="00691E6D" w:rsidRDefault="00691E6D">
      <w:r w:rsidRPr="00691E6D">
        <w:t>The original article is the correct place to inspect the source credibility instrument if you want the original scale rather than later adaptations.</w:t>
      </w:r>
    </w:p>
    <w:p w14:paraId="6D740DCF" w14:textId="1842AC46" w:rsidR="00691E6D" w:rsidRDefault="00691E6D">
      <w:pPr>
        <w:rPr>
          <w:rFonts w:asciiTheme="majorHAnsi" w:eastAsiaTheme="majorEastAsia" w:hAnsiTheme="majorHAnsi" w:cstheme="majorBidi"/>
          <w:b/>
          <w:color w:val="0F4761" w:themeColor="accent1" w:themeShade="BF"/>
          <w:sz w:val="32"/>
          <w:szCs w:val="32"/>
        </w:rPr>
      </w:pPr>
      <w:r w:rsidRPr="00691E6D">
        <w:rPr>
          <w:rFonts w:asciiTheme="majorHAnsi" w:eastAsiaTheme="majorEastAsia" w:hAnsiTheme="majorHAnsi" w:cstheme="majorBidi"/>
          <w:b/>
          <w:color w:val="0F4761" w:themeColor="accent1" w:themeShade="BF"/>
          <w:sz w:val="32"/>
          <w:szCs w:val="32"/>
        </w:rPr>
        <w:t>Ledden Value Scale Lineage</w:t>
      </w:r>
    </w:p>
    <w:p w14:paraId="310DEAC5" w14:textId="219D57BA" w:rsidR="00691E6D" w:rsidRDefault="00691E6D">
      <w:r w:rsidRPr="00691E6D">
        <w:t>The perceived value item set tied to Ledden and related higher-education value work is easier to inspect through the open-access adaptation source than through the original paid-access article. That open source is the practical route if you want to compare item structure.</w:t>
      </w:r>
    </w:p>
    <w:p w14:paraId="6C99E180" w14:textId="666CEBB3" w:rsidR="00691E6D" w:rsidRDefault="00691E6D">
      <w:pPr>
        <w:rPr>
          <w:rFonts w:asciiTheme="majorHAnsi" w:eastAsiaTheme="majorEastAsia" w:hAnsiTheme="majorHAnsi" w:cstheme="majorBidi"/>
          <w:b/>
          <w:color w:val="0F4761" w:themeColor="accent1" w:themeShade="BF"/>
          <w:sz w:val="40"/>
          <w:szCs w:val="40"/>
        </w:rPr>
      </w:pPr>
      <w:r w:rsidRPr="00691E6D">
        <w:rPr>
          <w:rFonts w:asciiTheme="majorHAnsi" w:eastAsiaTheme="majorEastAsia" w:hAnsiTheme="majorHAnsi" w:cstheme="majorBidi"/>
          <w:b/>
          <w:color w:val="0F4761" w:themeColor="accent1" w:themeShade="BF"/>
          <w:sz w:val="40"/>
          <w:szCs w:val="40"/>
        </w:rPr>
        <w:t>Bottom Line</w:t>
      </w:r>
    </w:p>
    <w:p w14:paraId="45E83898" w14:textId="5F7B3022" w:rsidR="00691E6D" w:rsidRDefault="00691E6D">
      <w:r w:rsidRPr="00691E6D">
        <w:t>There is not a single legally clean way to create one copied file containing all full questionnaires from these papers, because several papers do not expose full items and others are publisher-controlled. The best direct original questionnaire lead is Ha et al. (2025) through its Supplemental Appendix. The best open comparison route for perceived value is the PMC adaptation source tied to the Ledden scale logic.</w:t>
      </w:r>
    </w:p>
    <w:p w14:paraId="58DB135D" w14:textId="77777777" w:rsidR="00691E6D" w:rsidRPr="00691E6D" w:rsidRDefault="00691E6D"/>
    <w:sectPr w:rsidR="00691E6D" w:rsidRPr="00691E6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1E6D"/>
    <w:rsid w:val="002C521E"/>
    <w:rsid w:val="00691E6D"/>
    <w:rsid w:val="00AD3337"/>
    <w:rsid w:val="00CD7E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E8DAD"/>
  <w15:chartTrackingRefBased/>
  <w15:docId w15:val="{EF5121F4-6741-4C92-9B1F-225C5D168E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1E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91E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1E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1E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1E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1E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1E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1E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1E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1E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91E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1E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1E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1E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1E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1E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1E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1E6D"/>
    <w:rPr>
      <w:rFonts w:eastAsiaTheme="majorEastAsia" w:cstheme="majorBidi"/>
      <w:color w:val="272727" w:themeColor="text1" w:themeTint="D8"/>
    </w:rPr>
  </w:style>
  <w:style w:type="paragraph" w:styleId="Title">
    <w:name w:val="Title"/>
    <w:basedOn w:val="Normal"/>
    <w:next w:val="Normal"/>
    <w:link w:val="TitleChar"/>
    <w:uiPriority w:val="10"/>
    <w:qFormat/>
    <w:rsid w:val="00691E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1E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1E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1E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1E6D"/>
    <w:pPr>
      <w:spacing w:before="160"/>
      <w:jc w:val="center"/>
    </w:pPr>
    <w:rPr>
      <w:i/>
      <w:iCs/>
      <w:color w:val="404040" w:themeColor="text1" w:themeTint="BF"/>
    </w:rPr>
  </w:style>
  <w:style w:type="character" w:customStyle="1" w:styleId="QuoteChar">
    <w:name w:val="Quote Char"/>
    <w:basedOn w:val="DefaultParagraphFont"/>
    <w:link w:val="Quote"/>
    <w:uiPriority w:val="29"/>
    <w:rsid w:val="00691E6D"/>
    <w:rPr>
      <w:i/>
      <w:iCs/>
      <w:color w:val="404040" w:themeColor="text1" w:themeTint="BF"/>
    </w:rPr>
  </w:style>
  <w:style w:type="paragraph" w:styleId="ListParagraph">
    <w:name w:val="List Paragraph"/>
    <w:basedOn w:val="Normal"/>
    <w:uiPriority w:val="34"/>
    <w:qFormat/>
    <w:rsid w:val="00691E6D"/>
    <w:pPr>
      <w:ind w:left="720"/>
      <w:contextualSpacing/>
    </w:pPr>
  </w:style>
  <w:style w:type="character" w:styleId="IntenseEmphasis">
    <w:name w:val="Intense Emphasis"/>
    <w:basedOn w:val="DefaultParagraphFont"/>
    <w:uiPriority w:val="21"/>
    <w:qFormat/>
    <w:rsid w:val="00691E6D"/>
    <w:rPr>
      <w:i/>
      <w:iCs/>
      <w:color w:val="0F4761" w:themeColor="accent1" w:themeShade="BF"/>
    </w:rPr>
  </w:style>
  <w:style w:type="paragraph" w:styleId="IntenseQuote">
    <w:name w:val="Intense Quote"/>
    <w:basedOn w:val="Normal"/>
    <w:next w:val="Normal"/>
    <w:link w:val="IntenseQuoteChar"/>
    <w:uiPriority w:val="30"/>
    <w:qFormat/>
    <w:rsid w:val="00691E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1E6D"/>
    <w:rPr>
      <w:i/>
      <w:iCs/>
      <w:color w:val="0F4761" w:themeColor="accent1" w:themeShade="BF"/>
    </w:rPr>
  </w:style>
  <w:style w:type="character" w:styleId="IntenseReference">
    <w:name w:val="Intense Reference"/>
    <w:basedOn w:val="DefaultParagraphFont"/>
    <w:uiPriority w:val="32"/>
    <w:qFormat/>
    <w:rsid w:val="00691E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718</Words>
  <Characters>4094</Characters>
  <Application>Microsoft Office Word</Application>
  <DocSecurity>0</DocSecurity>
  <Lines>34</Lines>
  <Paragraphs>9</Paragraphs>
  <ScaleCrop>false</ScaleCrop>
  <Company/>
  <LinksUpToDate>false</LinksUpToDate>
  <CharactersWithSpaces>4803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 Oo</dc:creator>
  <cp:keywords/>
  <dc:description/>
  <cp:lastModifiedBy>Min Oo</cp:lastModifiedBy>
  <cp:revision>1</cp:revision>
  <dcterms:created xsi:type="dcterms:W3CDTF">2026-03-28T11:01:00Z</dcterms:created>
  <dcterms:modified xsi:type="dcterms:W3CDTF">2026-03-28T11:01:00Z</dcterms:modified>
</cp:coreProperties>
</file>