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21BF" w14:textId="0D918C14" w:rsidR="002C521E" w:rsidRDefault="004E076A" w:rsidP="004E076A">
      <w:pPr>
        <w:pStyle w:val="Heading1"/>
      </w:pPr>
      <w:r>
        <w:t>Questionnaire Source Notes</w:t>
      </w:r>
    </w:p>
    <w:p w14:paraId="51E3981A" w14:textId="77777777" w:rsidR="004E076A" w:rsidRDefault="004E076A" w:rsidP="004E076A"/>
    <w:p w14:paraId="29ECC09D" w14:textId="7AA60406" w:rsidR="004E076A" w:rsidRDefault="004E076A" w:rsidP="004E076A">
      <w:pPr>
        <w:pStyle w:val="Heading2"/>
      </w:pPr>
      <w:r>
        <w:t>Purpose</w:t>
      </w:r>
    </w:p>
    <w:p w14:paraId="57C47CEB" w14:textId="77777777" w:rsidR="004E076A" w:rsidRDefault="004E076A" w:rsidP="004E076A"/>
    <w:p w14:paraId="1B91CA67" w14:textId="218E1A07" w:rsidR="004E076A" w:rsidRDefault="004E076A" w:rsidP="004E076A">
      <w:r>
        <w:t>This note explains how the survey experiment instrument can be defended as adapted from prior literature rather than treated as a fully invented questionnaire. This directly addresses the professor's instruction that the study should be supported by prior research and should provide a questionnaire that can be adopted or adapted.</w:t>
      </w:r>
    </w:p>
    <w:p w14:paraId="2181994B" w14:textId="77777777" w:rsidR="004E076A" w:rsidRDefault="004E076A" w:rsidP="004E076A"/>
    <w:p w14:paraId="251F7126" w14:textId="4244750E" w:rsidR="004E076A" w:rsidRDefault="004E076A" w:rsidP="004E076A">
      <w:pPr>
        <w:pStyle w:val="Heading2"/>
      </w:pPr>
      <w:r>
        <w:t>How the instrument should be described</w:t>
      </w:r>
    </w:p>
    <w:p w14:paraId="01D6BD5D" w14:textId="77777777" w:rsidR="004E076A" w:rsidRDefault="004E076A" w:rsidP="004E076A"/>
    <w:p w14:paraId="666FB422" w14:textId="2C86BFE7" w:rsidR="004E076A" w:rsidRDefault="004E076A" w:rsidP="004E076A">
      <w:r>
        <w:t>The questionnaire has two layers. First, it contains theory-driven vignette manipulations for formal recognition, stackability, and industry endorsement. These features are not copied from one single prior scale; they are built from the micro-credential policy and design literature. Second, it contains measured scales for student trust, perceived value, and enrollment intention. These scales are adapted from broader credibility, legitimacy, and perceived value literature and then refined for the micro-credential context.</w:t>
      </w:r>
    </w:p>
    <w:p w14:paraId="7623B5B3" w14:textId="77777777" w:rsidR="004E076A" w:rsidRDefault="004E076A" w:rsidP="004E076A"/>
    <w:p w14:paraId="0CAE9FFE" w14:textId="223C8EEB" w:rsidR="004E076A" w:rsidRDefault="004E076A" w:rsidP="004E076A">
      <w:pPr>
        <w:pStyle w:val="Heading2"/>
      </w:pPr>
      <w:r>
        <w:t>Best source anchors for the instrument</w:t>
      </w:r>
    </w:p>
    <w:p w14:paraId="24112FB5" w14:textId="77777777" w:rsidR="004E076A" w:rsidRDefault="004E076A" w:rsidP="004E076A"/>
    <w:p w14:paraId="787144AA" w14:textId="2C64318F" w:rsidR="004E076A" w:rsidRDefault="004E076A" w:rsidP="004E076A">
      <w:r>
        <w:t>- Recognition manipulations: OECD (2021), OECD (2025), European Commission (2024), Ahsan et al. (2023), Reed et al. (2024).</w:t>
      </w:r>
    </w:p>
    <w:p w14:paraId="6C2BFBA4" w14:textId="6E61C507" w:rsidR="004E076A" w:rsidRDefault="004E076A" w:rsidP="004E076A">
      <w:r>
        <w:t>- Stackability manipulations: OECD (2021), European Commission (2024), Wheelahan and Moodie (2021), Anderson and Daugherty (2023).</w:t>
      </w:r>
    </w:p>
    <w:p w14:paraId="54DF6C92" w14:textId="1A54F95A" w:rsidR="004E076A" w:rsidRDefault="004E076A" w:rsidP="004E076A">
      <w:r>
        <w:t>- Industry endorsement manipulations: Ha et al. (2024), Ha et al. (2025), Reed et al. (2024).</w:t>
      </w:r>
    </w:p>
    <w:p w14:paraId="0AC126EE" w14:textId="2EFF2CB0" w:rsidR="004E076A" w:rsidRDefault="004E076A" w:rsidP="004E076A">
      <w:r>
        <w:t>- Trust items: adapted from legitimacy and source-credibility logic, especially Suchman (1995) and Ohanian (1990).</w:t>
      </w:r>
    </w:p>
    <w:p w14:paraId="666E5F37" w14:textId="3347B951" w:rsidR="004E076A" w:rsidRDefault="004E076A" w:rsidP="004E076A">
      <w:r>
        <w:t>- Perceived value items: adapted from higher education perceived-value literature, especially Ledden et al. (2011), with contextual support from Ha et al. (2025) and Iskandar et al. (2024).</w:t>
      </w:r>
    </w:p>
    <w:p w14:paraId="64FA7F41" w14:textId="77777777" w:rsidR="004E076A" w:rsidRDefault="004E076A" w:rsidP="004E076A"/>
    <w:p w14:paraId="4A0A9953" w14:textId="13A8E07E" w:rsidR="004E076A" w:rsidRDefault="004E076A" w:rsidP="004E076A">
      <w:pPr>
        <w:pStyle w:val="Heading2"/>
      </w:pPr>
      <w:r>
        <w:t>Recommended justification sentence</w:t>
      </w:r>
    </w:p>
    <w:p w14:paraId="650F6E1D" w14:textId="77777777" w:rsidR="004E076A" w:rsidRDefault="004E076A" w:rsidP="004E076A"/>
    <w:p w14:paraId="523B6172" w14:textId="1DD45CB5" w:rsidR="004E076A" w:rsidRDefault="004E076A" w:rsidP="004E076A">
      <w:r>
        <w:t>The questionnaire combined experimentally manipulated vignette features with adapted multi-item scales. The vignette manipulations for formal recognition, stackability, and industry endorsement were developed from the micro-credential policy and design literature. The scales for student trust and perceived value were adapted from the literature on legitimacy, source credibility, and perceived value in higher education, then refined for the IT micro-credential context and pilot-tested before full deployment.</w:t>
      </w:r>
    </w:p>
    <w:p w14:paraId="3A900035" w14:textId="77777777" w:rsidR="004E076A" w:rsidRDefault="004E076A" w:rsidP="004E076A"/>
    <w:p w14:paraId="53712226" w14:textId="3637E498" w:rsidR="004E076A" w:rsidRDefault="004E076A" w:rsidP="004E076A">
      <w:pPr>
        <w:pStyle w:val="Heading2"/>
      </w:pPr>
      <w:r>
        <w:t>Short source list</w:t>
      </w:r>
    </w:p>
    <w:p w14:paraId="3383E1F5" w14:textId="77777777" w:rsidR="004E076A" w:rsidRDefault="004E076A" w:rsidP="004E076A"/>
    <w:p w14:paraId="03B0663E" w14:textId="214F1212" w:rsidR="004E076A" w:rsidRDefault="004E076A" w:rsidP="004E076A">
      <w:r>
        <w:t>Suchman, M. C. (1995). Managing legitimacy: Strategic and institutional approaches. Academy of Management Review, 20(3), 571-610. https://doi.org/10.5465/amr.1995.9508080331</w:t>
      </w:r>
    </w:p>
    <w:p w14:paraId="31087A05" w14:textId="77777777" w:rsidR="004E076A" w:rsidRDefault="004E076A" w:rsidP="004E076A"/>
    <w:p w14:paraId="389AFF54" w14:textId="2D421036" w:rsidR="004E076A" w:rsidRDefault="004E076A" w:rsidP="004E076A">
      <w:r>
        <w:t>Ohanian, R. (1990). Construction and validation of a scale to measure celebrity endorsers' perceived expertise, trustworthiness, and attractiveness. Journal of Advertising, 19(3), 39-52. https://doi.org/10.1080/00913367.1990.10673191</w:t>
      </w:r>
    </w:p>
    <w:p w14:paraId="47578EEA" w14:textId="77777777" w:rsidR="004E076A" w:rsidRDefault="004E076A" w:rsidP="004E076A"/>
    <w:p w14:paraId="338C637E" w14:textId="2BD1BA2F" w:rsidR="004E076A" w:rsidRDefault="004E076A" w:rsidP="004E076A">
      <w:r>
        <w:t>Ledden, L., Kalafatis, S. P., &amp; Samouel, P. (2011). The measurement of perceived value in higher education: a unidimensional approach. Quality Assurance in Education, 19(1), 33-52. https://doi.org/10.1108/09684881111107732</w:t>
      </w:r>
    </w:p>
    <w:p w14:paraId="64427A19" w14:textId="77777777" w:rsidR="004E076A" w:rsidRDefault="004E076A" w:rsidP="004E076A"/>
    <w:p w14:paraId="3CF94425" w14:textId="41B801E7" w:rsidR="004E076A" w:rsidRDefault="004E076A" w:rsidP="004E076A">
      <w:r>
        <w:t>Iskandar, A. S., Wirawan, H., &amp; Salam, R. (2024). Students' perceived value in higher education institutions: investigating the role of antecedents and context. Cogent Business &amp; Management, 11(1), 2313789. https://doi.org/10.1080/23311975.2024.2313789</w:t>
      </w:r>
    </w:p>
    <w:p w14:paraId="38F18085" w14:textId="77777777" w:rsidR="004E076A" w:rsidRDefault="004E076A" w:rsidP="004E076A"/>
    <w:p w14:paraId="52C66F5A" w14:textId="21AAB1DB" w:rsidR="004E076A" w:rsidRDefault="004E076A" w:rsidP="004E076A">
      <w:r>
        <w:t>OECD. (2021). Quality and value of micro-credentials in higher education: Preparing for the future. https://www.oecd.org/en/publications/quality-and-value-of-micro-credentials-in-higher-education_9c4ad26d-en.html</w:t>
      </w:r>
    </w:p>
    <w:p w14:paraId="3EBCB84E" w14:textId="77777777" w:rsidR="004E076A" w:rsidRDefault="004E076A" w:rsidP="004E076A"/>
    <w:p w14:paraId="743C3880" w14:textId="45508774" w:rsidR="004E076A" w:rsidRDefault="004E076A" w:rsidP="004E076A">
      <w:r>
        <w:t>Reed, A., Kong, Y., &amp; Abramovich, S. (2024). Assessment, credential, or both? Higher education faculty's design principles for micro-credentials. Discover Education, 3, Article 16. https://doi.org/10.1007/s44217-024-00100-2</w:t>
      </w:r>
    </w:p>
    <w:p w14:paraId="089036FC" w14:textId="77777777" w:rsidR="004E076A" w:rsidRDefault="004E076A" w:rsidP="004E076A"/>
    <w:p w14:paraId="73596D8A" w14:textId="60DC3459" w:rsidR="004E076A" w:rsidRDefault="004E076A" w:rsidP="004E076A">
      <w:r>
        <w:t>Ha, N. T. N., Van Dyke, N., &amp; Spittle, M. (2025). Micro-credentials in higher education: perceived benefits for graduate employability and interest levels in micro-credentials for training employability skills. Studies in Higher Education. Advance online publication. https://doi.org/10.1080/03075079.2025.2516709</w:t>
      </w:r>
    </w:p>
    <w:p w14:paraId="44E26C6B" w14:textId="77777777" w:rsidR="004E076A" w:rsidRDefault="004E076A" w:rsidP="004E076A"/>
    <w:p w14:paraId="13E86472" w14:textId="77777777" w:rsidR="004E076A" w:rsidRPr="004E076A" w:rsidRDefault="004E076A" w:rsidP="004E076A"/>
    <w:sectPr w:rsidR="004E076A" w:rsidRPr="004E0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6A"/>
    <w:rsid w:val="002C521E"/>
    <w:rsid w:val="004E076A"/>
    <w:rsid w:val="00AD3337"/>
    <w:rsid w:val="00D7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A87C"/>
  <w15:chartTrackingRefBased/>
  <w15:docId w15:val="{B90D4821-802C-469B-A9E1-6A2242C2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76A"/>
    <w:rPr>
      <w:rFonts w:eastAsiaTheme="majorEastAsia" w:cstheme="majorBidi"/>
      <w:color w:val="272727" w:themeColor="text1" w:themeTint="D8"/>
    </w:rPr>
  </w:style>
  <w:style w:type="paragraph" w:styleId="Title">
    <w:name w:val="Title"/>
    <w:basedOn w:val="Normal"/>
    <w:next w:val="Normal"/>
    <w:link w:val="TitleChar"/>
    <w:uiPriority w:val="10"/>
    <w:qFormat/>
    <w:rsid w:val="004E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76A"/>
    <w:pPr>
      <w:spacing w:before="160"/>
      <w:jc w:val="center"/>
    </w:pPr>
    <w:rPr>
      <w:i/>
      <w:iCs/>
      <w:color w:val="404040" w:themeColor="text1" w:themeTint="BF"/>
    </w:rPr>
  </w:style>
  <w:style w:type="character" w:customStyle="1" w:styleId="QuoteChar">
    <w:name w:val="Quote Char"/>
    <w:basedOn w:val="DefaultParagraphFont"/>
    <w:link w:val="Quote"/>
    <w:uiPriority w:val="29"/>
    <w:rsid w:val="004E076A"/>
    <w:rPr>
      <w:i/>
      <w:iCs/>
      <w:color w:val="404040" w:themeColor="text1" w:themeTint="BF"/>
    </w:rPr>
  </w:style>
  <w:style w:type="paragraph" w:styleId="ListParagraph">
    <w:name w:val="List Paragraph"/>
    <w:basedOn w:val="Normal"/>
    <w:uiPriority w:val="34"/>
    <w:qFormat/>
    <w:rsid w:val="004E076A"/>
    <w:pPr>
      <w:ind w:left="720"/>
      <w:contextualSpacing/>
    </w:pPr>
  </w:style>
  <w:style w:type="character" w:styleId="IntenseEmphasis">
    <w:name w:val="Intense Emphasis"/>
    <w:basedOn w:val="DefaultParagraphFont"/>
    <w:uiPriority w:val="21"/>
    <w:qFormat/>
    <w:rsid w:val="004E076A"/>
    <w:rPr>
      <w:i/>
      <w:iCs/>
      <w:color w:val="0F4761" w:themeColor="accent1" w:themeShade="BF"/>
    </w:rPr>
  </w:style>
  <w:style w:type="paragraph" w:styleId="IntenseQuote">
    <w:name w:val="Intense Quote"/>
    <w:basedOn w:val="Normal"/>
    <w:next w:val="Normal"/>
    <w:link w:val="IntenseQuoteChar"/>
    <w:uiPriority w:val="30"/>
    <w:qFormat/>
    <w:rsid w:val="004E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76A"/>
    <w:rPr>
      <w:i/>
      <w:iCs/>
      <w:color w:val="0F4761" w:themeColor="accent1" w:themeShade="BF"/>
    </w:rPr>
  </w:style>
  <w:style w:type="character" w:styleId="IntenseReference">
    <w:name w:val="Intense Reference"/>
    <w:basedOn w:val="DefaultParagraphFont"/>
    <w:uiPriority w:val="32"/>
    <w:qFormat/>
    <w:rsid w:val="004E0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Oo</dc:creator>
  <cp:keywords/>
  <dc:description/>
  <cp:lastModifiedBy>Min Oo</cp:lastModifiedBy>
  <cp:revision>1</cp:revision>
  <dcterms:created xsi:type="dcterms:W3CDTF">2026-03-28T10:27:00Z</dcterms:created>
  <dcterms:modified xsi:type="dcterms:W3CDTF">2026-03-28T10:27:00Z</dcterms:modified>
</cp:coreProperties>
</file>