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4"/>
        </w:rPr>
        <w:t>ASSUMPTION UNIVERSITY OF THAILAND</w:t>
      </w:r>
    </w:p>
    <w:p>
      <w:pPr>
        <w:jc w:val="center"/>
      </w:pPr>
      <w:r>
        <w:rPr>
          <w:b/>
          <w:sz w:val="24"/>
        </w:rPr>
        <w:t>Graduate School of Business and Advanced Technology Management</w:t>
      </w:r>
    </w:p>
    <w:p/>
    <w:p/>
    <w:p/>
    <w:p>
      <w:pPr>
        <w:jc w:val="center"/>
      </w:pPr>
      <w:r>
        <w:rPr>
          <w:b/>
          <w:sz w:val="30"/>
        </w:rPr>
        <w:t>Framework, Hypotheses, Variables, and Questionnaire Evidence</w:t>
      </w:r>
    </w:p>
    <w:p>
      <w:pPr>
        <w:jc w:val="center"/>
      </w:pPr>
      <w:r>
        <w:rPr>
          <w:i/>
          <w:sz w:val="24"/>
        </w:rPr>
        <w:t>Source Record for the Author-Constructed Digital-Badge Model</w:t>
      </w:r>
    </w:p>
    <w:p/>
    <w:p/>
    <w:p/>
    <w:p>
      <w:pPr>
        <w:jc w:val="center"/>
      </w:pPr>
      <w:r>
        <w:rPr>
          <w:b/>
          <w:sz w:val="24"/>
        </w:rPr>
        <w:t>BY</w:t>
        <w:br/>
        <w:t>MR. MIN THIHA OO</w:t>
      </w:r>
    </w:p>
    <w:p/>
    <w:p/>
    <w:p>
      <w:pPr>
        <w:jc w:val="center"/>
      </w:pPr>
      <w:r>
        <w:rPr>
          <w:b/>
          <w:sz w:val="23"/>
        </w:rPr>
        <w:t>ITM7000 INDEPENDENT STUDY</w:t>
      </w:r>
    </w:p>
    <w:p>
      <w:pPr>
        <w:jc w:val="center"/>
      </w:pPr>
      <w:r>
        <w:rPr>
          <w:sz w:val="23"/>
        </w:rPr>
        <w:t>Submitted in Partial Fulfillment of the Requirements for the Degree of</w:t>
      </w:r>
    </w:p>
    <w:p>
      <w:pPr>
        <w:jc w:val="center"/>
      </w:pPr>
      <w:r>
        <w:rPr>
          <w:sz w:val="23"/>
        </w:rPr>
        <w:t>Master of Information Technology Management</w:t>
      </w:r>
    </w:p>
    <w:p/>
    <w:p>
      <w:pPr>
        <w:jc w:val="center"/>
      </w:pPr>
      <w:r>
        <w:rPr>
          <w:sz w:val="24"/>
        </w:rPr>
        <w:t>AUGUST 2026</w:t>
      </w:r>
    </w:p>
    <w:p>
      <w:r>
        <w:br w:type="page"/>
      </w:r>
    </w:p>
    <w:p>
      <w:pPr>
        <w:pStyle w:val="Heading1"/>
      </w:pPr>
      <w:r>
        <w:t>1. Purpose</w:t>
      </w:r>
    </w:p>
    <w:p>
      <w:r>
        <w:t>This document records the published frameworks used to construct the study model, the direct source of every variable and relationship, and the original questionnaire source. It accompanies the chaptered thesis manuscript.</w:t>
      </w:r>
    </w:p>
    <w:tbl>
      <w:tblPr>
        <w:tblStyle w:val="TableGrid"/>
        <w:tblW w:type="auto" w:w="0"/>
        <w:tblLook w:firstColumn="1" w:firstRow="1" w:lastColumn="0" w:lastRow="0" w:noHBand="0" w:noVBand="1" w:val="04A0"/>
      </w:tblPr>
      <w:tblGrid>
        <w:gridCol w:w="9026"/>
      </w:tblGrid>
      <w:tr>
        <w:trPr>
          <w:cantSplit/>
          <w:tblHeader w:val="true"/>
        </w:trPr>
        <w:tc>
          <w:tcPr>
            <w:tcW w:type="dxa" w:w="9026"/>
            <w:shd w:fill="FFF2CC"/>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20"/>
              </w:rPr>
              <w:t>The study does not reproduce Steenkamp et al.'s complete model. It selects five exact constructs and four supported paths from that published model, adds no new construct, and uses only the 18 printed questionnaire items belonging to those constructs.</w:t>
            </w:r>
          </w:p>
        </w:tc>
      </w:tr>
    </w:tbl>
    <w:p>
      <w:pPr>
        <w:spacing w:after="0"/>
      </w:pPr>
    </w:p>
    <w:p>
      <w:pPr>
        <w:pStyle w:val="Heading1"/>
      </w:pPr>
      <w:r>
        <w:t>2. Published Frameworks</w:t>
      </w:r>
    </w:p>
    <w:p>
      <w:pPr>
        <w:pStyle w:val="Heading2"/>
      </w:pPr>
      <w:r>
        <w:t>2.1 Technology Acceptance Model 3</w:t>
      </w:r>
    </w:p>
    <w:p>
      <w:pPr>
        <w:jc w:val="center"/>
      </w:pPr>
      <w:r>
        <w:drawing>
          <wp:inline xmlns:a="http://schemas.openxmlformats.org/drawingml/2006/main" xmlns:pic="http://schemas.openxmlformats.org/drawingml/2006/picture">
            <wp:extent cx="4114800" cy="4449128"/>
            <wp:docPr id="1" name="Picture 1" title="Conceptual framework" descr="Published TAM3 framework showing determinants of perceived usefulness, perceived ease of use, behavioural intention, and use behaviour."/>
            <wp:cNvGraphicFramePr>
              <a:graphicFrameLocks noChangeAspect="1"/>
            </wp:cNvGraphicFramePr>
            <a:graphic>
              <a:graphicData uri="http://schemas.openxmlformats.org/drawingml/2006/picture">
                <pic:pic>
                  <pic:nvPicPr>
                    <pic:cNvPr id="0" name="Published_Framework_Venkatesh_Bala_TAM3_Figure_2.png"/>
                    <pic:cNvPicPr/>
                  </pic:nvPicPr>
                  <pic:blipFill>
                    <a:blip r:embed="rId11"/>
                    <a:stretch>
                      <a:fillRect/>
                    </a:stretch>
                  </pic:blipFill>
                  <pic:spPr>
                    <a:xfrm>
                      <a:off x="0" y="0"/>
                      <a:ext cx="4114800" cy="4449128"/>
                    </a:xfrm>
                    <a:prstGeom prst="rect"/>
                  </pic:spPr>
                </pic:pic>
              </a:graphicData>
            </a:graphic>
          </wp:inline>
        </w:drawing>
      </w:r>
    </w:p>
    <w:p>
      <w:pPr>
        <w:spacing w:line="240" w:lineRule="auto" w:after="120"/>
        <w:jc w:val="center"/>
      </w:pPr>
      <w:r>
        <w:rPr>
          <w:sz w:val="20"/>
        </w:rPr>
        <w:t>Figure 2.1: Technology Acceptance Model 3</w:t>
      </w:r>
    </w:p>
    <w:p>
      <w:pPr>
        <w:spacing w:line="240" w:lineRule="auto" w:after="100"/>
      </w:pPr>
      <w:r>
        <w:rPr>
          <w:i/>
          <w:color w:val="595959"/>
          <w:sz w:val="19"/>
        </w:rPr>
        <w:t>Source: Venkatesh and Bala (2008, Figure 2).</w:t>
      </w:r>
    </w:p>
    <w:p>
      <w:pPr>
        <w:pStyle w:val="Heading2"/>
      </w:pPr>
      <w:r>
        <w:t>2.2 Micro-Credential Technology-Acceptance Framework</w:t>
      </w:r>
    </w:p>
    <w:p>
      <w:pPr>
        <w:jc w:val="center"/>
      </w:pPr>
      <w:r>
        <w:drawing>
          <wp:inline xmlns:a="http://schemas.openxmlformats.org/drawingml/2006/main" xmlns:pic="http://schemas.openxmlformats.org/drawingml/2006/picture">
            <wp:extent cx="5349240" cy="2996790"/>
            <wp:docPr id="2" name="Picture 2" title="Conceptual framework" descr="Published micro-credential framework combining technology acceptance and self-determination variables to explain attitude and behavioural intention."/>
            <wp:cNvGraphicFramePr>
              <a:graphicFrameLocks noChangeAspect="1"/>
            </wp:cNvGraphicFramePr>
            <a:graphic>
              <a:graphicData uri="http://schemas.openxmlformats.org/drawingml/2006/picture">
                <pic:pic>
                  <pic:nvPicPr>
                    <pic:cNvPr id="0" name="Published_Framework_Miao_2024_Figure_1_Direct_Crop.png"/>
                    <pic:cNvPicPr/>
                  </pic:nvPicPr>
                  <pic:blipFill>
                    <a:blip r:embed="rId12"/>
                    <a:stretch>
                      <a:fillRect/>
                    </a:stretch>
                  </pic:blipFill>
                  <pic:spPr>
                    <a:xfrm>
                      <a:off x="0" y="0"/>
                      <a:ext cx="5349240" cy="2996790"/>
                    </a:xfrm>
                    <a:prstGeom prst="rect"/>
                  </pic:spPr>
                </pic:pic>
              </a:graphicData>
            </a:graphic>
          </wp:inline>
        </w:drawing>
      </w:r>
    </w:p>
    <w:p>
      <w:pPr>
        <w:spacing w:line="240" w:lineRule="auto" w:after="120"/>
        <w:jc w:val="center"/>
      </w:pPr>
      <w:r>
        <w:rPr>
          <w:sz w:val="20"/>
        </w:rPr>
        <w:t>Figure 2.2: Technology use for micro-credential programmes</w:t>
      </w:r>
    </w:p>
    <w:p>
      <w:pPr>
        <w:spacing w:line="240" w:lineRule="auto" w:after="100"/>
      </w:pPr>
      <w:r>
        <w:rPr>
          <w:i/>
          <w:color w:val="595959"/>
          <w:sz w:val="19"/>
        </w:rPr>
        <w:t>Source: Miao et al. (2024, Figure 1, p. 956).</w:t>
      </w:r>
    </w:p>
    <w:p>
      <w:pPr>
        <w:pStyle w:val="Heading2"/>
      </w:pPr>
      <w:r>
        <w:t>2.3 Digital-Badge Acceptance Framework</w:t>
      </w:r>
    </w:p>
    <w:p>
      <w:pPr>
        <w:jc w:val="center"/>
      </w:pPr>
      <w:r>
        <w:drawing>
          <wp:inline xmlns:a="http://schemas.openxmlformats.org/drawingml/2006/main" xmlns:pic="http://schemas.openxmlformats.org/drawingml/2006/picture">
            <wp:extent cx="4114800" cy="4076344"/>
            <wp:docPr id="3" name="Picture 3" title="Conceptual framework" descr="Published Steenkamp digital-badge framework containing eleven constructs and thirteen directional relationships."/>
            <wp:cNvGraphicFramePr>
              <a:graphicFrameLocks noChangeAspect="1"/>
            </wp:cNvGraphicFramePr>
            <a:graphic>
              <a:graphicData uri="http://schemas.openxmlformats.org/drawingml/2006/picture">
                <pic:pic>
                  <pic:nvPicPr>
                    <pic:cNvPr id="0" name="Published_Framework_Steenkamp_Figure_1_Direct_Crop.png"/>
                    <pic:cNvPicPr/>
                  </pic:nvPicPr>
                  <pic:blipFill>
                    <a:blip r:embed="rId13"/>
                    <a:stretch>
                      <a:fillRect/>
                    </a:stretch>
                  </pic:blipFill>
                  <pic:spPr>
                    <a:xfrm>
                      <a:off x="0" y="0"/>
                      <a:ext cx="4114800" cy="4076344"/>
                    </a:xfrm>
                    <a:prstGeom prst="rect"/>
                  </pic:spPr>
                </pic:pic>
              </a:graphicData>
            </a:graphic>
          </wp:inline>
        </w:drawing>
      </w:r>
    </w:p>
    <w:p>
      <w:pPr>
        <w:spacing w:line="240" w:lineRule="auto" w:after="120"/>
        <w:jc w:val="center"/>
      </w:pPr>
      <w:r>
        <w:rPr>
          <w:sz w:val="20"/>
        </w:rPr>
        <w:t>Figure 2.3: Published digital-badge research model</w:t>
      </w:r>
    </w:p>
    <w:p>
      <w:pPr>
        <w:spacing w:line="240" w:lineRule="auto" w:after="100"/>
      </w:pPr>
      <w:r>
        <w:rPr>
          <w:i/>
          <w:color w:val="595959"/>
          <w:sz w:val="19"/>
        </w:rPr>
        <w:t>Source: Steenkamp, Fisher, and Nesbit (2024, Figure 1, p. 10).</w:t>
      </w:r>
    </w:p>
    <w:p>
      <w:pPr>
        <w:pStyle w:val="Heading1"/>
      </w:pPr>
      <w:r>
        <w:t>3. Conceptual Framework Used in the Study</w:t>
      </w:r>
    </w:p>
    <w:p>
      <w:pPr>
        <w:jc w:val="center"/>
      </w:pPr>
      <w:r>
        <w:drawing>
          <wp:inline xmlns:a="http://schemas.openxmlformats.org/drawingml/2006/main" xmlns:pic="http://schemas.openxmlformats.org/drawingml/2006/picture">
            <wp:extent cx="5486400" cy="2499360"/>
            <wp:docPr id="4" name="Picture 4" title="Conceptual framework" descr="Author-constructed framework in which perceived ease of use and job application relevance predict perceived usefulness, while perceived usefulness and subjective norm predict behavioural intention to use digital badges."/>
            <wp:cNvGraphicFramePr>
              <a:graphicFrameLocks noChangeAspect="1"/>
            </wp:cNvGraphicFramePr>
            <a:graphic>
              <a:graphicData uri="http://schemas.openxmlformats.org/drawingml/2006/picture">
                <pic:pic>
                  <pic:nvPicPr>
                    <pic:cNvPr id="0" name="Conceptual_Framework_Author_Constructed_Digital_Badges.png"/>
                    <pic:cNvPicPr/>
                  </pic:nvPicPr>
                  <pic:blipFill>
                    <a:blip r:embed="rId14"/>
                    <a:stretch>
                      <a:fillRect/>
                    </a:stretch>
                  </pic:blipFill>
                  <pic:spPr>
                    <a:xfrm>
                      <a:off x="0" y="0"/>
                      <a:ext cx="5486400" cy="2499360"/>
                    </a:xfrm>
                    <a:prstGeom prst="rect"/>
                  </pic:spPr>
                </pic:pic>
              </a:graphicData>
            </a:graphic>
          </wp:inline>
        </w:drawing>
      </w:r>
    </w:p>
    <w:p>
      <w:pPr>
        <w:spacing w:line="240" w:lineRule="auto" w:after="120"/>
        <w:jc w:val="center"/>
      </w:pPr>
      <w:r>
        <w:rPr>
          <w:sz w:val="20"/>
        </w:rPr>
        <w:t>Figure 3.1: Conceptual framework of the study</w:t>
      </w:r>
    </w:p>
    <w:p>
      <w:pPr>
        <w:spacing w:line="240" w:lineRule="auto" w:after="100"/>
      </w:pPr>
      <w:r>
        <w:rPr>
          <w:i/>
          <w:color w:val="595959"/>
          <w:sz w:val="19"/>
        </w:rPr>
        <w:t>Source: Constructed by the author based on Venkatesh and Bala (2008), Miao et al. (2024), and Steenkamp et al. (2024).</w:t>
      </w:r>
    </w:p>
    <w:p>
      <w:pPr>
        <w:keepNext/>
        <w:spacing w:before="120" w:after="80"/>
        <w:ind w:firstLine="0"/>
      </w:pPr>
      <w:r>
        <w:rPr>
          <w:b/>
          <w:sz w:val="21"/>
        </w:rPr>
        <w:t>Table 3.1: Direct path provenance</w:t>
      </w:r>
    </w:p>
    <w:tbl>
      <w:tblPr>
        <w:tblStyle w:val="TableGrid"/>
        <w:tblW w:type="dxa" w:w="8928"/>
        <w:tblLayout w:type="fixed"/>
        <w:tblLook w:firstColumn="1" w:firstRow="1" w:lastColumn="0" w:lastRow="0" w:noHBand="0" w:noVBand="1" w:val="04A0"/>
        <w:jc w:val="left"/>
        <w:tblInd w:w="120" w:type="dxa"/>
      </w:tblPr>
      <w:tblGrid>
        <w:gridCol w:w="1152"/>
        <w:gridCol w:w="3168"/>
        <w:gridCol w:w="2232"/>
        <w:gridCol w:w="2376"/>
      </w:tblGrid>
      <w:tr>
        <w:trPr>
          <w:tblHeader w:val="true"/>
          <w:cantSplit/>
        </w:trPr>
        <w:tc>
          <w:tcPr>
            <w:tcW w:type="dxa" w:w="1152"/>
            <w:vAlign w:val="center"/>
            <w:tcMar>
              <w:top w:w="70" w:type="dxa"/>
              <w:start w:w="80" w:type="dxa"/>
              <w:bottom w:w="70" w:type="dxa"/>
              <w:end w:w="80" w:type="dxa"/>
            </w:tcMar>
            <w:shd w:fill="D9E2F3"/>
          </w:tcPr>
          <w:p>
            <w:pPr>
              <w:spacing w:line="240" w:lineRule="auto" w:after="0"/>
              <w:ind w:firstLine="0" w:left="0" w:right="0"/>
              <w:jc w:val="center"/>
            </w:pPr>
            <w:r>
              <w:rPr>
                <w:rFonts w:ascii="Times New Roman" w:hAnsi="Times New Roman" w:eastAsia="Times New Roman"/>
                <w:b/>
                <w:sz w:val="16"/>
              </w:rPr>
              <w:t>Study hypothesis</w:t>
            </w:r>
          </w:p>
        </w:tc>
        <w:tc>
          <w:tcPr>
            <w:tcW w:type="dxa" w:w="3168"/>
            <w:vAlign w:val="center"/>
            <w:tcMar>
              <w:top w:w="70" w:type="dxa"/>
              <w:start w:w="80" w:type="dxa"/>
              <w:bottom w:w="70" w:type="dxa"/>
              <w:end w:w="80" w:type="dxa"/>
            </w:tcMar>
            <w:shd w:fill="D9E2F3"/>
          </w:tcPr>
          <w:p>
            <w:pPr>
              <w:spacing w:line="240" w:lineRule="auto" w:after="0"/>
              <w:ind w:firstLine="0" w:left="0" w:right="0"/>
              <w:jc w:val="center"/>
            </w:pPr>
            <w:r>
              <w:rPr>
                <w:rFonts w:ascii="Times New Roman" w:hAnsi="Times New Roman" w:eastAsia="Times New Roman"/>
                <w:b/>
                <w:sz w:val="16"/>
              </w:rPr>
              <w:t>Exact path</w:t>
            </w:r>
          </w:p>
        </w:tc>
        <w:tc>
          <w:tcPr>
            <w:tcW w:type="dxa" w:w="2232"/>
            <w:vAlign w:val="center"/>
            <w:tcMar>
              <w:top w:w="70" w:type="dxa"/>
              <w:start w:w="80" w:type="dxa"/>
              <w:bottom w:w="70" w:type="dxa"/>
              <w:end w:w="80" w:type="dxa"/>
            </w:tcMar>
            <w:shd w:fill="D9E2F3"/>
          </w:tcPr>
          <w:p>
            <w:pPr>
              <w:spacing w:line="240" w:lineRule="auto" w:after="0"/>
              <w:ind w:firstLine="0" w:left="0" w:right="0"/>
              <w:jc w:val="center"/>
            </w:pPr>
            <w:r>
              <w:rPr>
                <w:rFonts w:ascii="Times New Roman" w:hAnsi="Times New Roman" w:eastAsia="Times New Roman"/>
                <w:b/>
                <w:sz w:val="16"/>
              </w:rPr>
              <w:t>Direct published source</w:t>
            </w:r>
          </w:p>
        </w:tc>
        <w:tc>
          <w:tcPr>
            <w:tcW w:type="dxa" w:w="2376"/>
            <w:vAlign w:val="center"/>
            <w:tcMar>
              <w:top w:w="70" w:type="dxa"/>
              <w:start w:w="80" w:type="dxa"/>
              <w:bottom w:w="70" w:type="dxa"/>
              <w:end w:w="80" w:type="dxa"/>
            </w:tcMar>
            <w:shd w:fill="D9E2F3"/>
          </w:tcPr>
          <w:p>
            <w:pPr>
              <w:spacing w:line="240" w:lineRule="auto" w:after="0"/>
              <w:ind w:firstLine="0" w:left="0" w:right="0"/>
              <w:jc w:val="center"/>
            </w:pPr>
            <w:r>
              <w:rPr>
                <w:rFonts w:ascii="Times New Roman" w:hAnsi="Times New Roman" w:eastAsia="Times New Roman"/>
                <w:b/>
                <w:sz w:val="16"/>
              </w:rPr>
              <w:t>Published result</w:t>
            </w:r>
          </w:p>
        </w:tc>
      </w:tr>
      <w:tr>
        <w:trPr>
          <w:cantSplit/>
        </w:trPr>
        <w:tc>
          <w:tcPr>
            <w:tcW w:type="dxa" w:w="1152"/>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6"/>
              </w:rPr>
              <w:t>H1</w:t>
            </w:r>
          </w:p>
        </w:tc>
        <w:tc>
          <w:tcPr>
            <w:tcW w:type="dxa" w:w="3168"/>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6"/>
              </w:rPr>
              <w:t>Perceived Ease of Use -&gt; Perceived Usefulness</w:t>
            </w:r>
          </w:p>
        </w:tc>
        <w:tc>
          <w:tcPr>
            <w:tcW w:type="dxa" w:w="2232"/>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6"/>
              </w:rPr>
              <w:t>Steenkamp et al. (2024), source H3</w:t>
            </w:r>
          </w:p>
        </w:tc>
        <w:tc>
          <w:tcPr>
            <w:tcW w:type="dxa" w:w="2376"/>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6"/>
              </w:rPr>
              <w:t>Supported (beta = .671, p &lt; .001)</w:t>
            </w:r>
          </w:p>
        </w:tc>
      </w:tr>
      <w:tr>
        <w:trPr>
          <w:cantSplit/>
        </w:trPr>
        <w:tc>
          <w:tcPr>
            <w:tcW w:type="dxa" w:w="1152"/>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6"/>
              </w:rPr>
              <w:t>H2</w:t>
            </w:r>
          </w:p>
        </w:tc>
        <w:tc>
          <w:tcPr>
            <w:tcW w:type="dxa" w:w="3168"/>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6"/>
              </w:rPr>
              <w:t>Job Application Relevance -&gt; Perceived Usefulness</w:t>
            </w:r>
          </w:p>
        </w:tc>
        <w:tc>
          <w:tcPr>
            <w:tcW w:type="dxa" w:w="2232"/>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6"/>
              </w:rPr>
              <w:t>Steenkamp et al. (2024), source H8</w:t>
            </w:r>
          </w:p>
        </w:tc>
        <w:tc>
          <w:tcPr>
            <w:tcW w:type="dxa" w:w="2376"/>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6"/>
              </w:rPr>
              <w:t>Supported (beta = .229, p = .047)</w:t>
            </w:r>
          </w:p>
        </w:tc>
      </w:tr>
      <w:tr>
        <w:trPr>
          <w:cantSplit/>
        </w:trPr>
        <w:tc>
          <w:tcPr>
            <w:tcW w:type="dxa" w:w="1152"/>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6"/>
              </w:rPr>
              <w:t>H3</w:t>
            </w:r>
          </w:p>
        </w:tc>
        <w:tc>
          <w:tcPr>
            <w:tcW w:type="dxa" w:w="3168"/>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6"/>
              </w:rPr>
              <w:t>Perceived Usefulness -&gt; Behavioural Intention to Use DB</w:t>
            </w:r>
          </w:p>
        </w:tc>
        <w:tc>
          <w:tcPr>
            <w:tcW w:type="dxa" w:w="2232"/>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6"/>
              </w:rPr>
              <w:t>Steenkamp et al. (2024), source H1</w:t>
            </w:r>
          </w:p>
        </w:tc>
        <w:tc>
          <w:tcPr>
            <w:tcW w:type="dxa" w:w="2376"/>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6"/>
              </w:rPr>
              <w:t>Supported (beta = .403, p = .010)</w:t>
            </w:r>
          </w:p>
        </w:tc>
      </w:tr>
      <w:tr>
        <w:trPr>
          <w:cantSplit/>
        </w:trPr>
        <w:tc>
          <w:tcPr>
            <w:tcW w:type="dxa" w:w="1152"/>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6"/>
              </w:rPr>
              <w:t>H4</w:t>
            </w:r>
          </w:p>
        </w:tc>
        <w:tc>
          <w:tcPr>
            <w:tcW w:type="dxa" w:w="3168"/>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6"/>
              </w:rPr>
              <w:t>Subjective Norm -&gt; Behavioural Intention to Use DB</w:t>
            </w:r>
          </w:p>
        </w:tc>
        <w:tc>
          <w:tcPr>
            <w:tcW w:type="dxa" w:w="2232"/>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6"/>
              </w:rPr>
              <w:t>Steenkamp et al. (2024), source H4</w:t>
            </w:r>
          </w:p>
        </w:tc>
        <w:tc>
          <w:tcPr>
            <w:tcW w:type="dxa" w:w="2376"/>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6"/>
              </w:rPr>
              <w:t>Supported (beta = .593, p &lt; .001)</w:t>
            </w:r>
          </w:p>
        </w:tc>
      </w:tr>
    </w:tbl>
    <w:p>
      <w:pPr>
        <w:spacing w:after="0"/>
      </w:pPr>
    </w:p>
    <w:p>
      <w:pPr>
        <w:spacing w:after="80"/>
        <w:ind w:left="360"/>
      </w:pPr>
      <w:r>
        <w:rPr>
          <w:b/>
        </w:rPr>
        <w:t xml:space="preserve">H1: </w:t>
      </w:r>
      <w:r>
        <w:t>Perceived ease of use has a positive direct effect on students' perceived usefulness of university-issued digital badges in job applications.</w:t>
      </w:r>
    </w:p>
    <w:p>
      <w:pPr>
        <w:spacing w:after="80"/>
        <w:ind w:left="360"/>
      </w:pPr>
      <w:r>
        <w:rPr>
          <w:b/>
        </w:rPr>
        <w:t xml:space="preserve">H2: </w:t>
      </w:r>
      <w:r>
        <w:t>Job application relevance has a positive direct effect on students' perceived usefulness of university-issued digital badges in job applications.</w:t>
      </w:r>
    </w:p>
    <w:p>
      <w:pPr>
        <w:spacing w:after="80"/>
        <w:ind w:left="360"/>
      </w:pPr>
      <w:r>
        <w:rPr>
          <w:b/>
        </w:rPr>
        <w:t xml:space="preserve">H3: </w:t>
      </w:r>
      <w:r>
        <w:t>Perceived usefulness has a positive direct effect on students' behavioural intention to use university-issued digital badges in job applications.</w:t>
      </w:r>
    </w:p>
    <w:p>
      <w:pPr>
        <w:spacing w:after="80"/>
        <w:ind w:left="360"/>
      </w:pPr>
      <w:r>
        <w:rPr>
          <w:b/>
        </w:rPr>
        <w:t xml:space="preserve">H4: </w:t>
      </w:r>
      <w:r>
        <w:t>Subjective norm has a positive direct effect on students' behavioural intention to use university-issued digital badges in job applications.</w:t>
      </w:r>
    </w:p>
    <w:p>
      <w:pPr>
        <w:pStyle w:val="Heading1"/>
      </w:pPr>
      <w:r>
        <w:t>4. Exact Variable Provenance</w:t>
      </w:r>
    </w:p>
    <w:p>
      <w:pPr>
        <w:keepNext/>
        <w:spacing w:before="120" w:after="80"/>
        <w:ind w:firstLine="0"/>
      </w:pPr>
      <w:r>
        <w:rPr>
          <w:b/>
          <w:sz w:val="21"/>
        </w:rPr>
        <w:t>Table 4.1: Exact-label audit</w:t>
      </w:r>
    </w:p>
    <w:tbl>
      <w:tblPr>
        <w:tblStyle w:val="TableGrid"/>
        <w:tblW w:type="dxa" w:w="8928"/>
        <w:tblLayout w:type="fixed"/>
        <w:tblLook w:firstColumn="1" w:firstRow="1" w:lastColumn="0" w:lastRow="0" w:noHBand="0" w:noVBand="1" w:val="04A0"/>
        <w:jc w:val="left"/>
        <w:tblInd w:w="120" w:type="dxa"/>
      </w:tblPr>
      <w:tblGrid>
        <w:gridCol w:w="2232"/>
        <w:gridCol w:w="2232"/>
        <w:gridCol w:w="3024"/>
        <w:gridCol w:w="1440"/>
      </w:tblGrid>
      <w:tr>
        <w:trPr>
          <w:tblHeader w:val="true"/>
          <w:cantSplit/>
        </w:trPr>
        <w:tc>
          <w:tcPr>
            <w:tcW w:type="dxa" w:w="2232"/>
            <w:vAlign w:val="center"/>
            <w:tcMar>
              <w:top w:w="70" w:type="dxa"/>
              <w:start w:w="80" w:type="dxa"/>
              <w:bottom w:w="70" w:type="dxa"/>
              <w:end w:w="80" w:type="dxa"/>
            </w:tcMar>
            <w:shd w:fill="D9E2F3"/>
          </w:tcPr>
          <w:p>
            <w:pPr>
              <w:spacing w:line="240" w:lineRule="auto" w:after="0"/>
              <w:ind w:firstLine="0" w:left="0" w:right="0"/>
              <w:jc w:val="center"/>
            </w:pPr>
            <w:r>
              <w:rPr>
                <w:rFonts w:ascii="Times New Roman" w:hAnsi="Times New Roman" w:eastAsia="Times New Roman"/>
                <w:b/>
                <w:sz w:val="16"/>
              </w:rPr>
              <w:t>Study variable</w:t>
            </w:r>
          </w:p>
        </w:tc>
        <w:tc>
          <w:tcPr>
            <w:tcW w:type="dxa" w:w="2232"/>
            <w:vAlign w:val="center"/>
            <w:tcMar>
              <w:top w:w="70" w:type="dxa"/>
              <w:start w:w="80" w:type="dxa"/>
              <w:bottom w:w="70" w:type="dxa"/>
              <w:end w:w="80" w:type="dxa"/>
            </w:tcMar>
            <w:shd w:fill="D9E2F3"/>
          </w:tcPr>
          <w:p>
            <w:pPr>
              <w:spacing w:line="240" w:lineRule="auto" w:after="0"/>
              <w:ind w:firstLine="0" w:left="0" w:right="0"/>
              <w:jc w:val="center"/>
            </w:pPr>
            <w:r>
              <w:rPr>
                <w:rFonts w:ascii="Times New Roman" w:hAnsi="Times New Roman" w:eastAsia="Times New Roman"/>
                <w:b/>
                <w:sz w:val="16"/>
              </w:rPr>
              <w:t>Exact source label</w:t>
            </w:r>
          </w:p>
        </w:tc>
        <w:tc>
          <w:tcPr>
            <w:tcW w:type="dxa" w:w="3024"/>
            <w:vAlign w:val="center"/>
            <w:tcMar>
              <w:top w:w="70" w:type="dxa"/>
              <w:start w:w="80" w:type="dxa"/>
              <w:bottom w:w="70" w:type="dxa"/>
              <w:end w:w="80" w:type="dxa"/>
            </w:tcMar>
            <w:shd w:fill="D9E2F3"/>
          </w:tcPr>
          <w:p>
            <w:pPr>
              <w:spacing w:line="240" w:lineRule="auto" w:after="0"/>
              <w:ind w:firstLine="0" w:left="0" w:right="0"/>
              <w:jc w:val="center"/>
            </w:pPr>
            <w:r>
              <w:rPr>
                <w:rFonts w:ascii="Times New Roman" w:hAnsi="Times New Roman" w:eastAsia="Times New Roman"/>
                <w:b/>
                <w:sz w:val="16"/>
              </w:rPr>
              <w:t>Published framework location</w:t>
            </w:r>
          </w:p>
        </w:tc>
        <w:tc>
          <w:tcPr>
            <w:tcW w:type="dxa" w:w="1440"/>
            <w:vAlign w:val="center"/>
            <w:tcMar>
              <w:top w:w="70" w:type="dxa"/>
              <w:start w:w="80" w:type="dxa"/>
              <w:bottom w:w="70" w:type="dxa"/>
              <w:end w:w="80" w:type="dxa"/>
            </w:tcMar>
            <w:shd w:fill="D9E2F3"/>
          </w:tcPr>
          <w:p>
            <w:pPr>
              <w:spacing w:line="240" w:lineRule="auto" w:after="0"/>
              <w:ind w:firstLine="0" w:left="0" w:right="0"/>
              <w:jc w:val="center"/>
            </w:pPr>
            <w:r>
              <w:rPr>
                <w:rFonts w:ascii="Times New Roman" w:hAnsi="Times New Roman" w:eastAsia="Times New Roman"/>
                <w:b/>
                <w:sz w:val="16"/>
              </w:rPr>
              <w:t>Questionnaire codes</w:t>
            </w:r>
          </w:p>
        </w:tc>
      </w:tr>
      <w:tr>
        <w:trPr>
          <w:cantSplit/>
        </w:trPr>
        <w:tc>
          <w:tcPr>
            <w:tcW w:type="dxa" w:w="2232"/>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6"/>
              </w:rPr>
              <w:t>Perceived Ease of Use</w:t>
            </w:r>
          </w:p>
        </w:tc>
        <w:tc>
          <w:tcPr>
            <w:tcW w:type="dxa" w:w="2232"/>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6"/>
              </w:rPr>
              <w:t>Perceived Ease of Use</w:t>
            </w:r>
          </w:p>
        </w:tc>
        <w:tc>
          <w:tcPr>
            <w:tcW w:type="dxa" w:w="3024"/>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6"/>
              </w:rPr>
              <w:t>Steenkamp et al. (2024), Figure 1</w:t>
            </w:r>
          </w:p>
        </w:tc>
        <w:tc>
          <w:tcPr>
            <w:tcW w:type="dxa" w:w="1440"/>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6"/>
              </w:rPr>
              <w:t>PEOU1-PEOU4</w:t>
            </w:r>
          </w:p>
        </w:tc>
      </w:tr>
      <w:tr>
        <w:trPr>
          <w:cantSplit/>
        </w:trPr>
        <w:tc>
          <w:tcPr>
            <w:tcW w:type="dxa" w:w="2232"/>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6"/>
              </w:rPr>
              <w:t>Job Application Relevance</w:t>
            </w:r>
          </w:p>
        </w:tc>
        <w:tc>
          <w:tcPr>
            <w:tcW w:type="dxa" w:w="2232"/>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6"/>
              </w:rPr>
              <w:t>Job Application Relevance</w:t>
            </w:r>
          </w:p>
        </w:tc>
        <w:tc>
          <w:tcPr>
            <w:tcW w:type="dxa" w:w="3024"/>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6"/>
              </w:rPr>
              <w:t>Steenkamp et al. (2024), Figure 1</w:t>
            </w:r>
          </w:p>
        </w:tc>
        <w:tc>
          <w:tcPr>
            <w:tcW w:type="dxa" w:w="1440"/>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6"/>
              </w:rPr>
              <w:t>REL1-REL3</w:t>
            </w:r>
          </w:p>
        </w:tc>
      </w:tr>
      <w:tr>
        <w:trPr>
          <w:cantSplit/>
        </w:trPr>
        <w:tc>
          <w:tcPr>
            <w:tcW w:type="dxa" w:w="2232"/>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6"/>
              </w:rPr>
              <w:t>Perceived Usefulness</w:t>
            </w:r>
          </w:p>
        </w:tc>
        <w:tc>
          <w:tcPr>
            <w:tcW w:type="dxa" w:w="2232"/>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6"/>
              </w:rPr>
              <w:t>Perceived Usefulness</w:t>
            </w:r>
          </w:p>
        </w:tc>
        <w:tc>
          <w:tcPr>
            <w:tcW w:type="dxa" w:w="3024"/>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6"/>
              </w:rPr>
              <w:t>Steenkamp et al. (2024), Figure 1</w:t>
            </w:r>
          </w:p>
        </w:tc>
        <w:tc>
          <w:tcPr>
            <w:tcW w:type="dxa" w:w="1440"/>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6"/>
              </w:rPr>
              <w:t>PU1-PU4</w:t>
            </w:r>
          </w:p>
        </w:tc>
      </w:tr>
      <w:tr>
        <w:trPr>
          <w:cantSplit/>
        </w:trPr>
        <w:tc>
          <w:tcPr>
            <w:tcW w:type="dxa" w:w="2232"/>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6"/>
              </w:rPr>
              <w:t>Subjective Norm</w:t>
            </w:r>
          </w:p>
        </w:tc>
        <w:tc>
          <w:tcPr>
            <w:tcW w:type="dxa" w:w="2232"/>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6"/>
              </w:rPr>
              <w:t>Subjective Norm</w:t>
            </w:r>
          </w:p>
        </w:tc>
        <w:tc>
          <w:tcPr>
            <w:tcW w:type="dxa" w:w="3024"/>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6"/>
              </w:rPr>
              <w:t>Steenkamp et al. (2024), Figure 1</w:t>
            </w:r>
          </w:p>
        </w:tc>
        <w:tc>
          <w:tcPr>
            <w:tcW w:type="dxa" w:w="1440"/>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6"/>
              </w:rPr>
              <w:t>SN1-SN4</w:t>
            </w:r>
          </w:p>
        </w:tc>
      </w:tr>
      <w:tr>
        <w:trPr>
          <w:cantSplit/>
        </w:trPr>
        <w:tc>
          <w:tcPr>
            <w:tcW w:type="dxa" w:w="2232"/>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6"/>
              </w:rPr>
              <w:t>Behavioural Intention to Use DB</w:t>
            </w:r>
          </w:p>
        </w:tc>
        <w:tc>
          <w:tcPr>
            <w:tcW w:type="dxa" w:w="2232"/>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6"/>
              </w:rPr>
              <w:t>Behavioural Intention to Use DB</w:t>
            </w:r>
          </w:p>
        </w:tc>
        <w:tc>
          <w:tcPr>
            <w:tcW w:type="dxa" w:w="3024"/>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6"/>
              </w:rPr>
              <w:t>Steenkamp et al. (2024), Figure 1</w:t>
            </w:r>
          </w:p>
        </w:tc>
        <w:tc>
          <w:tcPr>
            <w:tcW w:type="dxa" w:w="1440"/>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6"/>
              </w:rPr>
              <w:t>BI1-BI3</w:t>
            </w:r>
          </w:p>
        </w:tc>
      </w:tr>
    </w:tbl>
    <w:p>
      <w:pPr>
        <w:spacing w:after="0"/>
      </w:pPr>
    </w:p>
    <w:p>
      <w:pPr>
        <w:pStyle w:val="Heading1"/>
      </w:pPr>
      <w:r>
        <w:t>5. Published Questionnaire Evidence</w:t>
      </w:r>
    </w:p>
    <w:p>
      <w:r>
        <w:t>Steenkamp et al. (2024, Appendix, pp. 28-29) printed all construct codes, questionnaire statements, prior measurement sources, and the seven-point agreement scale. The two images below are direct crops of those Appendix pages.</w:t>
      </w:r>
    </w:p>
    <w:p>
      <w:pPr>
        <w:jc w:val="center"/>
      </w:pPr>
      <w:r>
        <w:drawing>
          <wp:inline xmlns:a="http://schemas.openxmlformats.org/drawingml/2006/main" xmlns:pic="http://schemas.openxmlformats.org/drawingml/2006/picture">
            <wp:extent cx="4846320" cy="6693680"/>
            <wp:docPr id="5" name="Picture 5" title="Conceptual framework" descr="Direct crop of the first published Steenkamp questionnaire Appendix page, including construct codes, item statements, and adaptation sources."/>
            <wp:cNvGraphicFramePr>
              <a:graphicFrameLocks noChangeAspect="1"/>
            </wp:cNvGraphicFramePr>
            <a:graphic>
              <a:graphicData uri="http://schemas.openxmlformats.org/drawingml/2006/picture">
                <pic:pic>
                  <pic:nvPicPr>
                    <pic:cNvPr id="0" name="Published_Questionnaire_Steenkamp_Appendix_p28_Direct_Crop.png"/>
                    <pic:cNvPicPr/>
                  </pic:nvPicPr>
                  <pic:blipFill>
                    <a:blip r:embed="rId15"/>
                    <a:stretch>
                      <a:fillRect/>
                    </a:stretch>
                  </pic:blipFill>
                  <pic:spPr>
                    <a:xfrm>
                      <a:off x="0" y="0"/>
                      <a:ext cx="4846320" cy="6693680"/>
                    </a:xfrm>
                    <a:prstGeom prst="rect"/>
                  </pic:spPr>
                </pic:pic>
              </a:graphicData>
            </a:graphic>
          </wp:inline>
        </w:drawing>
      </w:r>
    </w:p>
    <w:p>
      <w:pPr>
        <w:spacing w:line="240" w:lineRule="auto" w:after="120"/>
        <w:jc w:val="center"/>
      </w:pPr>
      <w:r>
        <w:rPr>
          <w:sz w:val="20"/>
        </w:rPr>
        <w:t>Figure 5.1: Published questionnaire Appendix, first page</w:t>
      </w:r>
    </w:p>
    <w:p>
      <w:pPr>
        <w:spacing w:line="240" w:lineRule="auto" w:after="100"/>
      </w:pPr>
      <w:r>
        <w:rPr>
          <w:i/>
          <w:color w:val="595959"/>
          <w:sz w:val="19"/>
        </w:rPr>
        <w:t>Source: Steenkamp et al. (2024, Appendix, p. 28).</w:t>
      </w:r>
    </w:p>
    <w:p>
      <w:r>
        <w:br w:type="page"/>
      </w:r>
    </w:p>
    <w:p>
      <w:pPr>
        <w:jc w:val="center"/>
      </w:pPr>
      <w:r>
        <w:drawing>
          <wp:inline xmlns:a="http://schemas.openxmlformats.org/drawingml/2006/main" xmlns:pic="http://schemas.openxmlformats.org/drawingml/2006/picture">
            <wp:extent cx="5394960" cy="5448375"/>
            <wp:docPr id="6" name="Picture 6" title="Conceptual framework" descr="Direct crop of the second published Steenkamp questionnaire Appendix page, including job application relevance, behavioural intention, and the seven-point response scale."/>
            <wp:cNvGraphicFramePr>
              <a:graphicFrameLocks noChangeAspect="1"/>
            </wp:cNvGraphicFramePr>
            <a:graphic>
              <a:graphicData uri="http://schemas.openxmlformats.org/drawingml/2006/picture">
                <pic:pic>
                  <pic:nvPicPr>
                    <pic:cNvPr id="0" name="Published_Questionnaire_Steenkamp_Appendix_p29_Direct_Crop.png"/>
                    <pic:cNvPicPr/>
                  </pic:nvPicPr>
                  <pic:blipFill>
                    <a:blip r:embed="rId16"/>
                    <a:stretch>
                      <a:fillRect/>
                    </a:stretch>
                  </pic:blipFill>
                  <pic:spPr>
                    <a:xfrm>
                      <a:off x="0" y="0"/>
                      <a:ext cx="5394960" cy="5448375"/>
                    </a:xfrm>
                    <a:prstGeom prst="rect"/>
                  </pic:spPr>
                </pic:pic>
              </a:graphicData>
            </a:graphic>
          </wp:inline>
        </w:drawing>
      </w:r>
    </w:p>
    <w:p>
      <w:pPr>
        <w:spacing w:line="240" w:lineRule="auto" w:after="120"/>
        <w:jc w:val="center"/>
      </w:pPr>
      <w:r>
        <w:rPr>
          <w:sz w:val="20"/>
        </w:rPr>
        <w:t>Figure 5.2: Published questionnaire Appendix, second page</w:t>
      </w:r>
    </w:p>
    <w:p>
      <w:pPr>
        <w:spacing w:line="240" w:lineRule="auto" w:after="100"/>
      </w:pPr>
      <w:r>
        <w:rPr>
          <w:i/>
          <w:color w:val="595959"/>
          <w:sz w:val="19"/>
        </w:rPr>
        <w:t>Source: Steenkamp et al. (2024, Appendix, p. 29).</w:t>
      </w:r>
    </w:p>
    <w:p>
      <w:pPr>
        <w:keepNext/>
        <w:spacing w:before="120" w:after="80"/>
        <w:ind w:firstLine="0"/>
      </w:pPr>
      <w:r>
        <w:rPr>
          <w:b/>
          <w:sz w:val="21"/>
        </w:rPr>
        <w:t>Table 5.1: Eighteen-item provenance matrix</w:t>
      </w:r>
    </w:p>
    <w:tbl>
      <w:tblPr>
        <w:tblStyle w:val="TableGrid"/>
        <w:tblW w:type="dxa" w:w="8928"/>
        <w:tblLayout w:type="fixed"/>
        <w:tblLook w:firstColumn="1" w:firstRow="1" w:lastColumn="0" w:lastRow="0" w:noHBand="0" w:noVBand="1" w:val="04A0"/>
        <w:jc w:val="left"/>
        <w:tblInd w:w="120" w:type="dxa"/>
      </w:tblPr>
      <w:tblGrid>
        <w:gridCol w:w="792"/>
        <w:gridCol w:w="1944"/>
        <w:gridCol w:w="4032"/>
        <w:gridCol w:w="2160"/>
      </w:tblGrid>
      <w:tr>
        <w:trPr>
          <w:tblHeader w:val="true"/>
          <w:cantSplit/>
        </w:trPr>
        <w:tc>
          <w:tcPr>
            <w:tcW w:type="dxa" w:w="792"/>
            <w:vAlign w:val="center"/>
            <w:tcMar>
              <w:top w:w="70" w:type="dxa"/>
              <w:start w:w="80" w:type="dxa"/>
              <w:bottom w:w="70" w:type="dxa"/>
              <w:end w:w="80" w:type="dxa"/>
            </w:tcMar>
            <w:shd w:fill="D9E2F3"/>
          </w:tcPr>
          <w:p>
            <w:pPr>
              <w:spacing w:line="240" w:lineRule="auto" w:after="0"/>
              <w:ind w:firstLine="0" w:left="0" w:right="0"/>
              <w:jc w:val="center"/>
            </w:pPr>
            <w:r>
              <w:rPr>
                <w:rFonts w:ascii="Times New Roman" w:hAnsi="Times New Roman" w:eastAsia="Times New Roman"/>
                <w:b/>
                <w:sz w:val="14"/>
              </w:rPr>
              <w:t>Code</w:t>
            </w:r>
          </w:p>
        </w:tc>
        <w:tc>
          <w:tcPr>
            <w:tcW w:type="dxa" w:w="1944"/>
            <w:vAlign w:val="center"/>
            <w:tcMar>
              <w:top w:w="70" w:type="dxa"/>
              <w:start w:w="80" w:type="dxa"/>
              <w:bottom w:w="70" w:type="dxa"/>
              <w:end w:w="80" w:type="dxa"/>
            </w:tcMar>
            <w:shd w:fill="D9E2F3"/>
          </w:tcPr>
          <w:p>
            <w:pPr>
              <w:spacing w:line="240" w:lineRule="auto" w:after="0"/>
              <w:ind w:firstLine="0" w:left="0" w:right="0"/>
              <w:jc w:val="center"/>
            </w:pPr>
            <w:r>
              <w:rPr>
                <w:rFonts w:ascii="Times New Roman" w:hAnsi="Times New Roman" w:eastAsia="Times New Roman"/>
                <w:b/>
                <w:sz w:val="14"/>
              </w:rPr>
              <w:t>Exact construct</w:t>
            </w:r>
          </w:p>
        </w:tc>
        <w:tc>
          <w:tcPr>
            <w:tcW w:type="dxa" w:w="4032"/>
            <w:vAlign w:val="center"/>
            <w:tcMar>
              <w:top w:w="70" w:type="dxa"/>
              <w:start w:w="80" w:type="dxa"/>
              <w:bottom w:w="70" w:type="dxa"/>
              <w:end w:w="80" w:type="dxa"/>
            </w:tcMar>
            <w:shd w:fill="D9E2F3"/>
          </w:tcPr>
          <w:p>
            <w:pPr>
              <w:spacing w:line="240" w:lineRule="auto" w:after="0"/>
              <w:ind w:firstLine="0" w:left="0" w:right="0"/>
              <w:jc w:val="center"/>
            </w:pPr>
            <w:r>
              <w:rPr>
                <w:rFonts w:ascii="Times New Roman" w:hAnsi="Times New Roman" w:eastAsia="Times New Roman"/>
                <w:b/>
                <w:sz w:val="14"/>
              </w:rPr>
              <w:t>Published wording</w:t>
            </w:r>
          </w:p>
        </w:tc>
        <w:tc>
          <w:tcPr>
            <w:tcW w:type="dxa" w:w="2160"/>
            <w:vAlign w:val="center"/>
            <w:tcMar>
              <w:top w:w="70" w:type="dxa"/>
              <w:start w:w="80" w:type="dxa"/>
              <w:bottom w:w="70" w:type="dxa"/>
              <w:end w:w="80" w:type="dxa"/>
            </w:tcMar>
            <w:shd w:fill="D9E2F3"/>
          </w:tcPr>
          <w:p>
            <w:pPr>
              <w:spacing w:line="240" w:lineRule="auto" w:after="0"/>
              <w:ind w:firstLine="0" w:left="0" w:right="0"/>
              <w:jc w:val="center"/>
            </w:pPr>
            <w:r>
              <w:rPr>
                <w:rFonts w:ascii="Times New Roman" w:hAnsi="Times New Roman" w:eastAsia="Times New Roman"/>
                <w:b/>
                <w:sz w:val="14"/>
              </w:rPr>
              <w:t>Field wording/status</w:t>
            </w:r>
          </w:p>
        </w:tc>
      </w:tr>
      <w:tr>
        <w:trPr>
          <w:cantSplit/>
        </w:trPr>
        <w:tc>
          <w:tcPr>
            <w:tcW w:type="dxa" w:w="792"/>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4"/>
              </w:rPr>
              <w:t>PU1</w:t>
            </w:r>
          </w:p>
        </w:tc>
        <w:tc>
          <w:tcPr>
            <w:tcW w:type="dxa" w:w="1944"/>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4"/>
              </w:rPr>
              <w:t>Perceived Usefulness</w:t>
            </w:r>
          </w:p>
        </w:tc>
        <w:tc>
          <w:tcPr>
            <w:tcW w:type="dxa" w:w="4032"/>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4"/>
              </w:rPr>
              <w:t>Using university-issued digital badges would increase my employability when I apply for jobs.</w:t>
            </w:r>
          </w:p>
        </w:tc>
        <w:tc>
          <w:tcPr>
            <w:tcW w:type="dxa" w:w="2160"/>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4"/>
              </w:rPr>
              <w:t>Exact wording</w:t>
            </w:r>
          </w:p>
        </w:tc>
      </w:tr>
      <w:tr>
        <w:trPr>
          <w:cantSplit/>
        </w:trPr>
        <w:tc>
          <w:tcPr>
            <w:tcW w:type="dxa" w:w="792"/>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4"/>
              </w:rPr>
              <w:t>PU2</w:t>
            </w:r>
          </w:p>
        </w:tc>
        <w:tc>
          <w:tcPr>
            <w:tcW w:type="dxa" w:w="1944"/>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4"/>
              </w:rPr>
              <w:t>Perceived Usefulness</w:t>
            </w:r>
          </w:p>
        </w:tc>
        <w:tc>
          <w:tcPr>
            <w:tcW w:type="dxa" w:w="4032"/>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4"/>
              </w:rPr>
              <w:t>Using university-issued digital badges would increase the quality of my job applications.</w:t>
            </w:r>
          </w:p>
        </w:tc>
        <w:tc>
          <w:tcPr>
            <w:tcW w:type="dxa" w:w="2160"/>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4"/>
              </w:rPr>
              <w:t>Exact wording</w:t>
            </w:r>
          </w:p>
        </w:tc>
      </w:tr>
      <w:tr>
        <w:trPr>
          <w:cantSplit/>
        </w:trPr>
        <w:tc>
          <w:tcPr>
            <w:tcW w:type="dxa" w:w="792"/>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4"/>
              </w:rPr>
              <w:t>PU3</w:t>
            </w:r>
          </w:p>
        </w:tc>
        <w:tc>
          <w:tcPr>
            <w:tcW w:type="dxa" w:w="1944"/>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4"/>
              </w:rPr>
              <w:t>Perceived Usefulness</w:t>
            </w:r>
          </w:p>
        </w:tc>
        <w:tc>
          <w:tcPr>
            <w:tcW w:type="dxa" w:w="4032"/>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4"/>
              </w:rPr>
              <w:t>Using university-issued digital badges would enhance my effectiveness when I apply for jobs.</w:t>
            </w:r>
          </w:p>
        </w:tc>
        <w:tc>
          <w:tcPr>
            <w:tcW w:type="dxa" w:w="2160"/>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4"/>
              </w:rPr>
              <w:t>Exact wording</w:t>
            </w:r>
          </w:p>
        </w:tc>
      </w:tr>
      <w:tr>
        <w:trPr>
          <w:cantSplit/>
        </w:trPr>
        <w:tc>
          <w:tcPr>
            <w:tcW w:type="dxa" w:w="792"/>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4"/>
              </w:rPr>
              <w:t>PU4</w:t>
            </w:r>
          </w:p>
        </w:tc>
        <w:tc>
          <w:tcPr>
            <w:tcW w:type="dxa" w:w="1944"/>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4"/>
              </w:rPr>
              <w:t>Perceived Usefulness</w:t>
            </w:r>
          </w:p>
        </w:tc>
        <w:tc>
          <w:tcPr>
            <w:tcW w:type="dxa" w:w="4032"/>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4"/>
              </w:rPr>
              <w:t>I would find using university-issued digital badges useful when applying for jobs.</w:t>
            </w:r>
          </w:p>
        </w:tc>
        <w:tc>
          <w:tcPr>
            <w:tcW w:type="dxa" w:w="2160"/>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4"/>
              </w:rPr>
              <w:t>Exact wording</w:t>
            </w:r>
          </w:p>
        </w:tc>
      </w:tr>
      <w:tr>
        <w:trPr>
          <w:cantSplit/>
        </w:trPr>
        <w:tc>
          <w:tcPr>
            <w:tcW w:type="dxa" w:w="792"/>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4"/>
              </w:rPr>
              <w:t>PEOU1</w:t>
            </w:r>
          </w:p>
        </w:tc>
        <w:tc>
          <w:tcPr>
            <w:tcW w:type="dxa" w:w="1944"/>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4"/>
              </w:rPr>
              <w:t>Perceived Ease of Use</w:t>
            </w:r>
          </w:p>
        </w:tc>
        <w:tc>
          <w:tcPr>
            <w:tcW w:type="dxa" w:w="4032"/>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4"/>
              </w:rPr>
              <w:t>If I were to obtain university-issued digital badges, my interaction with them would be clear and understandable.</w:t>
            </w:r>
          </w:p>
        </w:tc>
        <w:tc>
          <w:tcPr>
            <w:tcW w:type="dxa" w:w="2160"/>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4"/>
              </w:rPr>
              <w:t>Exact wording</w:t>
            </w:r>
          </w:p>
        </w:tc>
      </w:tr>
      <w:tr>
        <w:trPr>
          <w:cantSplit/>
        </w:trPr>
        <w:tc>
          <w:tcPr>
            <w:tcW w:type="dxa" w:w="792"/>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4"/>
              </w:rPr>
              <w:t>PEOU2</w:t>
            </w:r>
          </w:p>
        </w:tc>
        <w:tc>
          <w:tcPr>
            <w:tcW w:type="dxa" w:w="1944"/>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4"/>
              </w:rPr>
              <w:t>Perceived Ease of Use</w:t>
            </w:r>
          </w:p>
        </w:tc>
        <w:tc>
          <w:tcPr>
            <w:tcW w:type="dxa" w:w="4032"/>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4"/>
              </w:rPr>
              <w:t>If I were to obtain university-issued digital badges, interacting with them would not require a lot of my mental effort.</w:t>
            </w:r>
          </w:p>
        </w:tc>
        <w:tc>
          <w:tcPr>
            <w:tcW w:type="dxa" w:w="2160"/>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4"/>
              </w:rPr>
              <w:t>Exact wording</w:t>
            </w:r>
          </w:p>
        </w:tc>
      </w:tr>
      <w:tr>
        <w:trPr>
          <w:cantSplit/>
        </w:trPr>
        <w:tc>
          <w:tcPr>
            <w:tcW w:type="dxa" w:w="792"/>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4"/>
              </w:rPr>
              <w:t>PEOU3</w:t>
            </w:r>
          </w:p>
        </w:tc>
        <w:tc>
          <w:tcPr>
            <w:tcW w:type="dxa" w:w="1944"/>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4"/>
              </w:rPr>
              <w:t>Perceived Ease of Use</w:t>
            </w:r>
          </w:p>
        </w:tc>
        <w:tc>
          <w:tcPr>
            <w:tcW w:type="dxa" w:w="4032"/>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4"/>
              </w:rPr>
              <w:t>If I were to obtain university-issued digital badges, I would find them easy to use.</w:t>
            </w:r>
          </w:p>
        </w:tc>
        <w:tc>
          <w:tcPr>
            <w:tcW w:type="dxa" w:w="2160"/>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4"/>
              </w:rPr>
              <w:t>Exact wording</w:t>
            </w:r>
          </w:p>
        </w:tc>
      </w:tr>
      <w:tr>
        <w:trPr>
          <w:cantSplit/>
        </w:trPr>
        <w:tc>
          <w:tcPr>
            <w:tcW w:type="dxa" w:w="792"/>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4"/>
              </w:rPr>
              <w:t>PEOU4</w:t>
            </w:r>
          </w:p>
        </w:tc>
        <w:tc>
          <w:tcPr>
            <w:tcW w:type="dxa" w:w="1944"/>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4"/>
              </w:rPr>
              <w:t>Perceived Ease of Use</w:t>
            </w:r>
          </w:p>
        </w:tc>
        <w:tc>
          <w:tcPr>
            <w:tcW w:type="dxa" w:w="4032"/>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4"/>
              </w:rPr>
              <w:t>If I were to obtain university-issued digital badges, I would find it easy to get them to do what I want them to do.</w:t>
            </w:r>
          </w:p>
        </w:tc>
        <w:tc>
          <w:tcPr>
            <w:tcW w:type="dxa" w:w="2160"/>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4"/>
              </w:rPr>
              <w:t>Exact wording</w:t>
            </w:r>
          </w:p>
        </w:tc>
      </w:tr>
      <w:tr>
        <w:trPr>
          <w:cantSplit/>
        </w:trPr>
        <w:tc>
          <w:tcPr>
            <w:tcW w:type="dxa" w:w="792"/>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4"/>
              </w:rPr>
              <w:t>SN1</w:t>
            </w:r>
          </w:p>
        </w:tc>
        <w:tc>
          <w:tcPr>
            <w:tcW w:type="dxa" w:w="1944"/>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4"/>
              </w:rPr>
              <w:t>Subjective Norm</w:t>
            </w:r>
          </w:p>
        </w:tc>
        <w:tc>
          <w:tcPr>
            <w:tcW w:type="dxa" w:w="4032"/>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4"/>
              </w:rPr>
              <w:t>People who influence my behaviour think that I should use university-issued digital badges when applying for jobs.</w:t>
            </w:r>
          </w:p>
        </w:tc>
        <w:tc>
          <w:tcPr>
            <w:tcW w:type="dxa" w:w="2160"/>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4"/>
              </w:rPr>
              <w:t>Exact wording</w:t>
            </w:r>
          </w:p>
        </w:tc>
      </w:tr>
      <w:tr>
        <w:trPr>
          <w:cantSplit/>
        </w:trPr>
        <w:tc>
          <w:tcPr>
            <w:tcW w:type="dxa" w:w="792"/>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4"/>
              </w:rPr>
              <w:t>SN2</w:t>
            </w:r>
          </w:p>
        </w:tc>
        <w:tc>
          <w:tcPr>
            <w:tcW w:type="dxa" w:w="1944"/>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4"/>
              </w:rPr>
              <w:t>Subjective Norm</w:t>
            </w:r>
          </w:p>
        </w:tc>
        <w:tc>
          <w:tcPr>
            <w:tcW w:type="dxa" w:w="4032"/>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4"/>
              </w:rPr>
              <w:t>People who are important to me think that I should use university-issued digital badges when applying for jobs.</w:t>
            </w:r>
          </w:p>
        </w:tc>
        <w:tc>
          <w:tcPr>
            <w:tcW w:type="dxa" w:w="2160"/>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4"/>
              </w:rPr>
              <w:t>Exact wording</w:t>
            </w:r>
          </w:p>
        </w:tc>
      </w:tr>
      <w:tr>
        <w:trPr>
          <w:cantSplit/>
        </w:trPr>
        <w:tc>
          <w:tcPr>
            <w:tcW w:type="dxa" w:w="792"/>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4"/>
              </w:rPr>
              <w:t>SN3</w:t>
            </w:r>
          </w:p>
        </w:tc>
        <w:tc>
          <w:tcPr>
            <w:tcW w:type="dxa" w:w="1944"/>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4"/>
              </w:rPr>
              <w:t>Subjective Norm</w:t>
            </w:r>
          </w:p>
        </w:tc>
        <w:tc>
          <w:tcPr>
            <w:tcW w:type="dxa" w:w="4032"/>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4"/>
              </w:rPr>
              <w:t>My university would be helpful in using university-issued digital badges for job applications.</w:t>
            </w:r>
          </w:p>
        </w:tc>
        <w:tc>
          <w:tcPr>
            <w:tcW w:type="dxa" w:w="2160"/>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4"/>
              </w:rPr>
              <w:t>Exact wording</w:t>
            </w:r>
          </w:p>
        </w:tc>
      </w:tr>
      <w:tr>
        <w:trPr>
          <w:cantSplit/>
        </w:trPr>
        <w:tc>
          <w:tcPr>
            <w:tcW w:type="dxa" w:w="792"/>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4"/>
              </w:rPr>
              <w:t>SN4</w:t>
            </w:r>
          </w:p>
        </w:tc>
        <w:tc>
          <w:tcPr>
            <w:tcW w:type="dxa" w:w="1944"/>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4"/>
              </w:rPr>
              <w:t>Subjective Norm</w:t>
            </w:r>
          </w:p>
        </w:tc>
        <w:tc>
          <w:tcPr>
            <w:tcW w:type="dxa" w:w="4032"/>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4"/>
              </w:rPr>
              <w:t>In general, my university would support the use of university-issued digital badges for job applications.</w:t>
            </w:r>
          </w:p>
        </w:tc>
        <w:tc>
          <w:tcPr>
            <w:tcW w:type="dxa" w:w="2160"/>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4"/>
              </w:rPr>
              <w:t>Exact wording</w:t>
            </w:r>
          </w:p>
        </w:tc>
      </w:tr>
      <w:tr>
        <w:trPr>
          <w:cantSplit/>
        </w:trPr>
        <w:tc>
          <w:tcPr>
            <w:tcW w:type="dxa" w:w="792"/>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4"/>
              </w:rPr>
              <w:t>REL1</w:t>
            </w:r>
          </w:p>
        </w:tc>
        <w:tc>
          <w:tcPr>
            <w:tcW w:type="dxa" w:w="1944"/>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4"/>
              </w:rPr>
              <w:t>Job Application Relevance</w:t>
            </w:r>
          </w:p>
        </w:tc>
        <w:tc>
          <w:tcPr>
            <w:tcW w:type="dxa" w:w="4032"/>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4"/>
              </w:rPr>
              <w:t>When job searching, usage of university-issued digital badges is important.</w:t>
            </w:r>
          </w:p>
        </w:tc>
        <w:tc>
          <w:tcPr>
            <w:tcW w:type="dxa" w:w="2160"/>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4"/>
              </w:rPr>
              <w:t>Exact wording</w:t>
            </w:r>
          </w:p>
        </w:tc>
      </w:tr>
      <w:tr>
        <w:trPr>
          <w:cantSplit/>
        </w:trPr>
        <w:tc>
          <w:tcPr>
            <w:tcW w:type="dxa" w:w="792"/>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4"/>
              </w:rPr>
              <w:t>REL2</w:t>
            </w:r>
          </w:p>
        </w:tc>
        <w:tc>
          <w:tcPr>
            <w:tcW w:type="dxa" w:w="1944"/>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4"/>
              </w:rPr>
              <w:t>Job Application Relevance</w:t>
            </w:r>
          </w:p>
        </w:tc>
        <w:tc>
          <w:tcPr>
            <w:tcW w:type="dxa" w:w="4032"/>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4"/>
              </w:rPr>
              <w:t>When job searching, usage of university-issued digital badges is relevant.</w:t>
            </w:r>
          </w:p>
        </w:tc>
        <w:tc>
          <w:tcPr>
            <w:tcW w:type="dxa" w:w="2160"/>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4"/>
              </w:rPr>
              <w:t>Exact wording</w:t>
            </w:r>
          </w:p>
        </w:tc>
      </w:tr>
      <w:tr>
        <w:trPr>
          <w:cantSplit/>
        </w:trPr>
        <w:tc>
          <w:tcPr>
            <w:tcW w:type="dxa" w:w="792"/>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4"/>
              </w:rPr>
              <w:t>REL3</w:t>
            </w:r>
          </w:p>
        </w:tc>
        <w:tc>
          <w:tcPr>
            <w:tcW w:type="dxa" w:w="1944"/>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4"/>
              </w:rPr>
              <w:t>Job Application Relevance</w:t>
            </w:r>
          </w:p>
        </w:tc>
        <w:tc>
          <w:tcPr>
            <w:tcW w:type="dxa" w:w="4032"/>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4"/>
              </w:rPr>
              <w:t>The use of university-issued digital badges is pertinent to my job searching activities.</w:t>
            </w:r>
          </w:p>
        </w:tc>
        <w:tc>
          <w:tcPr>
            <w:tcW w:type="dxa" w:w="2160"/>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4"/>
              </w:rPr>
              <w:t>Exact wording</w:t>
            </w:r>
          </w:p>
        </w:tc>
      </w:tr>
      <w:tr>
        <w:trPr>
          <w:cantSplit/>
        </w:trPr>
        <w:tc>
          <w:tcPr>
            <w:tcW w:type="dxa" w:w="792"/>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4"/>
              </w:rPr>
              <w:t>BI1</w:t>
            </w:r>
          </w:p>
        </w:tc>
        <w:tc>
          <w:tcPr>
            <w:tcW w:type="dxa" w:w="1944"/>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4"/>
              </w:rPr>
              <w:t>Behavioral Intention</w:t>
            </w:r>
          </w:p>
        </w:tc>
        <w:tc>
          <w:tcPr>
            <w:tcW w:type="dxa" w:w="4032"/>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4"/>
              </w:rPr>
              <w:t>Assuming I had access to university-issued digital badges I intend to use them when I apply for jobs.</w:t>
            </w:r>
          </w:p>
        </w:tc>
        <w:tc>
          <w:tcPr>
            <w:tcW w:type="dxa" w:w="2160"/>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4"/>
              </w:rPr>
              <w:t>Exact wording</w:t>
            </w:r>
          </w:p>
        </w:tc>
      </w:tr>
      <w:tr>
        <w:trPr>
          <w:cantSplit/>
        </w:trPr>
        <w:tc>
          <w:tcPr>
            <w:tcW w:type="dxa" w:w="792"/>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4"/>
              </w:rPr>
              <w:t>BI2</w:t>
            </w:r>
          </w:p>
        </w:tc>
        <w:tc>
          <w:tcPr>
            <w:tcW w:type="dxa" w:w="1944"/>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4"/>
              </w:rPr>
              <w:t>Behavioral Intention</w:t>
            </w:r>
          </w:p>
        </w:tc>
        <w:tc>
          <w:tcPr>
            <w:tcW w:type="dxa" w:w="4032"/>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4"/>
              </w:rPr>
              <w:t>Given that I had access to university-issued digital badges, I predict that I would use them when I apply for jobs.</w:t>
            </w:r>
          </w:p>
        </w:tc>
        <w:tc>
          <w:tcPr>
            <w:tcW w:type="dxa" w:w="2160"/>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4"/>
              </w:rPr>
              <w:t>Exact wording</w:t>
            </w:r>
          </w:p>
        </w:tc>
      </w:tr>
      <w:tr>
        <w:trPr>
          <w:cantSplit/>
        </w:trPr>
        <w:tc>
          <w:tcPr>
            <w:tcW w:type="dxa" w:w="792"/>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4"/>
              </w:rPr>
              <w:t>BI3</w:t>
            </w:r>
          </w:p>
        </w:tc>
        <w:tc>
          <w:tcPr>
            <w:tcW w:type="dxa" w:w="1944"/>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4"/>
              </w:rPr>
              <w:t>Behavioral Intention</w:t>
            </w:r>
          </w:p>
        </w:tc>
        <w:tc>
          <w:tcPr>
            <w:tcW w:type="dxa" w:w="4032"/>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4"/>
              </w:rPr>
              <w:t>If I had access to university-issued digital badges, I would plan to use the when I apply for jobs in the next 12 months.</w:t>
            </w:r>
          </w:p>
        </w:tc>
        <w:tc>
          <w:tcPr>
            <w:tcW w:type="dxa" w:w="2160"/>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4"/>
              </w:rPr>
              <w:t>Typographical correction only: If I had access to university-issued digital badges, I would plan to use them when I apply for jobs in the next 12 months.</w:t>
            </w:r>
          </w:p>
        </w:tc>
      </w:tr>
    </w:tbl>
    <w:p>
      <w:pPr>
        <w:spacing w:after="0"/>
      </w:pPr>
    </w:p>
    <w:p>
      <w:pPr>
        <w:spacing w:line="240" w:lineRule="auto" w:after="100"/>
      </w:pPr>
      <w:r>
        <w:rPr>
          <w:i/>
          <w:color w:val="595959"/>
          <w:sz w:val="19"/>
        </w:rPr>
        <w:t>Response scale: 1 = Strongly disagree, 2 = Moderately disagree, 3 = Somewhat disagree, 4 = Neutral, 5 = Somewhat agree, 6 = Moderately agree, and 7 = Strongly agree.</w:t>
      </w:r>
    </w:p>
    <w:p>
      <w:pPr>
        <w:pStyle w:val="Heading1"/>
      </w:pPr>
      <w:r>
        <w:t>6. Requirement Check</w:t>
      </w:r>
    </w:p>
    <w:p>
      <w:pPr>
        <w:keepNext/>
        <w:spacing w:before="120" w:after="80"/>
        <w:ind w:firstLine="0"/>
      </w:pPr>
      <w:r>
        <w:rPr>
          <w:b/>
          <w:sz w:val="21"/>
        </w:rPr>
        <w:t>Table 6.1: Supervisor-requirement check</w:t>
      </w:r>
    </w:p>
    <w:tbl>
      <w:tblPr>
        <w:tblStyle w:val="TableGrid"/>
        <w:tblW w:type="dxa" w:w="8928"/>
        <w:tblLayout w:type="fixed"/>
        <w:tblLook w:firstColumn="1" w:firstRow="1" w:lastColumn="0" w:lastRow="0" w:noHBand="0" w:noVBand="1" w:val="04A0"/>
        <w:jc w:val="left"/>
        <w:tblInd w:w="120" w:type="dxa"/>
      </w:tblPr>
      <w:tblGrid>
        <w:gridCol w:w="2880"/>
        <w:gridCol w:w="3960"/>
        <w:gridCol w:w="2088"/>
      </w:tblGrid>
      <w:tr>
        <w:trPr>
          <w:tblHeader w:val="true"/>
          <w:cantSplit/>
        </w:trPr>
        <w:tc>
          <w:tcPr>
            <w:tcW w:type="dxa" w:w="2880"/>
            <w:vAlign w:val="center"/>
            <w:tcMar>
              <w:top w:w="70" w:type="dxa"/>
              <w:start w:w="80" w:type="dxa"/>
              <w:bottom w:w="70" w:type="dxa"/>
              <w:end w:w="80" w:type="dxa"/>
            </w:tcMar>
            <w:shd w:fill="D9E2F3"/>
          </w:tcPr>
          <w:p>
            <w:pPr>
              <w:spacing w:line="240" w:lineRule="auto" w:after="0"/>
              <w:ind w:firstLine="0" w:left="0" w:right="0"/>
              <w:jc w:val="center"/>
            </w:pPr>
            <w:r>
              <w:rPr>
                <w:rFonts w:ascii="Times New Roman" w:hAnsi="Times New Roman" w:eastAsia="Times New Roman"/>
                <w:b/>
                <w:sz w:val="16"/>
              </w:rPr>
              <w:t>Professor's requested component</w:t>
            </w:r>
          </w:p>
        </w:tc>
        <w:tc>
          <w:tcPr>
            <w:tcW w:type="dxa" w:w="3960"/>
            <w:vAlign w:val="center"/>
            <w:tcMar>
              <w:top w:w="70" w:type="dxa"/>
              <w:start w:w="80" w:type="dxa"/>
              <w:bottom w:w="70" w:type="dxa"/>
              <w:end w:w="80" w:type="dxa"/>
            </w:tcMar>
            <w:shd w:fill="D9E2F3"/>
          </w:tcPr>
          <w:p>
            <w:pPr>
              <w:spacing w:line="240" w:lineRule="auto" w:after="0"/>
              <w:ind w:firstLine="0" w:left="0" w:right="0"/>
              <w:jc w:val="center"/>
            </w:pPr>
            <w:r>
              <w:rPr>
                <w:rFonts w:ascii="Times New Roman" w:hAnsi="Times New Roman" w:eastAsia="Times New Roman"/>
                <w:b/>
                <w:sz w:val="16"/>
              </w:rPr>
              <w:t>Where it is provided</w:t>
            </w:r>
          </w:p>
        </w:tc>
        <w:tc>
          <w:tcPr>
            <w:tcW w:type="dxa" w:w="2088"/>
            <w:vAlign w:val="center"/>
            <w:tcMar>
              <w:top w:w="70" w:type="dxa"/>
              <w:start w:w="80" w:type="dxa"/>
              <w:bottom w:w="70" w:type="dxa"/>
              <w:end w:w="80" w:type="dxa"/>
            </w:tcMar>
            <w:shd w:fill="D9E2F3"/>
          </w:tcPr>
          <w:p>
            <w:pPr>
              <w:spacing w:line="240" w:lineRule="auto" w:after="0"/>
              <w:ind w:firstLine="0" w:left="0" w:right="0"/>
              <w:jc w:val="center"/>
            </w:pPr>
            <w:r>
              <w:rPr>
                <w:rFonts w:ascii="Times New Roman" w:hAnsi="Times New Roman" w:eastAsia="Times New Roman"/>
                <w:b/>
                <w:sz w:val="16"/>
              </w:rPr>
              <w:t>Status</w:t>
            </w:r>
          </w:p>
        </w:tc>
      </w:tr>
      <w:tr>
        <w:trPr>
          <w:cantSplit/>
        </w:trPr>
        <w:tc>
          <w:tcPr>
            <w:tcW w:type="dxa" w:w="2880"/>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6"/>
              </w:rPr>
              <w:t>Actual frameworks borrowed from previous studies</w:t>
            </w:r>
          </w:p>
        </w:tc>
        <w:tc>
          <w:tcPr>
            <w:tcW w:type="dxa" w:w="3960"/>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6"/>
              </w:rPr>
              <w:t>Figures 2.1-2.3 and thesis Section 3.1</w:t>
            </w:r>
          </w:p>
        </w:tc>
        <w:tc>
          <w:tcPr>
            <w:tcW w:type="dxa" w:w="2088"/>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6"/>
              </w:rPr>
              <w:t>Provided as published source images</w:t>
            </w:r>
          </w:p>
        </w:tc>
      </w:tr>
      <w:tr>
        <w:trPr>
          <w:cantSplit/>
        </w:trPr>
        <w:tc>
          <w:tcPr>
            <w:tcW w:type="dxa" w:w="2880"/>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6"/>
              </w:rPr>
              <w:t>Author's conceptual framework</w:t>
            </w:r>
          </w:p>
        </w:tc>
        <w:tc>
          <w:tcPr>
            <w:tcW w:type="dxa" w:w="3960"/>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6"/>
              </w:rPr>
              <w:t>Figure 3.1 and thesis Figure 3.4</w:t>
            </w:r>
          </w:p>
        </w:tc>
        <w:tc>
          <w:tcPr>
            <w:tcW w:type="dxa" w:w="2088"/>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6"/>
              </w:rPr>
              <w:t>Constructed from cited frameworks</w:t>
            </w:r>
          </w:p>
        </w:tc>
      </w:tr>
      <w:tr>
        <w:trPr>
          <w:cantSplit/>
        </w:trPr>
        <w:tc>
          <w:tcPr>
            <w:tcW w:type="dxa" w:w="2880"/>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6"/>
              </w:rPr>
              <w:t>Variables with exact names</w:t>
            </w:r>
          </w:p>
        </w:tc>
        <w:tc>
          <w:tcPr>
            <w:tcW w:type="dxa" w:w="3960"/>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6"/>
              </w:rPr>
              <w:t>Table 4.1 and thesis Table 3.1</w:t>
            </w:r>
          </w:p>
        </w:tc>
        <w:tc>
          <w:tcPr>
            <w:tcW w:type="dxa" w:w="2088"/>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6"/>
              </w:rPr>
              <w:t>All exact Steenkamp labels</w:t>
            </w:r>
          </w:p>
        </w:tc>
      </w:tr>
      <w:tr>
        <w:trPr>
          <w:cantSplit/>
        </w:trPr>
        <w:tc>
          <w:tcPr>
            <w:tcW w:type="dxa" w:w="2880"/>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6"/>
              </w:rPr>
              <w:t>Hypotheses supported by previous studies</w:t>
            </w:r>
          </w:p>
        </w:tc>
        <w:tc>
          <w:tcPr>
            <w:tcW w:type="dxa" w:w="3960"/>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6"/>
              </w:rPr>
              <w:t>Table 3.1 and thesis Sections 2.4 and 3.3</w:t>
            </w:r>
          </w:p>
        </w:tc>
        <w:tc>
          <w:tcPr>
            <w:tcW w:type="dxa" w:w="2088"/>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6"/>
              </w:rPr>
              <w:t>Four direct published paths</w:t>
            </w:r>
          </w:p>
        </w:tc>
      </w:tr>
      <w:tr>
        <w:trPr>
          <w:cantSplit/>
        </w:trPr>
        <w:tc>
          <w:tcPr>
            <w:tcW w:type="dxa" w:w="2880"/>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6"/>
              </w:rPr>
              <w:t>Borrowed questionnaire</w:t>
            </w:r>
          </w:p>
        </w:tc>
        <w:tc>
          <w:tcPr>
            <w:tcW w:type="dxa" w:w="3960"/>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6"/>
              </w:rPr>
              <w:t>Figures 5.1-5.2 and Table 5.1</w:t>
            </w:r>
          </w:p>
        </w:tc>
        <w:tc>
          <w:tcPr>
            <w:tcW w:type="dxa" w:w="2088"/>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6"/>
              </w:rPr>
              <w:t>All 18 items directly traceable</w:t>
            </w:r>
          </w:p>
        </w:tc>
      </w:tr>
      <w:tr>
        <w:trPr>
          <w:cantSplit/>
        </w:trPr>
        <w:tc>
          <w:tcPr>
            <w:tcW w:type="dxa" w:w="2880"/>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6"/>
              </w:rPr>
              <w:t>Operationalization</w:t>
            </w:r>
          </w:p>
        </w:tc>
        <w:tc>
          <w:tcPr>
            <w:tcW w:type="dxa" w:w="3960"/>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6"/>
              </w:rPr>
              <w:t>Thesis Table 3.2</w:t>
            </w:r>
          </w:p>
        </w:tc>
        <w:tc>
          <w:tcPr>
            <w:tcW w:type="dxa" w:w="2088"/>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6"/>
              </w:rPr>
              <w:t>Full definitions, item wording, scale, and source</w:t>
            </w:r>
          </w:p>
        </w:tc>
      </w:tr>
      <w:tr>
        <w:trPr>
          <w:cantSplit/>
        </w:trPr>
        <w:tc>
          <w:tcPr>
            <w:tcW w:type="dxa" w:w="2880"/>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6"/>
              </w:rPr>
              <w:t>Pilot</w:t>
            </w:r>
          </w:p>
        </w:tc>
        <w:tc>
          <w:tcPr>
            <w:tcW w:type="dxa" w:w="3960"/>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6"/>
              </w:rPr>
              <w:t>Thesis Section 4.4</w:t>
            </w:r>
          </w:p>
        </w:tc>
        <w:tc>
          <w:tcPr>
            <w:tcW w:type="dxa" w:w="2088"/>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6"/>
              </w:rPr>
              <w:t>Forty eligible pilot participants</w:t>
            </w:r>
          </w:p>
        </w:tc>
      </w:tr>
    </w:tbl>
    <w:p>
      <w:pPr>
        <w:spacing w:after="0"/>
      </w:pPr>
    </w:p>
    <w:p>
      <w:pPr>
        <w:pStyle w:val="Heading1"/>
      </w:pPr>
      <w:r>
        <w:t>7. References</w:t>
      </w:r>
    </w:p>
    <w:p>
      <w:pPr>
        <w:spacing w:line="240" w:lineRule="auto" w:after="40"/>
        <w:ind w:hanging="432" w:left="432"/>
        <w:jc w:val="left"/>
      </w:pPr>
      <w:r>
        <w:rPr>
          <w:sz w:val="18"/>
        </w:rPr>
        <w:t>Abdullah, F., and Ward, R. (2016). Developing a general extended technology acceptance model for e-learning (GETAMEL) by analysing commonly used external factors. Computers in Human Behavior, 56, 238-256. https://doi.org/10.1016/j.chb.2015.11.036</w:t>
      </w:r>
    </w:p>
    <w:p>
      <w:pPr>
        <w:spacing w:line="240" w:lineRule="auto" w:after="40"/>
        <w:ind w:hanging="432" w:left="432"/>
        <w:jc w:val="left"/>
      </w:pPr>
      <w:r>
        <w:rPr>
          <w:sz w:val="18"/>
        </w:rPr>
        <w:t>Abdullah, F., Ward, R., and Ahmed, E. (2016). Investigating the influence of the most commonly used external variables of TAM on students' perceived ease of use and perceived usefulness of e-portfolios. Computers in Human Behavior, 63, 75-90. https://doi.org/10.1016/j.chb.2016.05.014</w:t>
      </w:r>
    </w:p>
    <w:p>
      <w:pPr>
        <w:spacing w:line="240" w:lineRule="auto" w:after="40"/>
        <w:ind w:hanging="432" w:left="432"/>
        <w:jc w:val="left"/>
      </w:pPr>
      <w:r>
        <w:rPr>
          <w:sz w:val="18"/>
        </w:rPr>
        <w:t>Ajzen, I. (1991). The theory of planned behavior. Organizational Behavior and Human Decision Processes, 50(2), 179-211. https://doi.org/10.1016/0749-5978(91)90020-T</w:t>
      </w:r>
    </w:p>
    <w:p>
      <w:pPr>
        <w:spacing w:line="240" w:lineRule="auto" w:after="40"/>
        <w:ind w:hanging="432" w:left="432"/>
        <w:jc w:val="left"/>
      </w:pPr>
      <w:r>
        <w:rPr>
          <w:sz w:val="18"/>
        </w:rPr>
        <w:t>Brislin, R. W. (1970). Back-translation for cross-cultural research. Journal of Cross-Cultural Psychology, 1(3), 185-216. https://doi.org/10.1177/135910457000100301</w:t>
      </w:r>
    </w:p>
    <w:p>
      <w:pPr>
        <w:spacing w:line="240" w:lineRule="auto" w:after="40"/>
        <w:ind w:hanging="432" w:left="432"/>
        <w:jc w:val="left"/>
      </w:pPr>
      <w:r>
        <w:rPr>
          <w:sz w:val="18"/>
        </w:rPr>
        <w:t>Council of the European Union. (2022). Council Recommendation of 16 June 2022 on a European approach to micro-credentials for lifelong learning and employability (2022/C 243/02). Official Journal of the European Union, C 243, 10-25.</w:t>
      </w:r>
    </w:p>
    <w:p>
      <w:pPr>
        <w:spacing w:line="240" w:lineRule="auto" w:after="40"/>
        <w:ind w:hanging="432" w:left="432"/>
        <w:jc w:val="left"/>
      </w:pPr>
      <w:r>
        <w:rPr>
          <w:sz w:val="18"/>
        </w:rPr>
        <w:t>Davis, F. D. (1989). Perceived usefulness, perceived ease of use, and user acceptance of information technology. MIS Quarterly, 13(3), 319-340. https://doi.org/10.2307/249008</w:t>
      </w:r>
    </w:p>
    <w:p>
      <w:pPr>
        <w:spacing w:line="240" w:lineRule="auto" w:after="40"/>
        <w:ind w:hanging="432" w:left="432"/>
        <w:jc w:val="left"/>
      </w:pPr>
      <w:r>
        <w:rPr>
          <w:sz w:val="18"/>
        </w:rPr>
        <w:t>Fishbein, M., and Ajzen, I. (1975). Belief, attitude, intention and behavior: An introduction to theory and research. Addison-Wesley.</w:t>
      </w:r>
    </w:p>
    <w:p>
      <w:pPr>
        <w:spacing w:line="240" w:lineRule="auto" w:after="40"/>
        <w:ind w:hanging="432" w:left="432"/>
        <w:jc w:val="left"/>
      </w:pPr>
      <w:r>
        <w:rPr>
          <w:sz w:val="18"/>
        </w:rPr>
        <w:t>Granic, A., and Marangunic, N. (2019). Technology acceptance model in educational context: A systematic literature review. British Journal of Educational Technology, 50(5), 2572-2593. https://doi.org/10.1111/bjet.12864</w:t>
      </w:r>
    </w:p>
    <w:p>
      <w:pPr>
        <w:spacing w:line="240" w:lineRule="auto" w:after="40"/>
        <w:ind w:hanging="432" w:left="432"/>
        <w:jc w:val="left"/>
      </w:pPr>
      <w:r>
        <w:rPr>
          <w:sz w:val="18"/>
        </w:rPr>
        <w:t>Hair, J. F., Hult, G. T. M., Ringle, C. M., and Sarstedt, M. (2022). A primer on partial least squares structural equation modeling (PLS-SEM) (3rd ed.). Sage.</w:t>
      </w:r>
    </w:p>
    <w:p>
      <w:pPr>
        <w:spacing w:line="240" w:lineRule="auto" w:after="40"/>
        <w:ind w:hanging="432" w:left="432"/>
        <w:jc w:val="left"/>
      </w:pPr>
      <w:r>
        <w:rPr>
          <w:sz w:val="18"/>
        </w:rPr>
        <w:t>Hertzog, M. A. (2008). Considerations in determining sample size for pilot studies. Research in Nursing &amp; Health, 31(2), 180-191. https://doi.org/10.1002/nur.20247</w:t>
      </w:r>
    </w:p>
    <w:p>
      <w:pPr>
        <w:spacing w:line="240" w:lineRule="auto" w:after="40"/>
        <w:ind w:hanging="432" w:left="432"/>
        <w:jc w:val="left"/>
      </w:pPr>
      <w:r>
        <w:rPr>
          <w:sz w:val="18"/>
        </w:rPr>
        <w:t>Johanson, G. A., and Brooks, G. P. (2010). Initial scale development: Sample size for pilot studies. Educational and Psychological Measurement, 70(3), 394-400. https://doi.org/10.1177/0013164409355692</w:t>
      </w:r>
    </w:p>
    <w:p>
      <w:pPr>
        <w:spacing w:line="240" w:lineRule="auto" w:after="40"/>
        <w:ind w:hanging="432" w:left="432"/>
        <w:jc w:val="left"/>
      </w:pPr>
      <w:r>
        <w:rPr>
          <w:sz w:val="18"/>
        </w:rPr>
        <w:t>Kiiskila, P., Kukkonen, A., and Pirkkalainen, H. (2023). Are micro-credentials valuable for students? Perspective on verifiable digital credentials. SN Computer Science, 4, Article 366. https://doi.org/10.1007/s42979-023-01797-y</w:t>
      </w:r>
    </w:p>
    <w:p>
      <w:pPr>
        <w:spacing w:line="240" w:lineRule="auto" w:after="40"/>
        <w:ind w:hanging="432" w:left="432"/>
        <w:jc w:val="left"/>
      </w:pPr>
      <w:r>
        <w:rPr>
          <w:sz w:val="18"/>
        </w:rPr>
        <w:t>Krejcie, R. V., and Morgan, D. W. (1970). Determining sample size for research activities. Educational and Psychological Measurement, 30(3), 607-610. https://doi.org/10.1177/001316447003000308</w:t>
      </w:r>
    </w:p>
    <w:p>
      <w:pPr>
        <w:spacing w:line="240" w:lineRule="auto" w:after="40"/>
        <w:ind w:hanging="432" w:left="432"/>
        <w:jc w:val="left"/>
      </w:pPr>
      <w:r>
        <w:rPr>
          <w:sz w:val="18"/>
        </w:rPr>
        <w:t>Miao, M., Ahmed, M., Ahsan, N., and Qamar, B. (2024). Intention to use technology for micro-credential programs: Evidence from technology acceptance and self-determination model. International Journal of Educational Management, 38(4), 948-977. https://doi.org/10.1108/IJEM-02-2023-0066</w:t>
      </w:r>
    </w:p>
    <w:p>
      <w:pPr>
        <w:spacing w:line="240" w:lineRule="auto" w:after="40"/>
        <w:ind w:hanging="432" w:left="432"/>
        <w:jc w:val="left"/>
      </w:pPr>
      <w:r>
        <w:rPr>
          <w:sz w:val="18"/>
        </w:rPr>
        <w:t>Moore, G. C., and Benbasat, I. (1991). Development of an instrument to measure the perceptions of adopting an information technology innovation. Information Systems Research, 2(3), 192-222. https://doi.org/10.1287/isre.2.3.192</w:t>
      </w:r>
    </w:p>
    <w:p>
      <w:pPr>
        <w:spacing w:line="240" w:lineRule="auto" w:after="40"/>
        <w:ind w:hanging="432" w:left="432"/>
        <w:jc w:val="left"/>
      </w:pPr>
      <w:r>
        <w:rPr>
          <w:sz w:val="18"/>
        </w:rPr>
        <w:t>Schepers, J., and Wetzels, M. (2007). A meta-analysis of the technology acceptance model: Investigating subjective norm and moderation effects. Information &amp; Management, 44(1), 90-103. https://doi.org/10.1016/j.im.2006.10.007</w:t>
      </w:r>
    </w:p>
    <w:p>
      <w:pPr>
        <w:spacing w:line="240" w:lineRule="auto" w:after="40"/>
        <w:ind w:hanging="432" w:left="432"/>
        <w:jc w:val="left"/>
      </w:pPr>
      <w:r>
        <w:rPr>
          <w:sz w:val="18"/>
        </w:rPr>
        <w:t>Steenkamp, N., Fisher, R., and Nesbit, T. (2024). Understanding accounting students' intentions to use digital badges to showcase employability skills. Accounting Education, 33(6), 906-934. https://doi.org/10.1080/09639284.2023.2276200</w:t>
      </w:r>
    </w:p>
    <w:p>
      <w:pPr>
        <w:spacing w:line="240" w:lineRule="auto" w:after="40"/>
        <w:ind w:hanging="432" w:left="432"/>
        <w:jc w:val="left"/>
      </w:pPr>
      <w:r>
        <w:rPr>
          <w:sz w:val="18"/>
        </w:rPr>
        <w:t>Sykes, T. A., Venkatesh, V., and Johnson, J. L. (2014). Enterprise system implementation and employee job performance: Understanding the role of advice networks. MIS Quarterly, 38(1), 51-72. https://doi.org/10.25300/MISQ/2014/38.1.03</w:t>
      </w:r>
    </w:p>
    <w:p>
      <w:pPr>
        <w:spacing w:line="240" w:lineRule="auto" w:after="40"/>
        <w:ind w:hanging="432" w:left="432"/>
        <w:jc w:val="left"/>
      </w:pPr>
      <w:r>
        <w:rPr>
          <w:sz w:val="18"/>
        </w:rPr>
        <w:t>Taylor, S., and Todd, P. A. (1995). Understanding information technology usage: A test of competing models. Information Systems Research, 6(2), 144-176. https://doi.org/10.1287/isre.6.2.144</w:t>
      </w:r>
    </w:p>
    <w:p>
      <w:pPr>
        <w:spacing w:line="240" w:lineRule="auto" w:after="40"/>
        <w:ind w:hanging="432" w:left="432"/>
        <w:jc w:val="left"/>
      </w:pPr>
      <w:r>
        <w:rPr>
          <w:sz w:val="18"/>
        </w:rPr>
        <w:t>UNESCO. (2022). Towards a common definition of micro-credentials. UNESCO. https://unesdoc.unesco.org/ark:/48223/pf0000381668</w:t>
      </w:r>
    </w:p>
    <w:p>
      <w:pPr>
        <w:spacing w:line="240" w:lineRule="auto" w:after="40"/>
        <w:ind w:hanging="432" w:left="432"/>
        <w:jc w:val="left"/>
      </w:pPr>
      <w:r>
        <w:rPr>
          <w:sz w:val="18"/>
        </w:rPr>
        <w:t>Ursavas, O. F., Yalcin, Y., and Bakir, E. (2019). The effect of subjective norms on preservice and in-service teachers' behavioural intentions to use technology: A multigroup multimodel study. British Journal of Educational Technology, 50(5), 2501-2519. https://doi.org/10.1111/bjet.12834</w:t>
      </w:r>
    </w:p>
    <w:p>
      <w:pPr>
        <w:spacing w:line="240" w:lineRule="auto" w:after="40"/>
        <w:ind w:hanging="432" w:left="432"/>
        <w:jc w:val="left"/>
      </w:pPr>
      <w:r>
        <w:rPr>
          <w:sz w:val="18"/>
        </w:rPr>
        <w:t>Venkatesh, V. (2000). Determinants of perceived ease of use: Integrating control, intrinsic motivation, and emotion into the technology acceptance model. Information Systems Research, 11(4), 342-365. https://doi.org/10.1287/isre.11.4.342.11872</w:t>
      </w:r>
    </w:p>
    <w:p>
      <w:pPr>
        <w:spacing w:line="240" w:lineRule="auto" w:after="40"/>
        <w:ind w:hanging="432" w:left="432"/>
        <w:jc w:val="left"/>
      </w:pPr>
      <w:r>
        <w:rPr>
          <w:sz w:val="18"/>
        </w:rPr>
        <w:t>Venkatesh, V., and Bala, H. (2008). Technology acceptance model 3 and a research agenda on interventions. Decision Sciences, 39(2), 273-315. https://doi.org/10.1111/j.1540-5915.2008.00192.x</w:t>
      </w:r>
    </w:p>
    <w:p>
      <w:pPr>
        <w:spacing w:line="240" w:lineRule="auto" w:after="40"/>
        <w:ind w:hanging="432" w:left="432"/>
        <w:jc w:val="left"/>
      </w:pPr>
      <w:r>
        <w:rPr>
          <w:sz w:val="18"/>
        </w:rPr>
        <w:t>Venkatesh, V., and Davis, F. D. (2000). A theoretical extension of the technology acceptance model: Four longitudinal field studies. Management Science, 46(2), 186-204. https://doi.org/10.1287/mnsc.46.2.186.11926</w:t>
      </w:r>
    </w:p>
    <w:p>
      <w:pPr>
        <w:spacing w:line="240" w:lineRule="auto" w:after="40"/>
        <w:ind w:hanging="432" w:left="432"/>
        <w:jc w:val="left"/>
      </w:pPr>
      <w:r>
        <w:rPr>
          <w:sz w:val="18"/>
        </w:rPr>
        <w:t>Venkatesh, V., Morris, M. G., Davis, G. B., and Davis, F. D. (2003). User acceptance of information technology: Toward a unified view. MIS Quarterly, 27(3), 425-478. https://doi.org/10.2307/30036540</w:t>
      </w:r>
    </w:p>
    <w:sectPr w:rsidR="00FC693F" w:rsidRPr="0006063C" w:rsidSect="00034616">
      <w:footerReference w:type="default" r:id="rId9"/>
      <w:headerReference w:type="default" r:id="rId10"/>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ind w:firstLine="720"/>
      <w:jc w:val="both"/>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Times New Roman" w:hAnsi="Times New Roman" w:eastAsia="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Times New Roman" w:hAnsi="Times New Roman" w:eastAsia="Times New Roman"/>
      <w:b/>
      <w:bCs/>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Times New Roman" w:hAnsi="Times New Roman" w:eastAsia="Times New Roman"/>
      <w:b/>
      <w:bCs/>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160"/>
      <w:contextualSpacing/>
    </w:pPr>
    <w:rPr>
      <w:rFonts w:asciiTheme="majorHAnsi" w:eastAsiaTheme="majorEastAsia" w:hAnsiTheme="majorHAnsi" w:cstheme="majorBidi" w:ascii="Times New Roman" w:hAnsi="Times New Roman" w:eastAsia="Times New Roman"/>
      <w:b/>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