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24"/>
        </w:rPr>
        <w:t>EVIDENCE PACK</w:t>
      </w:r>
    </w:p>
    <w:p>
      <w:pPr>
        <w:jc w:val="center"/>
      </w:pPr>
      <w:r>
        <w:rPr>
          <w:b/>
          <w:sz w:val="34"/>
        </w:rPr>
        <w:t>Published Framework, Hypotheses, Variables, and Questionnaire Evidence</w:t>
      </w:r>
    </w:p>
    <w:p>
      <w:pPr>
        <w:jc w:val="center"/>
      </w:pPr>
      <w:r>
        <w:rPr>
          <w:i/>
          <w:color w:val="595959"/>
          <w:sz w:val="26"/>
        </w:rPr>
        <w:t>Direct-model replication source pack</w:t>
      </w:r>
    </w:p>
    <w:p/>
    <w:p/>
    <w:p/>
    <w:p/>
    <w:p/>
    <w:p>
      <w:pPr>
        <w:jc w:val="center"/>
      </w:pPr>
      <w:r>
        <w:rPr>
          <w:b/>
          <w:sz w:val="26"/>
        </w:rPr>
        <w:t>Min Thiha Oo</w:t>
      </w:r>
    </w:p>
    <w:p>
      <w:pPr>
        <w:jc w:val="center"/>
      </w:pPr>
      <w:r>
        <w:rPr>
          <w:sz w:val="24"/>
        </w:rPr>
        <w:t>August 2026</w:t>
      </w:r>
    </w:p>
    <w:p>
      <w:r>
        <w:br w:type="page"/>
      </w:r>
    </w:p>
    <w:p>
      <w:pPr>
        <w:pStyle w:val="Heading1"/>
      </w:pPr>
      <w:r>
        <w:t>1.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rPr>
          <w:cantSplit/>
        </w:trPr>
        <w:tc>
          <w:tcPr>
            <w:tcW w:type="dxa" w:w="9026"/>
            <w:shd w:fill="FFF2C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Pass under the strict source-fidelity rule. One published article supplies the actual model, all 13 hypotheses, all 11 constructs, the 40 coded construct items, the seven-point scale, and the PLS-SEM procedure. The Thai population and IT micro-credential badge context are disclosed replication changes.</w:t>
            </w:r>
          </w:p>
        </w:tc>
      </w:tr>
    </w:tbl>
    <w:p>
      <w:pPr>
        <w:spacing w:after="0"/>
      </w:pPr>
    </w:p>
    <w:p>
      <w:r>
        <w:t>Primary source: Steenkamp, N., Fisher, R., and Nesbit, T. (2024), Understanding accounting students' intentions to use digital badges to showcase employability skills, Accounting Education, 33(6), 906-934. DOI: 10.1080/09639284.2023.2276200.</w:t>
      </w:r>
    </w:p>
    <w:p>
      <w:pPr>
        <w:pStyle w:val="Heading1"/>
      </w:pPr>
      <w:r>
        <w:t>2. Strict Source Audit</w:t>
      </w:r>
    </w:p>
    <w:p>
      <w:pPr>
        <w:keepNext/>
        <w:spacing w:before="120" w:after="80"/>
        <w:ind w:firstLine="0"/>
      </w:pPr>
      <w:r>
        <w:rPr>
          <w:b/>
          <w:sz w:val="21"/>
        </w:rPr>
        <w:t>Table 2.1: Pass/fail audit</w:t>
      </w:r>
    </w:p>
    <w:tbl>
      <w:tblPr>
        <w:tblStyle w:val="TableGrid"/>
        <w:tblW w:type="dxa" w:w="89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32"/>
        <w:gridCol w:w="1224"/>
        <w:gridCol w:w="367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Required component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Published location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Status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Current use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Actual framework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Figure 1, article p. 10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Direct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Complete figure reproduced; no redrawing or path selection.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Variables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Figure 1, Appendix, Table 2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Direct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All 11 source constructs and codes retained.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Hypotheses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H1-H13, article pp. 11-13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Direct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All paths and directions reproduced.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Questionnaire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Appendix, article pp. 28-29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Direct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All 40 coded source items transcribed.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Scale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Appendix note, article p. 29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Direct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Seven-point agreement scale retained.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Analysis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Method/results, article pp. 13-17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Direct-method guide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Reflective PLS-SEM and 5,000 bootstrap samples.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Actual Published Framework</w:t>
      </w:r>
    </w:p>
    <w:p>
      <w:r>
        <w:t>The image below is a direct crop from the source PDF. It is not a reconstruction. The source boxes, labels, arrows, and caption are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7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ed_Framework_Steenkamp_Figure_1_Direct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sz w:val="20"/>
        </w:rPr>
        <w:t>Figure 3.1: Direct source reproduction of Steenkamp et al. (2024, Figure 1, article p. 10).</w:t>
      </w:r>
    </w:p>
    <w:p>
      <w:pPr>
        <w:pStyle w:val="Heading1"/>
      </w:pPr>
      <w:r>
        <w:t>4. Exact Published Hypotheses</w:t>
      </w:r>
    </w:p>
    <w:p>
      <w:r>
        <w:t>The statements below reproduce the source hypotheses. H11's grammar is retained to avoid silently rewriting the published statement.</w:t>
      </w:r>
    </w:p>
    <w:p>
      <w:pPr>
        <w:spacing w:after="80"/>
        <w:ind w:left="360"/>
      </w:pPr>
      <w:r>
        <w:rPr>
          <w:b/>
        </w:rPr>
        <w:t xml:space="preserve">H1: </w:t>
      </w:r>
      <w:r>
        <w:t>Perceived usefulness has a positive direct effect on students' intention to use digital badges in applying for jobs.</w:t>
      </w:r>
    </w:p>
    <w:p>
      <w:pPr>
        <w:spacing w:after="80"/>
        <w:ind w:left="360"/>
      </w:pPr>
      <w:r>
        <w:rPr>
          <w:b/>
        </w:rPr>
        <w:t xml:space="preserve">H2: </w:t>
      </w:r>
      <w:r>
        <w:t>Perceived ease of use has a positive direct effect on students' intention to use digital badges in applying for jobs.</w:t>
      </w:r>
    </w:p>
    <w:p>
      <w:pPr>
        <w:spacing w:after="80"/>
        <w:ind w:left="360"/>
      </w:pPr>
      <w:r>
        <w:rPr>
          <w:b/>
        </w:rPr>
        <w:t xml:space="preserve">H3: </w:t>
      </w:r>
      <w:r>
        <w:t>Perceived ease of use has a positive direct effect on students' perceived usefulness of digital badges in applying for jobs.</w:t>
      </w:r>
    </w:p>
    <w:p>
      <w:pPr>
        <w:spacing w:after="80"/>
        <w:ind w:left="360"/>
      </w:pPr>
      <w:r>
        <w:rPr>
          <w:b/>
        </w:rPr>
        <w:t xml:space="preserve">H4: </w:t>
      </w:r>
      <w:r>
        <w:t>Subjective norm has a positive direct effect on students' intention to use digital badges in applying for jobs.</w:t>
      </w:r>
    </w:p>
    <w:p>
      <w:pPr>
        <w:spacing w:after="80"/>
        <w:ind w:left="360"/>
      </w:pPr>
      <w:r>
        <w:rPr>
          <w:b/>
        </w:rPr>
        <w:t xml:space="preserve">H5: </w:t>
      </w:r>
      <w:r>
        <w:t>Subjective norm has a positive direct effect on students' perceived usefulness of digital badges in applying for jobs.</w:t>
      </w:r>
    </w:p>
    <w:p>
      <w:pPr>
        <w:spacing w:after="80"/>
        <w:ind w:left="360"/>
      </w:pPr>
      <w:r>
        <w:rPr>
          <w:b/>
        </w:rPr>
        <w:t xml:space="preserve">H6: </w:t>
      </w:r>
      <w:r>
        <w:t>Subjective norm has a positive direct effect on image.</w:t>
      </w:r>
    </w:p>
    <w:p>
      <w:pPr>
        <w:spacing w:after="80"/>
        <w:ind w:left="360"/>
      </w:pPr>
      <w:r>
        <w:rPr>
          <w:b/>
        </w:rPr>
        <w:t xml:space="preserve">H7: </w:t>
      </w:r>
      <w:r>
        <w:t>Image has a positive direct effect on perceived usefulness of digital badges in applying for jobs.</w:t>
      </w:r>
    </w:p>
    <w:p>
      <w:pPr>
        <w:spacing w:after="80"/>
        <w:ind w:left="360"/>
      </w:pPr>
      <w:r>
        <w:rPr>
          <w:b/>
        </w:rPr>
        <w:t xml:space="preserve">H8: </w:t>
      </w:r>
      <w:r>
        <w:t>Job application relevance has a positive direct effect on perceived usefulness of digital badges in applying for jobs.</w:t>
      </w:r>
    </w:p>
    <w:p>
      <w:pPr>
        <w:spacing w:after="80"/>
        <w:ind w:left="360"/>
      </w:pPr>
      <w:r>
        <w:rPr>
          <w:b/>
        </w:rPr>
        <w:t xml:space="preserve">H9: </w:t>
      </w:r>
      <w:r>
        <w:t>Result demonstrability has a positive direct effect on perceived usefulness of digital badges in applying for jobs.</w:t>
      </w:r>
    </w:p>
    <w:p>
      <w:pPr>
        <w:spacing w:after="80"/>
        <w:ind w:left="360"/>
      </w:pPr>
      <w:r>
        <w:rPr>
          <w:b/>
        </w:rPr>
        <w:t xml:space="preserve">H10: </w:t>
      </w:r>
      <w:r>
        <w:t>Computer self-efficacy has a positive direct effect on perceived ease of use of digital badges in applying for jobs.</w:t>
      </w:r>
    </w:p>
    <w:p>
      <w:pPr>
        <w:spacing w:after="80"/>
        <w:ind w:left="360"/>
      </w:pPr>
      <w:r>
        <w:rPr>
          <w:b/>
        </w:rPr>
        <w:t xml:space="preserve">H11: </w:t>
      </w:r>
      <w:r>
        <w:t>Perceptions of external control has a positive direct effect on perceived ease of use of digital badges in applying for jobs.</w:t>
      </w:r>
    </w:p>
    <w:p>
      <w:pPr>
        <w:spacing w:after="80"/>
        <w:ind w:left="360"/>
      </w:pPr>
      <w:r>
        <w:rPr>
          <w:b/>
        </w:rPr>
        <w:t xml:space="preserve">H12: </w:t>
      </w:r>
      <w:r>
        <w:t>Computer anxiety has a negative direct effect on perceived ease of use of digital badges in applying for jobs.</w:t>
      </w:r>
    </w:p>
    <w:p>
      <w:pPr>
        <w:spacing w:after="80"/>
        <w:ind w:left="360"/>
      </w:pPr>
      <w:r>
        <w:rPr>
          <w:b/>
        </w:rPr>
        <w:t xml:space="preserve">H13: </w:t>
      </w:r>
      <w:r>
        <w:t>Computer playfulness has a positive direct effect on perceived ease of use of digital badges in applying for jobs.</w:t>
      </w:r>
    </w:p>
    <w:p>
      <w:pPr>
        <w:pStyle w:val="Heading1"/>
      </w:pPr>
      <w:r>
        <w:t>5. Exact Variable and Item-Count Match</w:t>
      </w:r>
    </w:p>
    <w:p>
      <w:pPr>
        <w:keepNext/>
        <w:spacing w:before="120" w:after="80"/>
        <w:ind w:firstLine="0"/>
      </w:pPr>
      <w:r>
        <w:rPr>
          <w:b/>
          <w:sz w:val="21"/>
        </w:rPr>
        <w:t>Table 5.1: Construct and item-count audit</w:t>
      </w:r>
    </w:p>
    <w:tbl>
      <w:tblPr>
        <w:tblStyle w:val="TableGrid"/>
        <w:tblW w:type="dxa" w:w="89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92"/>
        <w:gridCol w:w="792"/>
        <w:gridCol w:w="2232"/>
        <w:gridCol w:w="792"/>
        <w:gridCol w:w="2520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Published construct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Code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Published codes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Count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Thesis match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Perceived Usefulness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PU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PU1-PU4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Perceived Ease of Use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PEOU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PEOU1-PEOU4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Computer Self-Efficacy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CSE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CSE1-CSE3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Perceptions of External Control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PEC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PEC1-PEC4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Computer Playfulness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CPLAY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CPLAY1-CPLAY4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Computer Anxiety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CANX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CANX1-CANX4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Subjective Norm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SN1-SN4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Image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IMG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IMG1-IMG3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Job Application Relevance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REL1-REL3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Result Demonstrability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RES1-RES4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Behavioural Intention to Use DB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BI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BI1-BI3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40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Exact</w:t>
            </w:r>
          </w:p>
        </w:tc>
      </w:tr>
    </w:tbl>
    <w:p>
      <w:pPr>
        <w:spacing w:after="0"/>
      </w:pPr>
    </w:p>
    <w:p>
      <w:pPr>
        <w:pStyle w:val="Heading1"/>
      </w:pPr>
      <w:r>
        <w:t>6. Actual Published Questionnaire Appendix</w:t>
      </w:r>
    </w:p>
    <w:p>
      <w:r>
        <w:t>The next two images are direct crops of the source Appendix pages. They show the item codes, wording, prior sources identified by Steenkamp et al., and seven-point response scale.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6756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ed_Questionnaire_Steenkamp_Appendix_p28_Direct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75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sz w:val="20"/>
        </w:rPr>
        <w:t>Figure 6.1: Direct source reproduction of the first construct-item Appendix page, Steenkamp et al. (2024, article p. 28).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407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ed_Questionnaire_Steenkamp_Appendix_p29_Direct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0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sz w:val="20"/>
        </w:rPr>
        <w:t>Figure 6.2: Direct source reproduction of the second construct-item Appendix page, Steenkamp et al. (2024, article p. 29).</w:t>
      </w:r>
    </w:p>
    <w:p>
      <w:r>
        <w:br w:type="page"/>
      </w:r>
    </w:p>
    <w:p>
      <w:pPr>
        <w:pStyle w:val="Heading1"/>
      </w:pPr>
      <w:r>
        <w:t>7. Item-Level Provenance</w:t>
      </w:r>
    </w:p>
    <w:p>
      <w:r>
        <w:t>All 40 coded statements below are verbatim from the source Appendix, including BI3's apparent typo; any correction requires approval before fielding.</w:t>
      </w:r>
    </w:p>
    <w:p>
      <w:pPr>
        <w:keepNext/>
        <w:spacing w:before="120" w:after="80"/>
        <w:ind w:firstLine="0"/>
      </w:pPr>
      <w:r>
        <w:rPr>
          <w:b/>
          <w:sz w:val="21"/>
        </w:rPr>
        <w:t>Table 7.1: Forty-item direct provenance matrix</w:t>
      </w:r>
    </w:p>
    <w:tbl>
      <w:tblPr>
        <w:tblStyle w:val="TableGrid"/>
        <w:tblW w:type="dxa" w:w="89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2"/>
        <w:gridCol w:w="1944"/>
        <w:gridCol w:w="5112"/>
        <w:gridCol w:w="108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Code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Construct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Exact source wording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5"/>
              </w:rPr>
              <w:t>Master status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PU1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Usefulness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Using university-issued digital badges would increase my employability when I apply for jobs.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PU2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Usefulness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Using university-issued digital badges would increase the quality of my job applications.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PU3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Usefulness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Using university-issued digital badges would enhance my effectiveness when I apply for jobs.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PU4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Usefulness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find using university-issued digital badges useful when applying for jobs.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PEOU1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Ease of Use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If I were to obtain university-issued digital badges, my interaction with them would be clear and understandable.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PEOU2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Ease of Use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If I were to obtain university-issued digital badges, interacting with them would not require a lot of my mental effort.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PEOU3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Ease of Use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If I were to obtain university-issued digital badges, I would find them easy to use.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PEOU4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Perceived Ease of Use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If I were to obtain university-issued digital badges, I would find it easy to get them to do what I want them to do.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CSE1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Self-Efficacy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could complete a job or task using a computer if there was no one around to tell me what to do.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CSE2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Self-Efficacy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could complete a job or task using a computer if I could contact someone if I got stuck.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CSE3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Self-Efficacy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could complete a job or task using a computer if I had a lot of time to complete the job for which the software was provided.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PEC1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Perceptions of External Control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have control over my university-issued digital badges.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PEC2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Perceptions of External Control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have the resources necessary to use university-issued digital badges.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PEC3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Perceptions of External Control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Given the resources, opportunities and knowledge it takes to use university-issued digital badges, it would be easy for me to use university-issued digital badges.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PEC4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Perceptions of External Control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University-issued digital badges are not compatible with other means I use for communicating my skills and competencies to potential employers.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CPLAY1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Playfulness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characterise myself as spontaneous when using computers.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CPLAY2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Playfulness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characterise myself as creative when using computers.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CPLAY3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Playfulness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characterise myself as playful when using computers.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CPLAY4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Playfulness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characterise myself as unoriginal when using computers.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CANX1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Anxiety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Computers do not scare me at all.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CANX2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Anxiety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Working with a computer makes me nervous.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CANX3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Anxiety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Computers make me feel uncomfortable.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CANX4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 Anxiety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Computers make me feel uneasy.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SN1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Subjective Norm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People who influence my behaviour think that I should use university-issued digital badges when applying for jobs.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SN2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Subjective Norm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People who are important to me think that I should use university-issued digital badges when applying for jobs.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SN3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Subjective Norm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My university would be helpful in using university-issued digital badges for job applications.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SN4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Subjective Norm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In general, my university would support the use of university-issued digital badges for job applications.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IMG1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Image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Students who use university-issued digital badges when applying for jobs are likely to have more prestige than those who do not.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IMG2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Image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Students who use university-issued digital badges when applying for jobs will have a high profile.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IMG3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Image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Being able to display university-issued digital badges when applying for jobs would be a status symbol for students.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REL1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Job Application Relevance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When job searching, usage of university-issued digital badges is important.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REL2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Job Application Relevance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When job searching, usage of university-issued digital badges is relevant.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REL3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Job Application Relevance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The use of university-issued digital badges is pertinent to my job searching activities.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Result Demonstrability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have no difficulty telling others about the results of using university-issued digital badges.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Result Demonstrability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believe I could communicate to others the consequences for me of using university-issued digital badges.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Result Demonstrability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The results of using university-issued digital badges would be apparent to me.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Result Demonstrability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 would have difficulty explaining why using university-issued digital badges for job searching may or may not be beneficial.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BI1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Behavioral Intention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Assuming I had access to university-issued digital badges I intend to use them when I apply for jobs.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BI2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Behavioral Intention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Given that I had access to university-issued digital badges, I predict that I would use them when I apply for jobs.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BI3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Behavioral Intention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If I had access to university-issued digital badges, I would plan to use the when I apply for jobs in the next 12 months.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Exact; typo noted</w:t>
            </w:r>
          </w:p>
        </w:tc>
      </w:tr>
    </w:tbl>
    <w:p>
      <w:pPr>
        <w:spacing w:after="0"/>
      </w:pPr>
    </w:p>
    <w:p>
      <w:pPr>
        <w:pStyle w:val="Heading1"/>
      </w:pPr>
      <w:r>
        <w:t>8. Source Anomalies and Decisions</w:t>
      </w:r>
    </w:p>
    <w:p>
      <w:pPr>
        <w:keepNext/>
        <w:spacing w:before="120" w:after="80"/>
        <w:ind w:firstLine="0"/>
      </w:pPr>
      <w:r>
        <w:rPr>
          <w:b/>
          <w:sz w:val="21"/>
        </w:rPr>
        <w:t>Table 8.1: No-hidden-decisions register</w:t>
      </w:r>
    </w:p>
    <w:tbl>
      <w:tblPr>
        <w:tblStyle w:val="TableGrid"/>
        <w:tblW w:type="dxa" w:w="89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672"/>
        <w:gridCol w:w="331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Source detail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Evidence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Unnumbered employer sentence after SN4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The methods state 40 items; the Appendix has 40 coded items; Table 2 reports SN1-SN4 only.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Do not invent SN5 or score the unnumbered sentence.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PEC4, CPLAY4, RES4 removed in source analysis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Source measurement-model section reports outer loadings below .40.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Administer all 40 source items; make any Thai-sample deletion from Thai data and report it.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BI3 source typo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Appendix prints 'use the when'.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Preserve source wording in evidence; seek approval for the field correction 'them'.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Behavioural/Behavioral label variation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Figure and Appendix use different English spelling/label length.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Retain the figure label in the model and the Appendix label in the item evidence; treat both as BI.</w:t>
            </w:r>
          </w:p>
        </w:tc>
      </w:tr>
    </w:tbl>
    <w:p>
      <w:pPr>
        <w:spacing w:after="0"/>
      </w:pPr>
    </w:p>
    <w:p>
      <w:pPr>
        <w:pStyle w:val="Heading1"/>
      </w:pPr>
      <w:r>
        <w:t>9. What Changes and What Does Not</w:t>
      </w:r>
    </w:p>
    <w:p>
      <w:pPr>
        <w:keepNext/>
        <w:spacing w:before="120" w:after="80"/>
        <w:ind w:firstLine="0"/>
      </w:pPr>
      <w:r>
        <w:rPr>
          <w:b/>
          <w:sz w:val="21"/>
        </w:rPr>
        <w:t>Table 9.1: Replication boundary</w:t>
      </w:r>
    </w:p>
    <w:tbl>
      <w:tblPr>
        <w:tblStyle w:val="TableGrid"/>
        <w:tblW w:type="dxa" w:w="892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6"/>
        <w:gridCol w:w="2664"/>
        <w:gridCol w:w="2952"/>
        <w:gridCol w:w="165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Element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Source study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Thai study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line="240" w:lineRule="auto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Classification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Population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Accounting students at one New Zealand university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Students in IT-related programs in Thailand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Disclosed context change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Badge context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University-issued badges for employability skills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University-issued badges representing IT micro-credentials for employability skills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Disclosed context specification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Model, constructs, paths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Figure 1; 11 constructs; 13 paths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Same complete model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No change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Construct items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40 coded Appendix items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Same English source master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No conceptual change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Response scale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Seven-point agreement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Same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No change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Language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English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English audit master plus approved Thai translation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FAFA"/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Necessary cross-language procedure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Pilot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Not reported as a separate pilot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Required local pilot of 40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Local process requirement</w:t>
            </w:r>
          </w:p>
        </w:tc>
      </w:tr>
    </w:tbl>
    <w:p>
      <w:pPr>
        <w:spacing w:after="0"/>
      </w:pPr>
    </w:p>
    <w:p>
      <w:pPr>
        <w:pStyle w:val="Heading1"/>
      </w:pPr>
      <w:r>
        <w:t>10. References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Brislin, R. W. (1970). Back-translation for cross-cultural research. Journal of Cross-Cultural Psychology, 1(3), 185-216. https://doi.org/10.1177/135910457000100301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Council of the European Union. (2022). Council Recommendation of 16 June 2022 on a European approach to micro-credentials for lifelong learning and employability (2022/C 243/02). Official Journal of the European Union, C 243, 10-25.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Davis, F. D. (1989). Perceived usefulness, perceived ease of use, and user acceptance of information technology. MIS Quarterly, 13(3), 319-340. https://doi.org/10.2307/249008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Hair, J. F., Hult, G. T. M., Ringle, C. M., and Sarstedt, M. (2022). A primer on partial least squares structural equation modeling (PLS-SEM) (3rd ed.). Sage.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Hertzog, M. A. (2008). Considerations in determining sample size for pilot studies. Research in Nursing &amp; Health, 31(2), 180-191. https://doi.org/10.1002/nur.20247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Johanson, G. A., and Brooks, G. P. (2010). Initial scale development: Sample size for pilot studies. Educational and Psychological Measurement, 70(3), 394-400. https://doi.org/10.1177/0013164409355692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Kiiskila, P., Kukkonen, A., and Pirkkalainen, H. (2023). Are micro-credentials valuable for students? Perspective on verifiable digital credentials. SN Computer Science, 4, Article 366. https://doi.org/10.1007/s42979-023-01797-y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Krejcie, R. V., and Morgan, D. W. (1970). Determining sample size for research activities. Educational and Psychological Measurement, 30(3), 607-610. https://doi.org/10.1177/001316447003000308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Miao, M., Ahmed, M., Ahsan, N., and Qamar, B. (2024). Intention to use technology for micro-credential programs: Evidence from technology acceptance and self-determination model. International Journal of Educational Management, 38(4), 948-977. https://doi.org/10.1108/IJEM-02-2023-0066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Steenkamp, N., Fisher, R., and Nesbit, T. (2024). Understanding accounting students' intentions to use digital badges to showcase employability skills. Accounting Education, 33(6), 906-934. https://doi.org/10.1080/09639284.2023.2276200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Sykes, T. A., Venkatesh, V., and Johnson, J. L. (2014). Enterprise system implementation and employee job performance: Understanding the role of advice networks. MIS Quarterly, 38(1), 51-72. https://doi.org/10.25300/MISQ/2014/38.1.03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UNESCO. (2022). Towards a common definition of micro-credentials. UNESCO. https://unesdoc.unesco.org/ark:/48223/pf0000381668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Venkatesh, V. (2000). Determinants of perceived ease of use: Integrating control, intrinsic motivation, and emotion into the technology acceptance model. Information Systems Research, 11(4), 342-365. https://doi.org/10.1287/isre.11.4.342.11872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Venkatesh, V., and Bala, H. (2008). Technology acceptance model 3 and a research agenda on interventions. Decision Sciences, 39(2), 273-315. https://doi.org/10.1111/j.1540-5915.2008.00192.x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Venkatesh, V., and Davis, F. D. (2000). A theoretical extension of the technology acceptance model: Four longitudinal field studies. Management Science, 46(2), 186-204. https://doi.org/10.1287/mnsc.46.2.186.11926</w:t>
      </w:r>
    </w:p>
    <w:p>
      <w:pPr>
        <w:spacing w:line="240" w:lineRule="auto" w:after="20"/>
        <w:ind w:hanging="432" w:left="432"/>
        <w:jc w:val="left"/>
      </w:pPr>
      <w:r>
        <w:rPr>
          <w:sz w:val="18"/>
        </w:rPr>
        <w:t>Venkatesh, V., Morris, M. G., Davis, G. B., and Davis, F. D. (2003). User acceptance of information technology: Toward a unified view. MIS Quarterly, 27(3), 425-478. https://doi.org/10.2307/30036540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95959"/>
        <w:sz w:val="18"/>
      </w:rPr>
      <w:t>Evidence pack | direct source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