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ASSUMPTION UNIVERSITY OF THAILAND</w:t>
      </w:r>
    </w:p>
    <w:p>
      <w:pPr>
        <w:jc w:val="center"/>
      </w:pPr>
      <w:r>
        <w:rPr>
          <w:b/>
          <w:sz w:val="24"/>
        </w:rPr>
        <w:t>Graduate School of Business and Advanced Technology Management</w:t>
      </w:r>
    </w:p>
    <w:p/>
    <w:p/>
    <w:p/>
    <w:p>
      <w:pPr>
        <w:jc w:val="center"/>
      </w:pPr>
      <w:r>
        <w:rPr>
          <w:b/>
          <w:sz w:val="30"/>
        </w:rPr>
        <w:t>Framework, Hypotheses, Variables, and Questionnaire Evidence</w:t>
      </w:r>
    </w:p>
    <w:p>
      <w:pPr>
        <w:jc w:val="center"/>
      </w:pPr>
      <w:r>
        <w:rPr>
          <w:i/>
          <w:sz w:val="24"/>
        </w:rPr>
        <w:t>Source Record for the Author-Constructed Digital-Badge Model</w:t>
      </w:r>
    </w:p>
    <w:p/>
    <w:p/>
    <w:p/>
    <w:p>
      <w:pPr>
        <w:jc w:val="center"/>
      </w:pPr>
      <w:r>
        <w:rPr>
          <w:b/>
          <w:sz w:val="24"/>
        </w:rPr>
        <w:t>BY</w:t>
        <w:br/>
        <w:t>MR. MIN THIHA OO</w:t>
      </w:r>
    </w:p>
    <w:p/>
    <w:p/>
    <w:p>
      <w:pPr>
        <w:jc w:val="center"/>
      </w:pPr>
      <w:r>
        <w:rPr>
          <w:b/>
          <w:sz w:val="23"/>
        </w:rPr>
        <w:t>ITM7000 INDEPENDENT STUDY</w:t>
      </w:r>
    </w:p>
    <w:p>
      <w:pPr>
        <w:jc w:val="center"/>
      </w:pPr>
      <w:r>
        <w:rPr>
          <w:sz w:val="23"/>
        </w:rPr>
        <w:t>Submitted in Partial Fulfillment of the Requirements for the Degree of</w:t>
      </w:r>
    </w:p>
    <w:p>
      <w:pPr>
        <w:jc w:val="center"/>
      </w:pPr>
      <w:r>
        <w:rPr>
          <w:sz w:val="23"/>
        </w:rPr>
        <w:t>Master of Information Technology Management</w:t>
      </w:r>
    </w:p>
    <w:p/>
    <w:p>
      <w:pPr>
        <w:jc w:val="center"/>
      </w:pPr>
      <w:r>
        <w:rPr>
          <w:sz w:val="24"/>
        </w:rPr>
        <w:t>AUGUST 2026</w:t>
      </w:r>
    </w:p>
    <w:p>
      <w:r>
        <w:br w:type="page"/>
      </w:r>
    </w:p>
    <w:p>
      <w:pPr>
        <w:pStyle w:val="Heading1"/>
      </w:pPr>
      <w:r>
        <w:t>1. Purpose</w:t>
      </w:r>
    </w:p>
    <w:p>
      <w:r>
        <w:t>This document records the published frameworks used to construct the study model, the direct source of every variable and relationship, and the original questionnaire source. It accompanies the chaptered thesis manuscript.</w:t>
      </w:r>
    </w:p>
    <w:tbl>
      <w:tblPr>
        <w:tblStyle w:val="TableGrid"/>
        <w:tblW w:type="auto" w:w="0"/>
        <w:tblLook w:firstColumn="1" w:firstRow="1" w:lastColumn="0" w:lastRow="0" w:noHBand="0" w:noVBand="1" w:val="04A0"/>
      </w:tblPr>
      <w:tblGrid>
        <w:gridCol w:w="9026"/>
      </w:tblGrid>
      <w:tr>
        <w:trPr>
          <w:cantSplit/>
          <w:tblHeader w:val="true"/>
        </w:trPr>
        <w:tc>
          <w:tcPr>
            <w:tcW w:type="dxa" w:w="9026"/>
            <w:shd w:fill="FFF2CC"/>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20"/>
              </w:rPr>
              <w:t>The study does not reproduce Steenkamp et al.'s complete model. It selects five exact constructs and four supported paths from that published model, adds no new construct, and uses only the 18 printed questionnaire items belonging to those constructs.</w:t>
            </w:r>
          </w:p>
        </w:tc>
      </w:tr>
    </w:tbl>
    <w:p>
      <w:pPr>
        <w:spacing w:after="0"/>
      </w:pPr>
    </w:p>
    <w:p>
      <w:pPr>
        <w:pStyle w:val="Heading1"/>
      </w:pPr>
      <w:r>
        <w:t>2. Published Frameworks</w:t>
      </w:r>
    </w:p>
    <w:p>
      <w:pPr>
        <w:pStyle w:val="Heading2"/>
      </w:pPr>
      <w:r>
        <w:t>2.1 Technology Acceptance Model 3</w:t>
      </w:r>
    </w:p>
    <w:p>
      <w:pPr>
        <w:jc w:val="center"/>
      </w:pPr>
      <w:r>
        <w:drawing>
          <wp:inline xmlns:a="http://schemas.openxmlformats.org/drawingml/2006/main" xmlns:pic="http://schemas.openxmlformats.org/drawingml/2006/picture">
            <wp:extent cx="4114800" cy="4449128"/>
            <wp:docPr id="1" name="Picture 1" title="Conceptual framework" descr="Published TAM3 framework showing determinants of perceived usefulness, perceived ease of use, behavioural intention, and use behaviour."/>
            <wp:cNvGraphicFramePr>
              <a:graphicFrameLocks noChangeAspect="1"/>
            </wp:cNvGraphicFramePr>
            <a:graphic>
              <a:graphicData uri="http://schemas.openxmlformats.org/drawingml/2006/picture">
                <pic:pic>
                  <pic:nvPicPr>
                    <pic:cNvPr id="0" name="Published_Framework_Venkatesh_Bala_TAM3_Figure_2.png"/>
                    <pic:cNvPicPr/>
                  </pic:nvPicPr>
                  <pic:blipFill>
                    <a:blip r:embed="rId11"/>
                    <a:stretch>
                      <a:fillRect/>
                    </a:stretch>
                  </pic:blipFill>
                  <pic:spPr>
                    <a:xfrm>
                      <a:off x="0" y="0"/>
                      <a:ext cx="4114800" cy="4449128"/>
                    </a:xfrm>
                    <a:prstGeom prst="rect"/>
                  </pic:spPr>
                </pic:pic>
              </a:graphicData>
            </a:graphic>
          </wp:inline>
        </w:drawing>
      </w:r>
    </w:p>
    <w:p>
      <w:pPr>
        <w:spacing w:line="240" w:lineRule="auto" w:after="120"/>
        <w:jc w:val="center"/>
      </w:pPr>
      <w:r>
        <w:rPr>
          <w:sz w:val="20"/>
        </w:rPr>
        <w:t>Figure 2.1: Technology Acceptance Model 3</w:t>
      </w:r>
    </w:p>
    <w:p>
      <w:pPr>
        <w:spacing w:line="240" w:lineRule="auto" w:after="100"/>
      </w:pPr>
      <w:r>
        <w:rPr>
          <w:i/>
          <w:color w:val="595959"/>
          <w:sz w:val="19"/>
        </w:rPr>
        <w:t>Source: Venkatesh and Bala (2008, Figure 2).</w:t>
      </w:r>
    </w:p>
    <w:p>
      <w:pPr>
        <w:pStyle w:val="Heading2"/>
      </w:pPr>
      <w:r>
        <w:t>2.2 Micro-Credential Technology-Acceptance Framework</w:t>
      </w:r>
    </w:p>
    <w:p>
      <w:pPr>
        <w:jc w:val="center"/>
      </w:pPr>
      <w:r>
        <w:drawing>
          <wp:inline xmlns:a="http://schemas.openxmlformats.org/drawingml/2006/main" xmlns:pic="http://schemas.openxmlformats.org/drawingml/2006/picture">
            <wp:extent cx="5349240" cy="3282488"/>
            <wp:docPr id="2" name="Picture 2" title="Conceptual framework" descr="Published micro-credential framework combining technology acceptance and self-determination variables to explain attitude and behavioural intention."/>
            <wp:cNvGraphicFramePr>
              <a:graphicFrameLocks noChangeAspect="1"/>
            </wp:cNvGraphicFramePr>
            <a:graphic>
              <a:graphicData uri="http://schemas.openxmlformats.org/drawingml/2006/picture">
                <pic:pic>
                  <pic:nvPicPr>
                    <pic:cNvPr id="0" name="Published_Framework_Miao_2024_Figure_1_Direct_Crop.png"/>
                    <pic:cNvPicPr/>
                  </pic:nvPicPr>
                  <pic:blipFill>
                    <a:blip r:embed="rId12"/>
                    <a:stretch>
                      <a:fillRect/>
                    </a:stretch>
                  </pic:blipFill>
                  <pic:spPr>
                    <a:xfrm>
                      <a:off x="0" y="0"/>
                      <a:ext cx="5349240" cy="3282488"/>
                    </a:xfrm>
                    <a:prstGeom prst="rect"/>
                  </pic:spPr>
                </pic:pic>
              </a:graphicData>
            </a:graphic>
          </wp:inline>
        </w:drawing>
      </w:r>
    </w:p>
    <w:p>
      <w:pPr>
        <w:spacing w:line="240" w:lineRule="auto" w:after="120"/>
        <w:jc w:val="center"/>
      </w:pPr>
      <w:r>
        <w:rPr>
          <w:sz w:val="20"/>
        </w:rPr>
        <w:t>Figure 2.2: Technology use for micro-credential programmes</w:t>
      </w:r>
    </w:p>
    <w:p>
      <w:pPr>
        <w:spacing w:line="240" w:lineRule="auto" w:after="100"/>
      </w:pPr>
      <w:r>
        <w:rPr>
          <w:i/>
          <w:color w:val="595959"/>
          <w:sz w:val="19"/>
        </w:rPr>
        <w:t>Source: Miao et al. (2024, Figure 1, p. 956).</w:t>
      </w:r>
    </w:p>
    <w:p>
      <w:pPr>
        <w:pStyle w:val="Heading2"/>
      </w:pPr>
      <w:r>
        <w:t>2.3 Digital-Badge Acceptance Framework</w:t>
      </w:r>
    </w:p>
    <w:p>
      <w:pPr>
        <w:jc w:val="center"/>
      </w:pPr>
      <w:r>
        <w:drawing>
          <wp:inline xmlns:a="http://schemas.openxmlformats.org/drawingml/2006/main" xmlns:pic="http://schemas.openxmlformats.org/drawingml/2006/picture">
            <wp:extent cx="4800600" cy="4957629"/>
            <wp:docPr id="3" name="Picture 3" title="Conceptual framework" descr="Published Steenkamp digital-badge framework containing eleven constructs and thirteen directional relationships."/>
            <wp:cNvGraphicFramePr>
              <a:graphicFrameLocks noChangeAspect="1"/>
            </wp:cNvGraphicFramePr>
            <a:graphic>
              <a:graphicData uri="http://schemas.openxmlformats.org/drawingml/2006/picture">
                <pic:pic>
                  <pic:nvPicPr>
                    <pic:cNvPr id="0" name="Published_Framework_Steenkamp_Figure_1_Direct_Crop.png"/>
                    <pic:cNvPicPr/>
                  </pic:nvPicPr>
                  <pic:blipFill>
                    <a:blip r:embed="rId13"/>
                    <a:stretch>
                      <a:fillRect/>
                    </a:stretch>
                  </pic:blipFill>
                  <pic:spPr>
                    <a:xfrm>
                      <a:off x="0" y="0"/>
                      <a:ext cx="4800600" cy="4957629"/>
                    </a:xfrm>
                    <a:prstGeom prst="rect"/>
                  </pic:spPr>
                </pic:pic>
              </a:graphicData>
            </a:graphic>
          </wp:inline>
        </w:drawing>
      </w:r>
    </w:p>
    <w:p>
      <w:pPr>
        <w:spacing w:line="240" w:lineRule="auto" w:after="120"/>
        <w:jc w:val="center"/>
      </w:pPr>
      <w:r>
        <w:rPr>
          <w:sz w:val="20"/>
        </w:rPr>
        <w:t>Figure 2.3: Published digital-badge research model</w:t>
      </w:r>
    </w:p>
    <w:p>
      <w:pPr>
        <w:spacing w:line="240" w:lineRule="auto" w:after="100"/>
      </w:pPr>
      <w:r>
        <w:rPr>
          <w:i/>
          <w:color w:val="595959"/>
          <w:sz w:val="19"/>
        </w:rPr>
        <w:t>Source: Steenkamp, Fisher, and Nesbit (2024, Figure 1, p. 10).</w:t>
      </w:r>
    </w:p>
    <w:p>
      <w:pPr>
        <w:pStyle w:val="Heading1"/>
      </w:pPr>
      <w:r>
        <w:t>3. Conceptual Framework Used in the Study</w:t>
      </w:r>
    </w:p>
    <w:p>
      <w:pPr>
        <w:jc w:val="center"/>
      </w:pPr>
      <w:r>
        <w:drawing>
          <wp:inline xmlns:a="http://schemas.openxmlformats.org/drawingml/2006/main" xmlns:pic="http://schemas.openxmlformats.org/drawingml/2006/picture">
            <wp:extent cx="5486400" cy="2499360"/>
            <wp:docPr id="4" name="Picture 4" title="Conceptual framework" descr="Author-constructed framework in which perceived ease of use and job application relevance predict perceived usefulness, while perceived usefulness and subjective norm predict behavioural intention to use digital badges."/>
            <wp:cNvGraphicFramePr>
              <a:graphicFrameLocks noChangeAspect="1"/>
            </wp:cNvGraphicFramePr>
            <a:graphic>
              <a:graphicData uri="http://schemas.openxmlformats.org/drawingml/2006/picture">
                <pic:pic>
                  <pic:nvPicPr>
                    <pic:cNvPr id="0" name="Conceptual_Framework_Author_Constructed_Digital_Badges.png"/>
                    <pic:cNvPicPr/>
                  </pic:nvPicPr>
                  <pic:blipFill>
                    <a:blip r:embed="rId14"/>
                    <a:stretch>
                      <a:fillRect/>
                    </a:stretch>
                  </pic:blipFill>
                  <pic:spPr>
                    <a:xfrm>
                      <a:off x="0" y="0"/>
                      <a:ext cx="5486400" cy="2499360"/>
                    </a:xfrm>
                    <a:prstGeom prst="rect"/>
                  </pic:spPr>
                </pic:pic>
              </a:graphicData>
            </a:graphic>
          </wp:inline>
        </w:drawing>
      </w:r>
    </w:p>
    <w:p>
      <w:pPr>
        <w:spacing w:line="240" w:lineRule="auto" w:after="120"/>
        <w:jc w:val="center"/>
      </w:pPr>
      <w:r>
        <w:rPr>
          <w:sz w:val="20"/>
        </w:rPr>
        <w:t>Figure 3.1: Conceptual framework of the study</w:t>
      </w:r>
    </w:p>
    <w:p>
      <w:pPr>
        <w:spacing w:line="240" w:lineRule="auto" w:after="100"/>
      </w:pPr>
      <w:r>
        <w:rPr>
          <w:i/>
          <w:color w:val="595959"/>
          <w:sz w:val="19"/>
        </w:rPr>
        <w:t>Source: Constructed by the author based on Venkatesh and Bala (2008), Miao et al. (2024), and Steenkamp et al. (2024).</w:t>
      </w:r>
    </w:p>
    <w:p>
      <w:pPr>
        <w:keepNext/>
        <w:spacing w:before="120" w:after="80"/>
        <w:ind w:firstLine="0"/>
      </w:pPr>
      <w:r>
        <w:rPr>
          <w:b/>
          <w:sz w:val="21"/>
        </w:rPr>
        <w:t>Table 3.1: Direct path provenance</w:t>
      </w:r>
    </w:p>
    <w:tbl>
      <w:tblPr>
        <w:tblStyle w:val="TableGrid"/>
        <w:tblW w:type="dxa" w:w="8928"/>
        <w:tblLayout w:type="fixed"/>
        <w:tblLook w:firstColumn="1" w:firstRow="1" w:lastColumn="0" w:lastRow="0" w:noHBand="0" w:noVBand="1" w:val="04A0"/>
        <w:jc w:val="left"/>
        <w:tblInd w:w="120" w:type="dxa"/>
      </w:tblPr>
      <w:tblGrid>
        <w:gridCol w:w="1152"/>
        <w:gridCol w:w="3168"/>
        <w:gridCol w:w="2232"/>
        <w:gridCol w:w="2376"/>
      </w:tblGrid>
      <w:tr>
        <w:trPr>
          <w:tblHeader w:val="true"/>
          <w:cantSplit/>
        </w:trPr>
        <w:tc>
          <w:tcPr>
            <w:tcW w:type="dxa" w:w="115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Study hypothesis</w:t>
            </w:r>
          </w:p>
        </w:tc>
        <w:tc>
          <w:tcPr>
            <w:tcW w:type="dxa" w:w="3168"/>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Exact path</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Direct published source</w:t>
            </w:r>
          </w:p>
        </w:tc>
        <w:tc>
          <w:tcPr>
            <w:tcW w:type="dxa" w:w="237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Published result</w:t>
            </w:r>
          </w:p>
        </w:tc>
      </w:tr>
      <w:tr>
        <w:trPr>
          <w:cantSplit/>
        </w:trPr>
        <w:tc>
          <w:tcPr>
            <w:tcW w:type="dxa" w:w="115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H1</w:t>
            </w:r>
          </w:p>
        </w:tc>
        <w:tc>
          <w:tcPr>
            <w:tcW w:type="dxa" w:w="31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Perceived Ease of Use -&gt; Perceived Usefulness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source H3</w:t>
            </w:r>
          </w:p>
        </w:tc>
        <w:tc>
          <w:tcPr>
            <w:tcW w:type="dxa" w:w="237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Supported (beta = .671, p &lt; .001)</w:t>
            </w:r>
          </w:p>
        </w:tc>
      </w:tr>
      <w:tr>
        <w:trPr>
          <w:cantSplit/>
        </w:trPr>
        <w:tc>
          <w:tcPr>
            <w:tcW w:type="dxa" w:w="115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H2</w:t>
            </w:r>
          </w:p>
        </w:tc>
        <w:tc>
          <w:tcPr>
            <w:tcW w:type="dxa" w:w="31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Job Application Relevance -&gt; Perceived Usefulness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source H8</w:t>
            </w:r>
          </w:p>
        </w:tc>
        <w:tc>
          <w:tcPr>
            <w:tcW w:type="dxa" w:w="237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Supported (beta = .229, p = .047)</w:t>
            </w:r>
          </w:p>
        </w:tc>
      </w:tr>
      <w:tr>
        <w:trPr>
          <w:cantSplit/>
        </w:trPr>
        <w:tc>
          <w:tcPr>
            <w:tcW w:type="dxa" w:w="115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H3</w:t>
            </w:r>
          </w:p>
        </w:tc>
        <w:tc>
          <w:tcPr>
            <w:tcW w:type="dxa" w:w="31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Perceived Usefulness -&gt; Behavioural Intention to Use DB</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source H1</w:t>
            </w:r>
          </w:p>
        </w:tc>
        <w:tc>
          <w:tcPr>
            <w:tcW w:type="dxa" w:w="237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Supported (beta = .403, p = .010)</w:t>
            </w:r>
          </w:p>
        </w:tc>
      </w:tr>
      <w:tr>
        <w:trPr>
          <w:cantSplit/>
        </w:trPr>
        <w:tc>
          <w:tcPr>
            <w:tcW w:type="dxa" w:w="115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H4</w:t>
            </w:r>
          </w:p>
        </w:tc>
        <w:tc>
          <w:tcPr>
            <w:tcW w:type="dxa" w:w="31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Subjective Norm -&gt; Behavioural Intention to Use DB</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source H4</w:t>
            </w:r>
          </w:p>
        </w:tc>
        <w:tc>
          <w:tcPr>
            <w:tcW w:type="dxa" w:w="237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Supported (beta = .593, p &lt; .001)</w:t>
            </w:r>
          </w:p>
        </w:tc>
      </w:tr>
    </w:tbl>
    <w:p>
      <w:pPr>
        <w:spacing w:after="0"/>
      </w:pPr>
    </w:p>
    <w:p>
      <w:pPr>
        <w:spacing w:after="80"/>
        <w:ind w:left="360"/>
      </w:pPr>
      <w:r>
        <w:rPr>
          <w:b/>
        </w:rPr>
        <w:t xml:space="preserve">H1: </w:t>
      </w:r>
      <w:r>
        <w:t>Perceived ease of use has a positive direct effect on students' perceived usefulness of university-issued digital badges in job applications.</w:t>
      </w:r>
    </w:p>
    <w:p>
      <w:pPr>
        <w:spacing w:after="80"/>
        <w:ind w:left="360"/>
      </w:pPr>
      <w:r>
        <w:rPr>
          <w:b/>
        </w:rPr>
        <w:t xml:space="preserve">H2: </w:t>
      </w:r>
      <w:r>
        <w:t>Job application relevance has a positive direct effect on students' perceived usefulness of university-issued digital badges in job applications.</w:t>
      </w:r>
    </w:p>
    <w:p>
      <w:pPr>
        <w:spacing w:after="80"/>
        <w:ind w:left="360"/>
      </w:pPr>
      <w:r>
        <w:rPr>
          <w:b/>
        </w:rPr>
        <w:t xml:space="preserve">H3: </w:t>
      </w:r>
      <w:r>
        <w:t>Perceived usefulness has a positive direct effect on students' behavioural intention to use university-issued digital badges in job applications.</w:t>
      </w:r>
    </w:p>
    <w:p>
      <w:pPr>
        <w:spacing w:after="80"/>
        <w:ind w:left="360"/>
      </w:pPr>
      <w:r>
        <w:rPr>
          <w:b/>
        </w:rPr>
        <w:t xml:space="preserve">H4: </w:t>
      </w:r>
      <w:r>
        <w:t>Subjective norm has a positive direct effect on students' behavioural intention to use university-issued digital badges in job applications.</w:t>
      </w:r>
    </w:p>
    <w:p>
      <w:pPr>
        <w:pStyle w:val="Heading1"/>
      </w:pPr>
      <w:r>
        <w:t>4. Exact Variable Provenance</w:t>
      </w:r>
    </w:p>
    <w:p>
      <w:pPr>
        <w:keepNext/>
        <w:spacing w:before="120" w:after="80"/>
        <w:ind w:firstLine="0"/>
      </w:pPr>
      <w:r>
        <w:rPr>
          <w:b/>
          <w:sz w:val="21"/>
        </w:rPr>
        <w:t>Table 4.1: Exact-label audit</w:t>
      </w:r>
    </w:p>
    <w:tbl>
      <w:tblPr>
        <w:tblStyle w:val="TableGrid"/>
        <w:tblW w:type="dxa" w:w="8928"/>
        <w:tblLayout w:type="fixed"/>
        <w:tblLook w:firstColumn="1" w:firstRow="1" w:lastColumn="0" w:lastRow="0" w:noHBand="0" w:noVBand="1" w:val="04A0"/>
        <w:jc w:val="left"/>
        <w:tblInd w:w="120" w:type="dxa"/>
      </w:tblPr>
      <w:tblGrid>
        <w:gridCol w:w="2232"/>
        <w:gridCol w:w="2232"/>
        <w:gridCol w:w="3024"/>
        <w:gridCol w:w="1440"/>
      </w:tblGrid>
      <w:tr>
        <w:trPr>
          <w:tblHeader w:val="true"/>
          <w:cantSplit/>
        </w:trPr>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Study variable</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Exact source label</w:t>
            </w:r>
          </w:p>
        </w:tc>
        <w:tc>
          <w:tcPr>
            <w:tcW w:type="dxa" w:w="302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Published framework location</w:t>
            </w:r>
          </w:p>
        </w:tc>
        <w:tc>
          <w:tcPr>
            <w:tcW w:type="dxa" w:w="144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codes</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Perceived Ease of Use</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Perceived Ease of Use</w:t>
            </w:r>
          </w:p>
        </w:tc>
        <w:tc>
          <w:tcPr>
            <w:tcW w:type="dxa" w:w="302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Figure 1</w:t>
            </w:r>
          </w:p>
        </w:tc>
        <w:tc>
          <w:tcPr>
            <w:tcW w:type="dxa" w:w="144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PEOU1-PEOU4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Job Application Relevance</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Job Application Relevance</w:t>
            </w:r>
          </w:p>
        </w:tc>
        <w:tc>
          <w:tcPr>
            <w:tcW w:type="dxa" w:w="302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Figure 1</w:t>
            </w:r>
          </w:p>
        </w:tc>
        <w:tc>
          <w:tcPr>
            <w:tcW w:type="dxa" w:w="144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REL1-REL3</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Perceived Usefulness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Perceived Usefulness</w:t>
            </w:r>
          </w:p>
        </w:tc>
        <w:tc>
          <w:tcPr>
            <w:tcW w:type="dxa" w:w="302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Figure 1</w:t>
            </w:r>
          </w:p>
        </w:tc>
        <w:tc>
          <w:tcPr>
            <w:tcW w:type="dxa" w:w="144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PU1-PU4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Subjective Norm</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Subjective Norm</w:t>
            </w:r>
          </w:p>
        </w:tc>
        <w:tc>
          <w:tcPr>
            <w:tcW w:type="dxa" w:w="302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Figure 1</w:t>
            </w:r>
          </w:p>
        </w:tc>
        <w:tc>
          <w:tcPr>
            <w:tcW w:type="dxa" w:w="144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SN1-SN4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Behavioural Intention to Use DB</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Behavioural Intention to Use DB</w:t>
            </w:r>
          </w:p>
        </w:tc>
        <w:tc>
          <w:tcPr>
            <w:tcW w:type="dxa" w:w="302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Figure 1</w:t>
            </w:r>
          </w:p>
        </w:tc>
        <w:tc>
          <w:tcPr>
            <w:tcW w:type="dxa" w:w="144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BI1-BI3</w:t>
            </w:r>
          </w:p>
        </w:tc>
      </w:tr>
    </w:tbl>
    <w:p>
      <w:pPr>
        <w:spacing w:after="0"/>
      </w:pPr>
    </w:p>
    <w:p>
      <w:pPr>
        <w:pStyle w:val="Heading1"/>
      </w:pPr>
      <w:r>
        <w:t>5. Published Questionnaire Evidence</w:t>
      </w:r>
    </w:p>
    <w:p>
      <w:r>
        <w:t>Steenkamp et al. (2024, Appendix, pp. 28-29) printed all construct codes, questionnaire statements, prior measurement sources, and the seven-point agreement scale. The two images below are direct crops of those Appendix pages.</w:t>
      </w:r>
    </w:p>
    <w:p>
      <w:pPr>
        <w:jc w:val="center"/>
      </w:pPr>
      <w:r>
        <w:drawing>
          <wp:inline xmlns:a="http://schemas.openxmlformats.org/drawingml/2006/main" xmlns:pic="http://schemas.openxmlformats.org/drawingml/2006/picture">
            <wp:extent cx="4846320" cy="6693680"/>
            <wp:docPr id="5" name="Picture 5" title="Conceptual framework" descr="Direct crop of the first published Steenkamp questionnaire Appendix page, including construct codes, item statements, and adaptation sources."/>
            <wp:cNvGraphicFramePr>
              <a:graphicFrameLocks noChangeAspect="1"/>
            </wp:cNvGraphicFramePr>
            <a:graphic>
              <a:graphicData uri="http://schemas.openxmlformats.org/drawingml/2006/picture">
                <pic:pic>
                  <pic:nvPicPr>
                    <pic:cNvPr id="0" name="Published_Questionnaire_Steenkamp_Appendix_p28_Direct_Crop.png"/>
                    <pic:cNvPicPr/>
                  </pic:nvPicPr>
                  <pic:blipFill>
                    <a:blip r:embed="rId15"/>
                    <a:stretch>
                      <a:fillRect/>
                    </a:stretch>
                  </pic:blipFill>
                  <pic:spPr>
                    <a:xfrm>
                      <a:off x="0" y="0"/>
                      <a:ext cx="4846320" cy="6693680"/>
                    </a:xfrm>
                    <a:prstGeom prst="rect"/>
                  </pic:spPr>
                </pic:pic>
              </a:graphicData>
            </a:graphic>
          </wp:inline>
        </w:drawing>
      </w:r>
    </w:p>
    <w:p>
      <w:pPr>
        <w:spacing w:line="240" w:lineRule="auto" w:after="120"/>
        <w:jc w:val="center"/>
      </w:pPr>
      <w:r>
        <w:rPr>
          <w:sz w:val="20"/>
        </w:rPr>
        <w:t>Figure 5.1: Published questionnaire Appendix, first page</w:t>
      </w:r>
    </w:p>
    <w:p>
      <w:pPr>
        <w:spacing w:line="240" w:lineRule="auto" w:after="100"/>
      </w:pPr>
      <w:r>
        <w:rPr>
          <w:i/>
          <w:color w:val="595959"/>
          <w:sz w:val="19"/>
        </w:rPr>
        <w:t>Source: Steenkamp et al. (2024, Appendix, p. 28).</w:t>
      </w:r>
    </w:p>
    <w:p>
      <w:r>
        <w:br w:type="page"/>
      </w:r>
    </w:p>
    <w:p>
      <w:pPr>
        <w:jc w:val="center"/>
      </w:pPr>
      <w:r>
        <w:drawing>
          <wp:inline xmlns:a="http://schemas.openxmlformats.org/drawingml/2006/main" xmlns:pic="http://schemas.openxmlformats.org/drawingml/2006/picture">
            <wp:extent cx="5394960" cy="5448375"/>
            <wp:docPr id="6" name="Picture 6" title="Conceptual framework" descr="Direct crop of the second published Steenkamp questionnaire Appendix page, including job application relevance, behavioural intention, and the seven-point response scale."/>
            <wp:cNvGraphicFramePr>
              <a:graphicFrameLocks noChangeAspect="1"/>
            </wp:cNvGraphicFramePr>
            <a:graphic>
              <a:graphicData uri="http://schemas.openxmlformats.org/drawingml/2006/picture">
                <pic:pic>
                  <pic:nvPicPr>
                    <pic:cNvPr id="0" name="Published_Questionnaire_Steenkamp_Appendix_p29_Direct_Crop.png"/>
                    <pic:cNvPicPr/>
                  </pic:nvPicPr>
                  <pic:blipFill>
                    <a:blip r:embed="rId16"/>
                    <a:stretch>
                      <a:fillRect/>
                    </a:stretch>
                  </pic:blipFill>
                  <pic:spPr>
                    <a:xfrm>
                      <a:off x="0" y="0"/>
                      <a:ext cx="5394960" cy="5448375"/>
                    </a:xfrm>
                    <a:prstGeom prst="rect"/>
                  </pic:spPr>
                </pic:pic>
              </a:graphicData>
            </a:graphic>
          </wp:inline>
        </w:drawing>
      </w:r>
    </w:p>
    <w:p>
      <w:pPr>
        <w:spacing w:line="240" w:lineRule="auto" w:after="120"/>
        <w:jc w:val="center"/>
      </w:pPr>
      <w:r>
        <w:rPr>
          <w:sz w:val="20"/>
        </w:rPr>
        <w:t>Figure 5.2: Published questionnaire Appendix, second page</w:t>
      </w:r>
    </w:p>
    <w:p>
      <w:pPr>
        <w:spacing w:line="240" w:lineRule="auto" w:after="100"/>
      </w:pPr>
      <w:r>
        <w:rPr>
          <w:i/>
          <w:color w:val="595959"/>
          <w:sz w:val="19"/>
        </w:rPr>
        <w:t>Source: Steenkamp et al. (2024, Appendix, p. 29).</w:t>
      </w:r>
    </w:p>
    <w:p>
      <w:pPr>
        <w:keepNext/>
        <w:spacing w:before="120" w:after="80"/>
        <w:ind w:firstLine="0"/>
      </w:pPr>
      <w:r>
        <w:rPr>
          <w:b/>
          <w:sz w:val="21"/>
        </w:rPr>
        <w:t>Table 5.1: Eighteen-item provenance matrix</w:t>
      </w:r>
    </w:p>
    <w:tbl>
      <w:tblPr>
        <w:tblStyle w:val="TableGrid"/>
        <w:tblW w:type="dxa" w:w="8928"/>
        <w:tblLayout w:type="fixed"/>
        <w:tblLook w:firstColumn="1" w:firstRow="1" w:lastColumn="0" w:lastRow="0" w:noHBand="0" w:noVBand="1" w:val="04A0"/>
        <w:jc w:val="left"/>
        <w:tblInd w:w="120" w:type="dxa"/>
      </w:tblPr>
      <w:tblGrid>
        <w:gridCol w:w="792"/>
        <w:gridCol w:w="1944"/>
        <w:gridCol w:w="4032"/>
        <w:gridCol w:w="2160"/>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Code</w:t>
            </w:r>
          </w:p>
        </w:tc>
        <w:tc>
          <w:tcPr>
            <w:tcW w:type="dxa" w:w="194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Exact construct</w:t>
            </w:r>
          </w:p>
        </w:tc>
        <w:tc>
          <w:tcPr>
            <w:tcW w:type="dxa" w:w="40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Published wording</w:t>
            </w:r>
          </w:p>
        </w:tc>
        <w:tc>
          <w:tcPr>
            <w:tcW w:type="dxa" w:w="216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Field wording/status</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PU1</w:t>
            </w:r>
          </w:p>
        </w:tc>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Perceived Usefulness</w:t>
            </w:r>
          </w:p>
        </w:tc>
        <w:tc>
          <w:tcPr>
            <w:tcW w:type="dxa" w:w="40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Using university-issued digital badges would increase my employability when I apply for jobs.</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Exact wording</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PU2</w:t>
            </w:r>
          </w:p>
        </w:tc>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Perceived Usefulness</w:t>
            </w:r>
          </w:p>
        </w:tc>
        <w:tc>
          <w:tcPr>
            <w:tcW w:type="dxa" w:w="40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Using university-issued digital badges would increase the quality of my job applications.</w:t>
            </w:r>
          </w:p>
        </w:tc>
        <w:tc>
          <w:tcPr>
            <w:tcW w:type="dxa" w:w="21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Exact wording</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PU3</w:t>
            </w:r>
          </w:p>
        </w:tc>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Perceived Usefulness</w:t>
            </w:r>
          </w:p>
        </w:tc>
        <w:tc>
          <w:tcPr>
            <w:tcW w:type="dxa" w:w="40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Using university-issued digital badges would enhance my effectiveness when I apply for jobs.</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Exact wording</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PU4</w:t>
            </w:r>
          </w:p>
        </w:tc>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Perceived Usefulness</w:t>
            </w:r>
          </w:p>
        </w:tc>
        <w:tc>
          <w:tcPr>
            <w:tcW w:type="dxa" w:w="40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 would find using university-issued digital badges useful when applying for jobs.</w:t>
            </w:r>
          </w:p>
        </w:tc>
        <w:tc>
          <w:tcPr>
            <w:tcW w:type="dxa" w:w="21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Exact wording</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PEOU1</w:t>
            </w:r>
          </w:p>
        </w:tc>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Perceived Ease of Use</w:t>
            </w:r>
          </w:p>
        </w:tc>
        <w:tc>
          <w:tcPr>
            <w:tcW w:type="dxa" w:w="40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If I were to obtain university-issued digital badges, my interaction with them would be clear and understandable.</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Exact wording</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PEOU2</w:t>
            </w:r>
          </w:p>
        </w:tc>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Perceived Ease of Use</w:t>
            </w:r>
          </w:p>
        </w:tc>
        <w:tc>
          <w:tcPr>
            <w:tcW w:type="dxa" w:w="40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If I were to obtain university-issued digital badges, interacting with them would not require a lot of my mental effort.</w:t>
            </w:r>
          </w:p>
        </w:tc>
        <w:tc>
          <w:tcPr>
            <w:tcW w:type="dxa" w:w="21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Exact wording</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PEOU3</w:t>
            </w:r>
          </w:p>
        </w:tc>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Perceived Ease of Use</w:t>
            </w:r>
          </w:p>
        </w:tc>
        <w:tc>
          <w:tcPr>
            <w:tcW w:type="dxa" w:w="40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If I were to obtain university-issued digital badges, I would find them easy to use.</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Exact wording</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PEOU4</w:t>
            </w:r>
          </w:p>
        </w:tc>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Perceived Ease of Use</w:t>
            </w:r>
          </w:p>
        </w:tc>
        <w:tc>
          <w:tcPr>
            <w:tcW w:type="dxa" w:w="40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If I were to obtain university-issued digital badges, I would find it easy to get them to do what I want them to do.</w:t>
            </w:r>
          </w:p>
        </w:tc>
        <w:tc>
          <w:tcPr>
            <w:tcW w:type="dxa" w:w="21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Exact wording</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SN1</w:t>
            </w:r>
          </w:p>
        </w:tc>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Subjective Norm</w:t>
            </w:r>
          </w:p>
        </w:tc>
        <w:tc>
          <w:tcPr>
            <w:tcW w:type="dxa" w:w="40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People who influence my behaviour think that I should use university-issued digital badges when applying for jobs.</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Exact wording</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SN2</w:t>
            </w:r>
          </w:p>
        </w:tc>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Subjective Norm</w:t>
            </w:r>
          </w:p>
        </w:tc>
        <w:tc>
          <w:tcPr>
            <w:tcW w:type="dxa" w:w="40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People who are important to me think that I should use university-issued digital badges when applying for jobs.</w:t>
            </w:r>
          </w:p>
        </w:tc>
        <w:tc>
          <w:tcPr>
            <w:tcW w:type="dxa" w:w="21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Exact wording</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SN3</w:t>
            </w:r>
          </w:p>
        </w:tc>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Subjective Norm</w:t>
            </w:r>
          </w:p>
        </w:tc>
        <w:tc>
          <w:tcPr>
            <w:tcW w:type="dxa" w:w="40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My university would be helpful in using university-issued digital badges for job applications.</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Exact wording</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SN4</w:t>
            </w:r>
          </w:p>
        </w:tc>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Subjective Norm</w:t>
            </w:r>
          </w:p>
        </w:tc>
        <w:tc>
          <w:tcPr>
            <w:tcW w:type="dxa" w:w="40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In general, my university would support the use of university-issued digital badges for job applications.</w:t>
            </w:r>
          </w:p>
        </w:tc>
        <w:tc>
          <w:tcPr>
            <w:tcW w:type="dxa" w:w="21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Exact wording</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REL1</w:t>
            </w:r>
          </w:p>
        </w:tc>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Job Application Relevance</w:t>
            </w:r>
          </w:p>
        </w:tc>
        <w:tc>
          <w:tcPr>
            <w:tcW w:type="dxa" w:w="40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When job searching, usage of university-issued digital badges is important.</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Exact wording</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REL2</w:t>
            </w:r>
          </w:p>
        </w:tc>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Job Application Relevance</w:t>
            </w:r>
          </w:p>
        </w:tc>
        <w:tc>
          <w:tcPr>
            <w:tcW w:type="dxa" w:w="40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When job searching, usage of university-issued digital badges is relevant.</w:t>
            </w:r>
          </w:p>
        </w:tc>
        <w:tc>
          <w:tcPr>
            <w:tcW w:type="dxa" w:w="21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Exact wording</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REL3</w:t>
            </w:r>
          </w:p>
        </w:tc>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Job Application Relevance</w:t>
            </w:r>
          </w:p>
        </w:tc>
        <w:tc>
          <w:tcPr>
            <w:tcW w:type="dxa" w:w="40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The use of university-issued digital badges is pertinent to my job searching activities.</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Exact wording</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BI1</w:t>
            </w:r>
          </w:p>
        </w:tc>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Behavioral Intention</w:t>
            </w:r>
          </w:p>
        </w:tc>
        <w:tc>
          <w:tcPr>
            <w:tcW w:type="dxa" w:w="40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Assuming I had access to university-issued digital badges I intend to use them when I apply for jobs.</w:t>
            </w:r>
          </w:p>
        </w:tc>
        <w:tc>
          <w:tcPr>
            <w:tcW w:type="dxa" w:w="21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Exact wording</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BI2</w:t>
            </w:r>
          </w:p>
        </w:tc>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Behavioral Intention</w:t>
            </w:r>
          </w:p>
        </w:tc>
        <w:tc>
          <w:tcPr>
            <w:tcW w:type="dxa" w:w="40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Given that I had access to university-issued digital badges, I predict that I would use them when I apply for jobs.</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Exact wording</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BI3</w:t>
            </w:r>
          </w:p>
        </w:tc>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Behavioral Intention</w:t>
            </w:r>
          </w:p>
        </w:tc>
        <w:tc>
          <w:tcPr>
            <w:tcW w:type="dxa" w:w="40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If I had access to university-issued digital badges, I would plan to use the when I apply for jobs in the next 12 months.</w:t>
            </w:r>
          </w:p>
        </w:tc>
        <w:tc>
          <w:tcPr>
            <w:tcW w:type="dxa" w:w="21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Typographical correction only: If I had access to university-issued digital badges, I would plan to use them when I apply for jobs in the next 12 months.</w:t>
            </w:r>
          </w:p>
        </w:tc>
      </w:tr>
    </w:tbl>
    <w:p>
      <w:pPr>
        <w:spacing w:after="0"/>
      </w:pPr>
    </w:p>
    <w:p>
      <w:pPr>
        <w:spacing w:line="240" w:lineRule="auto" w:after="100"/>
      </w:pPr>
      <w:r>
        <w:rPr>
          <w:i/>
          <w:color w:val="595959"/>
          <w:sz w:val="19"/>
        </w:rPr>
        <w:t>Response scale: 1 = Strongly disagree, 2 = Moderately disagree, 3 = Somewhat disagree, 4 = Neutral, 5 = Somewhat agree, 6 = Moderately agree, and 7 = Strongly agree.</w:t>
      </w:r>
    </w:p>
    <w:p>
      <w:pPr>
        <w:pStyle w:val="Heading1"/>
      </w:pPr>
      <w:r>
        <w:t>6. Requirement Check</w:t>
      </w:r>
    </w:p>
    <w:p>
      <w:pPr>
        <w:keepNext/>
        <w:spacing w:before="120" w:after="80"/>
        <w:ind w:firstLine="0"/>
      </w:pPr>
      <w:r>
        <w:rPr>
          <w:b/>
          <w:sz w:val="21"/>
        </w:rPr>
        <w:t>Table 6.1: Supervisor-requirement check</w:t>
      </w:r>
    </w:p>
    <w:tbl>
      <w:tblPr>
        <w:tblStyle w:val="TableGrid"/>
        <w:tblW w:type="dxa" w:w="8928"/>
        <w:tblLayout w:type="fixed"/>
        <w:tblLook w:firstColumn="1" w:firstRow="1" w:lastColumn="0" w:lastRow="0" w:noHBand="0" w:noVBand="1" w:val="04A0"/>
        <w:jc w:val="left"/>
        <w:tblInd w:w="120" w:type="dxa"/>
      </w:tblPr>
      <w:tblGrid>
        <w:gridCol w:w="2880"/>
        <w:gridCol w:w="3960"/>
        <w:gridCol w:w="2088"/>
      </w:tblGrid>
      <w:tr>
        <w:trPr>
          <w:tblHeader w:val="true"/>
          <w:cantSplit/>
        </w:trPr>
        <w:tc>
          <w:tcPr>
            <w:tcW w:type="dxa" w:w="288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Professor's requested component</w:t>
            </w:r>
          </w:p>
        </w:tc>
        <w:tc>
          <w:tcPr>
            <w:tcW w:type="dxa" w:w="396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Where it is provided</w:t>
            </w:r>
          </w:p>
        </w:tc>
        <w:tc>
          <w:tcPr>
            <w:tcW w:type="dxa" w:w="2088"/>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Status</w:t>
            </w:r>
          </w:p>
        </w:tc>
      </w:tr>
      <w:tr>
        <w:trPr>
          <w:cantSplit/>
        </w:trPr>
        <w:tc>
          <w:tcPr>
            <w:tcW w:type="dxa" w:w="28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Actual frameworks borrowed from previous studies</w:t>
            </w:r>
          </w:p>
        </w:tc>
        <w:tc>
          <w:tcPr>
            <w:tcW w:type="dxa" w:w="39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Figures 2.1-2.3 and thesis Section 3.1</w:t>
            </w:r>
          </w:p>
        </w:tc>
        <w:tc>
          <w:tcPr>
            <w:tcW w:type="dxa" w:w="208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Provided as published source images</w:t>
            </w:r>
          </w:p>
        </w:tc>
      </w:tr>
      <w:tr>
        <w:trPr>
          <w:cantSplit/>
        </w:trPr>
        <w:tc>
          <w:tcPr>
            <w:tcW w:type="dxa" w:w="288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Author's conceptual framework</w:t>
            </w:r>
          </w:p>
        </w:tc>
        <w:tc>
          <w:tcPr>
            <w:tcW w:type="dxa" w:w="39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Figure 3.1 and thesis Figure 3.4</w:t>
            </w:r>
          </w:p>
        </w:tc>
        <w:tc>
          <w:tcPr>
            <w:tcW w:type="dxa" w:w="208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Constructed from cited frameworks</w:t>
            </w:r>
          </w:p>
        </w:tc>
      </w:tr>
      <w:tr>
        <w:trPr>
          <w:cantSplit/>
        </w:trPr>
        <w:tc>
          <w:tcPr>
            <w:tcW w:type="dxa" w:w="28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Variables with exact names</w:t>
            </w:r>
          </w:p>
        </w:tc>
        <w:tc>
          <w:tcPr>
            <w:tcW w:type="dxa" w:w="39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Table 4.1 and thesis Table 3.1</w:t>
            </w:r>
          </w:p>
        </w:tc>
        <w:tc>
          <w:tcPr>
            <w:tcW w:type="dxa" w:w="208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All exact Steenkamp labels</w:t>
            </w:r>
          </w:p>
        </w:tc>
      </w:tr>
      <w:tr>
        <w:trPr>
          <w:cantSplit/>
        </w:trPr>
        <w:tc>
          <w:tcPr>
            <w:tcW w:type="dxa" w:w="288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Hypotheses supported by previous studies</w:t>
            </w:r>
          </w:p>
        </w:tc>
        <w:tc>
          <w:tcPr>
            <w:tcW w:type="dxa" w:w="39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Table 3.1 and thesis Sections 2.4 and 3.3</w:t>
            </w:r>
          </w:p>
        </w:tc>
        <w:tc>
          <w:tcPr>
            <w:tcW w:type="dxa" w:w="208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Four direct published paths</w:t>
            </w:r>
          </w:p>
        </w:tc>
      </w:tr>
      <w:tr>
        <w:trPr>
          <w:cantSplit/>
        </w:trPr>
        <w:tc>
          <w:tcPr>
            <w:tcW w:type="dxa" w:w="28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Borrowed questionnaire</w:t>
            </w:r>
          </w:p>
        </w:tc>
        <w:tc>
          <w:tcPr>
            <w:tcW w:type="dxa" w:w="39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Figures 5.1-5.2 and Table 5.1</w:t>
            </w:r>
          </w:p>
        </w:tc>
        <w:tc>
          <w:tcPr>
            <w:tcW w:type="dxa" w:w="208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All 18 items directly traceable</w:t>
            </w:r>
          </w:p>
        </w:tc>
      </w:tr>
      <w:tr>
        <w:trPr>
          <w:cantSplit/>
        </w:trPr>
        <w:tc>
          <w:tcPr>
            <w:tcW w:type="dxa" w:w="288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Operationalization</w:t>
            </w:r>
          </w:p>
        </w:tc>
        <w:tc>
          <w:tcPr>
            <w:tcW w:type="dxa" w:w="39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Thesis Table 3.2</w:t>
            </w:r>
          </w:p>
        </w:tc>
        <w:tc>
          <w:tcPr>
            <w:tcW w:type="dxa" w:w="208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Full definitions, item wording, scale, and source</w:t>
            </w:r>
          </w:p>
        </w:tc>
      </w:tr>
      <w:tr>
        <w:trPr>
          <w:cantSplit/>
        </w:trPr>
        <w:tc>
          <w:tcPr>
            <w:tcW w:type="dxa" w:w="28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Pilot</w:t>
            </w:r>
          </w:p>
        </w:tc>
        <w:tc>
          <w:tcPr>
            <w:tcW w:type="dxa" w:w="39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Thesis Section 4.4</w:t>
            </w:r>
          </w:p>
        </w:tc>
        <w:tc>
          <w:tcPr>
            <w:tcW w:type="dxa" w:w="208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Forty eligible pilot participants</w:t>
            </w:r>
          </w:p>
        </w:tc>
      </w:tr>
    </w:tbl>
    <w:p>
      <w:pPr>
        <w:spacing w:after="0"/>
      </w:pPr>
    </w:p>
    <w:p>
      <w:pPr>
        <w:pStyle w:val="Heading1"/>
      </w:pPr>
      <w:r>
        <w:t>7. References</w:t>
      </w:r>
    </w:p>
    <w:p>
      <w:pPr>
        <w:spacing w:line="240" w:lineRule="auto" w:after="40"/>
        <w:ind w:hanging="432" w:left="432"/>
        <w:jc w:val="left"/>
      </w:pPr>
      <w:r>
        <w:rPr>
          <w:sz w:val="18"/>
        </w:rPr>
        <w:t>Abdullah, F., and Ward, R. (2016). Developing a general extended technology acceptance model for e-learning (GETAMEL) by analysing commonly used external factors. Computers in Human Behavior, 56, 238-256. https://doi.org/10.1016/j.chb.2015.11.036</w:t>
      </w:r>
    </w:p>
    <w:p>
      <w:pPr>
        <w:spacing w:line="240" w:lineRule="auto" w:after="40"/>
        <w:ind w:hanging="432" w:left="432"/>
        <w:jc w:val="left"/>
      </w:pPr>
      <w:r>
        <w:rPr>
          <w:sz w:val="18"/>
        </w:rPr>
        <w:t>Abdullah, F., Ward, R., and Ahmed, E. (2016). Investigating the influence of the most commonly used external variables of TAM on students' perceived ease of use and perceived usefulness of e-portfolios. Computers in Human Behavior, 63, 75-90. https://doi.org/10.1016/j.chb.2016.05.014</w:t>
      </w:r>
    </w:p>
    <w:p>
      <w:pPr>
        <w:spacing w:line="240" w:lineRule="auto" w:after="40"/>
        <w:ind w:hanging="432" w:left="432"/>
        <w:jc w:val="left"/>
      </w:pPr>
      <w:r>
        <w:rPr>
          <w:sz w:val="18"/>
        </w:rPr>
        <w:t>Ajzen, I. (1991). The theory of planned behavior. Organizational Behavior and Human Decision Processes, 50(2), 179-211. https://doi.org/10.1016/0749-5978(91)90020-T</w:t>
      </w:r>
    </w:p>
    <w:p>
      <w:pPr>
        <w:spacing w:line="240" w:lineRule="auto" w:after="40"/>
        <w:ind w:hanging="432" w:left="432"/>
        <w:jc w:val="left"/>
      </w:pPr>
      <w:r>
        <w:rPr>
          <w:sz w:val="18"/>
        </w:rPr>
        <w:t>Brislin, R. W. (1970). Back-translation for cross-cultural research. Journal of Cross-Cultural Psychology, 1(3), 185-216. https://doi.org/10.1177/135910457000100301</w:t>
      </w:r>
    </w:p>
    <w:p>
      <w:pPr>
        <w:spacing w:line="240" w:lineRule="auto" w:after="40"/>
        <w:ind w:hanging="432" w:left="432"/>
        <w:jc w:val="left"/>
      </w:pPr>
      <w:r>
        <w:rPr>
          <w:sz w:val="18"/>
        </w:rPr>
        <w:t>Council of the European Union. (2022). Council Recommendation of 16 June 2022 on a European approach to micro-credentials for lifelong learning and employability (2022/C 243/02). Official Journal of the European Union, C 243, 10-25.</w:t>
      </w:r>
    </w:p>
    <w:p>
      <w:pPr>
        <w:spacing w:line="240" w:lineRule="auto" w:after="40"/>
        <w:ind w:hanging="432" w:left="432"/>
        <w:jc w:val="left"/>
      </w:pPr>
      <w:r>
        <w:rPr>
          <w:sz w:val="18"/>
        </w:rPr>
        <w:t>Davis, F. D. (1989). Perceived usefulness, perceived ease of use, and user acceptance of information technology. MIS Quarterly, 13(3), 319-340. https://doi.org/10.2307/249008</w:t>
      </w:r>
    </w:p>
    <w:p>
      <w:pPr>
        <w:spacing w:line="240" w:lineRule="auto" w:after="40"/>
        <w:ind w:hanging="432" w:left="432"/>
        <w:jc w:val="left"/>
      </w:pPr>
      <w:r>
        <w:rPr>
          <w:sz w:val="18"/>
        </w:rPr>
        <w:t>Fishbein, M., and Ajzen, I. (1975). Belief, attitude, intention and behavior: An introduction to theory and research. Addison-Wesley.</w:t>
      </w:r>
    </w:p>
    <w:p>
      <w:pPr>
        <w:spacing w:line="240" w:lineRule="auto" w:after="40"/>
        <w:ind w:hanging="432" w:left="432"/>
        <w:jc w:val="left"/>
      </w:pPr>
      <w:r>
        <w:rPr>
          <w:sz w:val="18"/>
        </w:rPr>
        <w:t>Granic, A., and Marangunic, N. (2019). Technology acceptance model in educational context: A systematic literature review. British Journal of Educational Technology, 50(5), 2572-2593. https://doi.org/10.1111/bjet.12864</w:t>
      </w:r>
    </w:p>
    <w:p>
      <w:pPr>
        <w:spacing w:line="240" w:lineRule="auto" w:after="40"/>
        <w:ind w:hanging="432" w:left="432"/>
        <w:jc w:val="left"/>
      </w:pPr>
      <w:r>
        <w:rPr>
          <w:sz w:val="18"/>
        </w:rPr>
        <w:t>Hair, J. F., Hult, G. T. M., Ringle, C. M., and Sarstedt, M. (2022). A primer on partial least squares structural equation modeling (PLS-SEM) (3rd ed.). Sage.</w:t>
      </w:r>
    </w:p>
    <w:p>
      <w:pPr>
        <w:spacing w:line="240" w:lineRule="auto" w:after="40"/>
        <w:ind w:hanging="432" w:left="432"/>
        <w:jc w:val="left"/>
      </w:pPr>
      <w:r>
        <w:rPr>
          <w:sz w:val="18"/>
        </w:rPr>
        <w:t>Hertzog, M. A. (2008). Considerations in determining sample size for pilot studies. Research in Nursing &amp; Health, 31(2), 180-191. https://doi.org/10.1002/nur.20247</w:t>
      </w:r>
    </w:p>
    <w:p>
      <w:pPr>
        <w:spacing w:line="240" w:lineRule="auto" w:after="40"/>
        <w:ind w:hanging="432" w:left="432"/>
        <w:jc w:val="left"/>
      </w:pPr>
      <w:r>
        <w:rPr>
          <w:sz w:val="18"/>
        </w:rPr>
        <w:t>Johanson, G. A., and Brooks, G. P. (2010). Initial scale development: Sample size for pilot studies. Educational and Psychological Measurement, 70(3), 394-400. https://doi.org/10.1177/0013164409355692</w:t>
      </w:r>
    </w:p>
    <w:p>
      <w:pPr>
        <w:spacing w:line="240" w:lineRule="auto" w:after="40"/>
        <w:ind w:hanging="432" w:left="432"/>
        <w:jc w:val="left"/>
      </w:pPr>
      <w:r>
        <w:rPr>
          <w:sz w:val="18"/>
        </w:rPr>
        <w:t>Kiiskila, P., Kukkonen, A., and Pirkkalainen, H. (2023). Are micro-credentials valuable for students? Perspective on verifiable digital credentials. SN Computer Science, 4, Article 366. https://doi.org/10.1007/s42979-023-01797-y</w:t>
      </w:r>
    </w:p>
    <w:p>
      <w:pPr>
        <w:spacing w:line="240" w:lineRule="auto" w:after="40"/>
        <w:ind w:hanging="432" w:left="432"/>
        <w:jc w:val="left"/>
      </w:pPr>
      <w:r>
        <w:rPr>
          <w:sz w:val="18"/>
        </w:rPr>
        <w:t>Krejcie, R. V., and Morgan, D. W. (1970). Determining sample size for research activities. Educational and Psychological Measurement, 30(3), 607-610. https://doi.org/10.1177/001316447003000308</w:t>
      </w:r>
    </w:p>
    <w:p>
      <w:pPr>
        <w:spacing w:line="240" w:lineRule="auto" w:after="40"/>
        <w:ind w:hanging="432" w:left="432"/>
        <w:jc w:val="left"/>
      </w:pPr>
      <w:r>
        <w:rPr>
          <w:sz w:val="18"/>
        </w:rPr>
        <w:t>Miao, M., Ahmed, M., Ahsan, N., and Qamar, B. (2024). Intention to use technology for micro-credential programs: Evidence from technology acceptance and self-determination model. International Journal of Educational Management, 38(4), 948-977. https://doi.org/10.1108/IJEM-02-2023-0066</w:t>
      </w:r>
    </w:p>
    <w:p>
      <w:pPr>
        <w:spacing w:line="240" w:lineRule="auto" w:after="40"/>
        <w:ind w:hanging="432" w:left="432"/>
        <w:jc w:val="left"/>
      </w:pPr>
      <w:r>
        <w:rPr>
          <w:sz w:val="18"/>
        </w:rPr>
        <w:t>Moore, G. C., and Benbasat, I. (1991). Development of an instrument to measure the perceptions of adopting an information technology innovation. Information Systems Research, 2(3), 192-222. https://doi.org/10.1287/isre.2.3.192</w:t>
      </w:r>
    </w:p>
    <w:p>
      <w:pPr>
        <w:spacing w:line="240" w:lineRule="auto" w:after="40"/>
        <w:ind w:hanging="432" w:left="432"/>
        <w:jc w:val="left"/>
      </w:pPr>
      <w:r>
        <w:rPr>
          <w:sz w:val="18"/>
        </w:rPr>
        <w:t>Schepers, J., and Wetzels, M. (2007). A meta-analysis of the technology acceptance model: Investigating subjective norm and moderation effects. Information &amp; Management, 44(1), 90-103. https://doi.org/10.1016/j.im.2006.10.007</w:t>
      </w:r>
    </w:p>
    <w:p>
      <w:pPr>
        <w:spacing w:line="240" w:lineRule="auto" w:after="40"/>
        <w:ind w:hanging="432" w:left="432"/>
        <w:jc w:val="left"/>
      </w:pPr>
      <w:r>
        <w:rPr>
          <w:sz w:val="18"/>
        </w:rPr>
        <w:t>Steenkamp, N., Fisher, R., and Nesbit, T. (2024). Understanding accounting students' intentions to use digital badges to showcase employability skills. Accounting Education, 33(6), 906-934. https://doi.org/10.1080/09639284.2023.2276200</w:t>
      </w:r>
    </w:p>
    <w:p>
      <w:pPr>
        <w:spacing w:line="240" w:lineRule="auto" w:after="40"/>
        <w:ind w:hanging="432" w:left="432"/>
        <w:jc w:val="left"/>
      </w:pPr>
      <w:r>
        <w:rPr>
          <w:sz w:val="18"/>
        </w:rPr>
        <w:t>Sykes, T. A., Venkatesh, V., and Johnson, J. L. (2014). Enterprise system implementation and employee job performance: Understanding the role of advice networks. MIS Quarterly, 38(1), 51-72. https://doi.org/10.25300/MISQ/2014/38.1.03</w:t>
      </w:r>
    </w:p>
    <w:p>
      <w:pPr>
        <w:spacing w:line="240" w:lineRule="auto" w:after="40"/>
        <w:ind w:hanging="432" w:left="432"/>
        <w:jc w:val="left"/>
      </w:pPr>
      <w:r>
        <w:rPr>
          <w:sz w:val="18"/>
        </w:rPr>
        <w:t>Taylor, S., and Todd, P. A. (1995). Understanding information technology usage: A test of competing models. Information Systems Research, 6(2), 144-176. https://doi.org/10.1287/isre.6.2.144</w:t>
      </w:r>
    </w:p>
    <w:p>
      <w:pPr>
        <w:spacing w:line="240" w:lineRule="auto" w:after="40"/>
        <w:ind w:hanging="432" w:left="432"/>
        <w:jc w:val="left"/>
      </w:pPr>
      <w:r>
        <w:rPr>
          <w:sz w:val="18"/>
        </w:rPr>
        <w:t>UNESCO. (2022). Towards a common definition of micro-credentials. UNESCO. https://unesdoc.unesco.org/ark:/48223/pf0000381668</w:t>
      </w:r>
    </w:p>
    <w:p>
      <w:pPr>
        <w:spacing w:line="240" w:lineRule="auto" w:after="40"/>
        <w:ind w:hanging="432" w:left="432"/>
        <w:jc w:val="left"/>
      </w:pPr>
      <w:r>
        <w:rPr>
          <w:sz w:val="18"/>
        </w:rPr>
        <w:t>Ursavas, O. F., Yalcin, Y., and Bakir, E. (2019). The effect of subjective norms on preservice and in-service teachers' behavioural intentions to use technology: A multigroup multimodel study. British Journal of Educational Technology, 50(5), 2501-2519. https://doi.org/10.1111/bjet.12834</w:t>
      </w:r>
    </w:p>
    <w:p>
      <w:pPr>
        <w:spacing w:line="240" w:lineRule="auto" w:after="40"/>
        <w:ind w:hanging="432" w:left="432"/>
        <w:jc w:val="left"/>
      </w:pPr>
      <w:r>
        <w:rPr>
          <w:sz w:val="18"/>
        </w:rPr>
        <w:t>Venkatesh, V. (2000). Determinants of perceived ease of use: Integrating control, intrinsic motivation, and emotion into the technology acceptance model. Information Systems Research, 11(4), 342-365. https://doi.org/10.1287/isre.11.4.342.11872</w:t>
      </w:r>
    </w:p>
    <w:p>
      <w:pPr>
        <w:spacing w:line="240" w:lineRule="auto" w:after="40"/>
        <w:ind w:hanging="432" w:left="432"/>
        <w:jc w:val="left"/>
      </w:pPr>
      <w:r>
        <w:rPr>
          <w:sz w:val="18"/>
        </w:rPr>
        <w:t>Venkatesh, V., and Bala, H. (2008). Technology acceptance model 3 and a research agenda on interventions. Decision Sciences, 39(2), 273-315. https://doi.org/10.1111/j.1540-5915.2008.00192.x</w:t>
      </w:r>
    </w:p>
    <w:p>
      <w:pPr>
        <w:spacing w:line="240" w:lineRule="auto" w:after="40"/>
        <w:ind w:hanging="432" w:left="432"/>
        <w:jc w:val="left"/>
      </w:pPr>
      <w:r>
        <w:rPr>
          <w:sz w:val="18"/>
        </w:rPr>
        <w:t>Venkatesh, V., and Davis, F. D. (2000). A theoretical extension of the technology acceptance model: Four longitudinal field studies. Management Science, 46(2), 186-204. https://doi.org/10.1287/mnsc.46.2.186.11926</w:t>
      </w:r>
    </w:p>
    <w:p>
      <w:pPr>
        <w:spacing w:line="240" w:lineRule="auto" w:after="40"/>
        <w:ind w:hanging="432" w:left="432"/>
        <w:jc w:val="left"/>
      </w:pPr>
      <w:r>
        <w:rPr>
          <w:sz w:val="18"/>
        </w:rPr>
        <w:t>Venkatesh, V., Morris, M. G., Davis, G. B., and Davis, F. D. (2003). User acceptance of information technology: Toward a unified view. MIS Quarterly, 27(3), 425-478. https://doi.org/10.2307/30036540</w:t>
      </w:r>
    </w:p>
    <w:sectPr w:rsidR="00FC693F" w:rsidRPr="0006063C" w:rsidSect="00034616">
      <w:footerReference w:type="default" r:id="rId9"/>
      <w:head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60"/>
      <w:contextualSpacing/>
    </w:pPr>
    <w:rPr>
      <w:rFonts w:asciiTheme="majorHAnsi" w:eastAsiaTheme="majorEastAsia" w:hAnsiTheme="majorHAnsi" w:cstheme="majorBidi" w:ascii="Times New Roman" w:hAnsi="Times New Roman" w:eastAsia="Times New Roman"/>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