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24"/>
        </w:rPr>
        <w:t>MASTER'S THESIS</w:t>
      </w:r>
    </w:p>
    <w:p>
      <w:pPr>
        <w:jc w:val="center"/>
      </w:pPr>
      <w:r>
        <w:rPr>
          <w:b/>
          <w:sz w:val="34"/>
        </w:rPr>
        <w:t>Factors Influencing Thai IT Students' Intentions to Use University-Issued Digital Badges for IT Micro-Credentials in Job Applications</w:t>
      </w:r>
    </w:p>
    <w:p>
      <w:pPr>
        <w:jc w:val="center"/>
      </w:pPr>
      <w:r>
        <w:rPr>
          <w:i/>
          <w:color w:val="595959"/>
          <w:sz w:val="26"/>
        </w:rPr>
        <w:t>A Quantitative Study Using an Extended Technology Acceptance Model</w:t>
      </w:r>
    </w:p>
    <w:p/>
    <w:p/>
    <w:p/>
    <w:p/>
    <w:p/>
    <w:p>
      <w:pPr>
        <w:jc w:val="center"/>
      </w:pPr>
      <w:r>
        <w:rPr>
          <w:b/>
          <w:sz w:val="26"/>
        </w:rPr>
        <w:t>Min Thiha Oo</w:t>
      </w:r>
    </w:p>
    <w:p>
      <w:pPr>
        <w:jc w:val="center"/>
      </w:pPr>
      <w:r>
        <w:rPr>
          <w:sz w:val="24"/>
        </w:rPr>
        <w:t>August 2026</w:t>
      </w:r>
    </w:p>
    <w:p>
      <w:r>
        <w:br w:type="page"/>
      </w:r>
    </w:p>
    <w:p>
      <w:pPr>
        <w:pStyle w:val="Heading1"/>
      </w:pPr>
      <w:r>
        <w:t>Abstract</w:t>
      </w:r>
    </w:p>
    <w:p>
      <w:pPr/>
      <w:r>
        <w:t>University-issued digital badges can provide students with a verifiable way to present learning achievements from IT micro-credentials in job applications. Their practical value, however, depends partly on whether students intend to use them. This study examines the factors associated with Thai IT students' intentions to use university-issued digital badges when applying for jobs. The conceptual framework and questionnaire are adopted from the extended Technology Acceptance Model developed for digital badges by Steenkamp, Fisher, and Nesbit (2024). The model contains 11 constructs and 13 hypothesised relationships involving perceived usefulness, perceived ease of use, social influence, job relevance, facilitating conditions, computer-related beliefs, and behavioural intention. A quantitative cross-sectional survey will be conducted with students aged 18 years or older who are enrolled in IT-related university programmes in Thailand. Following a pilot study of 40 eligible students, at least 384 usable responses will be collected for the main study. The measurement and structural models will be assessed using partial least squares structural equation modelling. The findings are expected to extend evidence on student adoption of digital credentials and inform Thai universities considering IT micro-credential badge initiatives.</w:t>
      </w:r>
    </w:p>
    <w:p>
      <w:pPr/>
      <w:r>
        <w:rPr>
          <w:b/>
        </w:rPr>
        <w:t xml:space="preserve">Keywords: </w:t>
      </w:r>
      <w:r>
        <w:t>digital badges, micro-credentials, technology acceptance model, behavioural intention, Thai IT students</w:t>
      </w:r>
    </w:p>
    <w:p>
      <w:r>
        <w:br w:type="page"/>
      </w:r>
    </w:p>
    <w:p>
      <w:pPr>
        <w:pStyle w:val="Heading1"/>
      </w:pPr>
      <w:r>
        <w:t>Table of Contents</w:t>
      </w:r>
    </w:p>
    <w:p>
      <w:pPr>
        <w:tabs>
          <w:tab w:pos="8640" w:val="right" w:leader="dot"/>
        </w:tabs>
        <w:spacing w:line="240" w:lineRule="auto" w:after="0"/>
        <w:ind w:left="0"/>
      </w:pPr>
      <w:r>
        <w:rPr>
          <w:b/>
          <w:sz w:val="17"/>
        </w:rPr>
        <w:t>CHAPTER 1: INTRODUCTION</w:t>
      </w:r>
      <w:r>
        <w:rPr>
          <w:b/>
          <w:sz w:val="17"/>
        </w:rPr>
        <w:tab/>
        <w:t>4</w:t>
      </w:r>
    </w:p>
    <w:p>
      <w:pPr>
        <w:tabs>
          <w:tab w:pos="8640" w:val="right" w:leader="dot"/>
        </w:tabs>
        <w:spacing w:line="240" w:lineRule="auto" w:after="0"/>
        <w:ind w:left="0"/>
      </w:pPr>
      <w:r>
        <w:rPr>
          <w:b/>
          <w:sz w:val="17"/>
        </w:rPr>
        <w:t>CHAPTER 2: LITERATURE REVIEW</w:t>
      </w:r>
      <w:r>
        <w:rPr>
          <w:b/>
          <w:sz w:val="17"/>
        </w:rPr>
        <w:tab/>
        <w:t>7</w:t>
      </w:r>
    </w:p>
    <w:p>
      <w:pPr>
        <w:tabs>
          <w:tab w:pos="8640" w:val="right" w:leader="dot"/>
        </w:tabs>
        <w:spacing w:line="240" w:lineRule="auto" w:after="0"/>
        <w:ind w:left="0"/>
      </w:pPr>
      <w:r>
        <w:rPr>
          <w:b/>
          <w:sz w:val="17"/>
        </w:rPr>
        <w:t>CHAPTER 3: RESEARCH FRAMEWORK</w:t>
      </w:r>
      <w:r>
        <w:rPr>
          <w:b/>
          <w:sz w:val="17"/>
        </w:rPr>
        <w:tab/>
        <w:t>11</w:t>
      </w:r>
    </w:p>
    <w:p>
      <w:pPr>
        <w:tabs>
          <w:tab w:pos="8640" w:val="right" w:leader="dot"/>
        </w:tabs>
        <w:spacing w:line="240" w:lineRule="auto" w:after="0"/>
        <w:ind w:left="0"/>
      </w:pPr>
      <w:r>
        <w:rPr>
          <w:b/>
          <w:sz w:val="17"/>
        </w:rPr>
        <w:t>CHAPTER 4: RESEARCH METHODOLOGY</w:t>
      </w:r>
      <w:r>
        <w:rPr>
          <w:b/>
          <w:sz w:val="17"/>
        </w:rPr>
        <w:tab/>
        <w:t>15</w:t>
      </w:r>
    </w:p>
    <w:p>
      <w:pPr>
        <w:tabs>
          <w:tab w:pos="8640" w:val="right" w:leader="dot"/>
        </w:tabs>
        <w:spacing w:line="240" w:lineRule="auto" w:after="0"/>
        <w:ind w:left="0"/>
      </w:pPr>
      <w:r>
        <w:rPr>
          <w:b/>
          <w:sz w:val="17"/>
        </w:rPr>
        <w:t>References</w:t>
      </w:r>
      <w:r>
        <w:rPr>
          <w:b/>
          <w:sz w:val="17"/>
        </w:rPr>
        <w:tab/>
        <w:t>22</w:t>
      </w:r>
    </w:p>
    <w:p>
      <w:r>
        <w:br w:type="page"/>
      </w:r>
    </w:p>
    <w:p>
      <w:pPr>
        <w:pStyle w:val="Heading1"/>
      </w:pPr>
      <w:r>
        <w:t>CHAPTER 1: INTRODUCTION</w:t>
      </w:r>
    </w:p>
    <w:p>
      <w:pPr>
        <w:pStyle w:val="Heading2"/>
      </w:pPr>
      <w:r>
        <w:t>1.1 Background of the Study</w:t>
      </w:r>
    </w:p>
    <w:p>
      <w:r>
        <w:t>Micro-credentials certify learning outcomes acquired through a comparatively small volume of learning and are intended to support flexible learning and employability (Council of the European Union, 2022; UNESCO, 2022). A digital badge is a visual and potentially verifiable representation of an achievement. It can contain information about the issuer, recipient, assessment criteria, and learning outcome (Kiiskila et al., 2023; Steenkamp et al., 2024). Although the terms are related, the micro-credential is the record of learning, whereas the badge is one way of representing and sharing that record.</w:t>
      </w:r>
    </w:p>
    <w:p>
      <w:r>
        <w:t>For university students, a badge may provide an additional way to communicate skills in online profiles and job-application materials. The availability of a badge does not necessarily mean that students will use it. Adoption may depend on whether students regard the badge as useful and easy to use, whether important people and institutions support its use, whether it is relevant to job applications, and whether students have the confidence and resources needed to use it (Steenkamp et al., 2024).</w:t>
      </w:r>
    </w:p>
    <w:p>
      <w:r>
        <w:t>The Technology Acceptance Model (TAM) explains technology use through beliefs about usefulness and ease of use (Davis, 1989). Later extensions identify social influence, task relevance, perceived control, computer self-efficacy, computer anxiety, and computer playfulness as additional determinants of acceptance (Venkatesh, 2000; Venkatesh &amp; Bala, 2008). Steenkamp et al. (2024) applied these relationships specifically to university-issued digital badges used in job applications. The present study applies that established model to IT students in Thailand.</w:t>
      </w:r>
    </w:p>
    <w:p>
      <w:pPr>
        <w:pStyle w:val="Heading2"/>
      </w:pPr>
      <w:r>
        <w:t>1.2 Statement of the Problem</w:t>
      </w:r>
    </w:p>
    <w:p>
      <w:r>
        <w:t>Universities may invest in IT micro-credentials and digital-badge systems without knowing whether students will use the badges when seeking employment. Existing research has examined digital-badge adoption among accounting students in New Zealand (Steenkamp et al., 2024) and technology use for micro-credential programmes in other national settings (Miao et al., 2024). Evidence remains limited for students in IT-related programmes in Thailand. Without such evidence, Thai universities have little empirical guidance on the beliefs and conditions most closely associated with students' intention to use university-issued badges in job applications. This study addresses that gap by testing an established digital-badge acceptance model in the Thai IT-student context.</w:t>
      </w:r>
    </w:p>
    <w:p>
      <w:pPr>
        <w:pStyle w:val="Heading2"/>
      </w:pPr>
      <w:r>
        <w:t>1.3 Research Objectives</w:t>
      </w:r>
    </w:p>
    <w:p>
      <w:pPr>
        <w:spacing w:after="40"/>
        <w:numPr>
          <w:ilvl w:val="0"/>
          <w:numId w:val="10"/>
        </w:numPr>
      </w:pPr>
      <w:r>
        <w:t>To assess Thai IT students' intention to use university-issued digital badges when applying for jobs.</w:t>
      </w:r>
    </w:p>
    <w:p>
      <w:pPr>
        <w:spacing w:after="40"/>
        <w:numPr>
          <w:ilvl w:val="0"/>
          <w:numId w:val="10"/>
        </w:numPr>
      </w:pPr>
      <w:r>
        <w:t>To examine the effects of perceived usefulness, perceived ease of use, and subjective norm on behavioural intention.</w:t>
      </w:r>
    </w:p>
    <w:p>
      <w:pPr>
        <w:spacing w:after="40"/>
        <w:numPr>
          <w:ilvl w:val="0"/>
          <w:numId w:val="10"/>
        </w:numPr>
      </w:pPr>
      <w:r>
        <w:t>To examine the effects of perceived ease of use, subjective norm, image, job application relevance, and result demonstrability on perceived usefulness.</w:t>
      </w:r>
    </w:p>
    <w:p>
      <w:pPr>
        <w:spacing w:after="40"/>
        <w:numPr>
          <w:ilvl w:val="0"/>
          <w:numId w:val="10"/>
        </w:numPr>
      </w:pPr>
      <w:r>
        <w:t>To examine the effects of computer self-efficacy, perceptions of external control, computer anxiety, and computer playfulness on perceived ease of use.</w:t>
      </w:r>
    </w:p>
    <w:p>
      <w:pPr>
        <w:pStyle w:val="Heading2"/>
      </w:pPr>
      <w:r>
        <w:t>1.4 Research Questions</w:t>
      </w:r>
    </w:p>
    <w:p>
      <w:pPr>
        <w:spacing w:after="40"/>
        <w:numPr>
          <w:ilvl w:val="0"/>
          <w:numId w:val="11"/>
        </w:numPr>
      </w:pPr>
      <w:r>
        <w:t>To what extent do Thai IT students intend to use university-issued digital badges to showcase employability skills in job applications?</w:t>
      </w:r>
    </w:p>
    <w:p>
      <w:pPr>
        <w:spacing w:after="40"/>
        <w:numPr>
          <w:ilvl w:val="0"/>
          <w:numId w:val="11"/>
        </w:numPr>
      </w:pPr>
      <w:r>
        <w:t>How do perceived usefulness, perceived ease of use, and subjective norm influence behavioural intention?</w:t>
      </w:r>
    </w:p>
    <w:p>
      <w:pPr>
        <w:spacing w:after="40"/>
        <w:numPr>
          <w:ilvl w:val="0"/>
          <w:numId w:val="11"/>
        </w:numPr>
      </w:pPr>
      <w:r>
        <w:t>How do perceived ease of use, subjective norm, image, job application relevance, and result demonstrability influence perceived usefulness?</w:t>
      </w:r>
    </w:p>
    <w:p>
      <w:pPr>
        <w:spacing w:after="40"/>
        <w:numPr>
          <w:ilvl w:val="0"/>
          <w:numId w:val="11"/>
        </w:numPr>
      </w:pPr>
      <w:r>
        <w:t>How do computer self-efficacy, perceptions of external control, computer anxiety, and computer playfulness influence perceived ease of use?</w:t>
      </w:r>
    </w:p>
    <w:p>
      <w:pPr>
        <w:pStyle w:val="Heading2"/>
      </w:pPr>
      <w:r>
        <w:t>1.5 Scope of the Research</w:t>
      </w:r>
    </w:p>
    <w:p>
      <w:pPr>
        <w:pStyle w:val="ListBullet"/>
        <w:spacing w:after="40"/>
        <w:ind w:left="576"/>
      </w:pPr>
      <w:r>
        <w:t xml:space="preserve"> Population: university students aged 18 or above who are enrolled in an IT-related program in Thailand.</w:t>
      </w:r>
    </w:p>
    <w:p>
      <w:pPr>
        <w:pStyle w:val="ListBullet"/>
        <w:spacing w:after="40"/>
        <w:ind w:left="576"/>
      </w:pPr>
      <w:r>
        <w:t xml:space="preserve"> Focal object: a university-issued digital badge representing completion of an IT micro-credential and usable in job applications.</w:t>
      </w:r>
    </w:p>
    <w:p>
      <w:pPr>
        <w:pStyle w:val="ListBullet"/>
        <w:spacing w:after="40"/>
        <w:ind w:left="576"/>
      </w:pPr>
      <w:r>
        <w:t xml:space="preserve"> Variables: 11 constructs from the extended Technology Acceptance Model applied by Steenkamp et al. (2024).</w:t>
      </w:r>
    </w:p>
    <w:p>
      <w:pPr>
        <w:pStyle w:val="ListBullet"/>
        <w:spacing w:after="40"/>
        <w:ind w:left="576"/>
      </w:pPr>
      <w:r>
        <w:t xml:space="preserve"> Instrument: 40 construct items measured on a seven-point Likert agreement scale.</w:t>
      </w:r>
    </w:p>
    <w:p>
      <w:pPr>
        <w:pStyle w:val="ListBullet"/>
        <w:spacing w:after="40"/>
        <w:ind w:left="576"/>
      </w:pPr>
      <w:r>
        <w:t xml:space="preserve"> Method: a pilot study followed by a cross-sectional online survey and PLS-SEM analysis.</w:t>
      </w:r>
    </w:p>
    <w:p>
      <w:pPr>
        <w:pStyle w:val="Heading2"/>
      </w:pPr>
      <w:r>
        <w:t>1.6 Research Limitations</w:t>
      </w:r>
    </w:p>
    <w:p>
      <w:r>
        <w:t>The cross-sectional, self-report design can estimate associations and predictive paths but cannot prove actual badge use, employer recognition, employment, or causal effects. Non-probability recruitment may limit representativeness. Students may also have limited prior experience with digital badges; therefore a neutral definition will precede the construct items. Translation can introduce semantic differences, which will be managed through forward translation, independent back-translation, and the required pilot.</w:t>
      </w:r>
    </w:p>
    <w:p>
      <w:pPr>
        <w:pStyle w:val="Heading2"/>
      </w:pPr>
      <w:r>
        <w:t>1.7 Significance of the Study</w:t>
      </w:r>
    </w:p>
    <w:p>
      <w:r>
        <w:t>The study extends the application of TAM3-related constructs to digital credentials in a Thai higher-education setting. It also provides practical evidence about the factors associated with students' willingness to use badges issued for IT micro-credentials. The findings may assist universities in planning badge communication, student support, training, and integration with career-development activities. The outcome measured is behavioural intention rather than actual employment or employer evaluation.</w:t>
      </w:r>
    </w:p>
    <w:p>
      <w:pPr>
        <w:pStyle w:val="Heading2"/>
      </w:pPr>
      <w:r>
        <w:t>1.8 Definition of Key Terms</w:t>
      </w:r>
    </w:p>
    <w:p>
      <w:pPr>
        <w:keepNext/>
        <w:spacing w:before="120" w:after="80"/>
        <w:ind w:firstLine="0"/>
      </w:pPr>
      <w:r>
        <w:rPr>
          <w:b/>
          <w:sz w:val="21"/>
        </w:rPr>
        <w:t>Table 1.1: Working definitions</w:t>
      </w:r>
    </w:p>
    <w:tbl>
      <w:tblPr>
        <w:tblStyle w:val="TableGrid"/>
        <w:tblW w:type="dxa" w:w="8928"/>
        <w:tblLayout w:type="fixed"/>
        <w:tblLook w:firstColumn="1" w:firstRow="1" w:lastColumn="0" w:lastRow="0" w:noHBand="0" w:noVBand="1" w:val="04A0"/>
        <w:jc w:val="left"/>
        <w:tblInd w:w="120" w:type="dxa"/>
      </w:tblPr>
      <w:tblGrid>
        <w:gridCol w:w="2376"/>
        <w:gridCol w:w="6552"/>
      </w:tblGrid>
      <w:tr>
        <w:trPr>
          <w:tblHeader w:val="true"/>
          <w:cantSplit/>
        </w:trPr>
        <w:tc>
          <w:tcPr>
            <w:tcW w:type="dxa" w:w="237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8"/>
              </w:rPr>
              <w:t>Term</w:t>
            </w:r>
          </w:p>
        </w:tc>
        <w:tc>
          <w:tcPr>
            <w:tcW w:type="dxa" w:w="655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8"/>
              </w:rPr>
              <w:t>Working definition</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8"/>
              </w:rPr>
              <w:t>Micro-credential</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8"/>
              </w:rPr>
              <w:t>A record of learning outcomes acquired through a small volume of learning (Council of the European Union, 2022; UNESCO, 2022).</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8"/>
              </w:rPr>
              <w:t>University-issued digital badge</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8"/>
              </w:rPr>
              <w:t>A verifiable visual token issued by a university to represent an achievement; in this study, completion of an IT micro-credential.</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8"/>
              </w:rPr>
              <w:t>Perceived usefulness</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8"/>
              </w:rPr>
              <w:t>The extent to which a student believes that using a university-issued digital badge will improve the effectiveness and quality of a job application. (Davis, 1989).</w:t>
            </w:r>
          </w:p>
        </w:tc>
      </w:tr>
      <w:tr>
        <w:trPr>
          <w:cantSplit/>
        </w:trPr>
        <w:tc>
          <w:tcPr>
            <w:tcW w:type="dxa" w:w="237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8"/>
              </w:rPr>
              <w:t>Perceived ease of use</w:t>
            </w:r>
          </w:p>
        </w:tc>
        <w:tc>
          <w:tcPr>
            <w:tcW w:type="dxa" w:w="655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8"/>
              </w:rPr>
              <w:t>The extent to which a student believes that using a university-issued digital badge will be clear, understandable, and free of effort. (Davis, 1989).</w:t>
            </w:r>
          </w:p>
        </w:tc>
      </w:tr>
      <w:tr>
        <w:trPr>
          <w:cantSplit/>
        </w:trPr>
        <w:tc>
          <w:tcPr>
            <w:tcW w:type="dxa" w:w="237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8"/>
              </w:rPr>
              <w:t>Behavioural intention</w:t>
            </w:r>
          </w:p>
        </w:tc>
        <w:tc>
          <w:tcPr>
            <w:tcW w:type="dxa" w:w="655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8"/>
              </w:rPr>
              <w:t>A student's stated intention or plan to use university-issued digital badges when applying for jobs. (Venkatesh &amp; Davis, 2000).</w:t>
            </w:r>
          </w:p>
        </w:tc>
      </w:tr>
    </w:tbl>
    <w:p>
      <w:pPr>
        <w:spacing w:after="0"/>
      </w:pPr>
    </w:p>
    <w:p>
      <w:r>
        <w:br w:type="page"/>
      </w:r>
    </w:p>
    <w:p>
      <w:pPr>
        <w:pStyle w:val="Heading1"/>
      </w:pPr>
      <w:r>
        <w:t>CHAPTER 2: LITERATURE REVIEW</w:t>
      </w:r>
    </w:p>
    <w:p>
      <w:pPr>
        <w:pStyle w:val="Heading2"/>
      </w:pPr>
      <w:r>
        <w:t>2.1 Applied Theory: Technology Acceptance Model and TAM3</w:t>
      </w:r>
    </w:p>
    <w:p>
      <w:r>
        <w:t>The Technology Acceptance Model proposes that perceived usefulness and perceived ease of use are central beliefs underlying a person's intention to use a technology (Davis, 1989). Perceived ease of use may also influence perceived usefulness because a technology that requires less effort can be more useful in practice (Venkatesh &amp; Davis, 2000). Behavioural intention is consequently treated as the immediate outcome of the acceptance process.</w:t>
      </w:r>
    </w:p>
    <w:p>
      <w:r>
        <w:t>TAM3 extends the original model by explaining how social influence, task characteristics, control beliefs, intrinsic motivation, and anxiety contribute to usefulness and ease-of-use perceptions (Venkatesh, 2000; Venkatesh &amp; Bala, 2008). Steenkamp et al. (2024) applied this extended structure to students' use of university-issued digital badges in job applications. Their model provides the theoretical framework for the present study because it addresses the same technology, decision, and intended-use outcome.</w:t>
      </w:r>
    </w:p>
    <w:p>
      <w:pPr>
        <w:pStyle w:val="Heading2"/>
      </w:pPr>
      <w:r>
        <w:t>2.2 Digital Badges and IT Micro-Credentials</w:t>
      </w:r>
    </w:p>
    <w:p>
      <w:r>
        <w:t>Micro-credentials are short, assessed learning experiences that document specific learning outcomes (Council of the European Union, 2022; UNESCO, 2022). Digital badges can represent such achievements in a portable and verifiable format. Student perceptions of verifiable digital credentials include their usefulness for displaying competence, their credibility, and the ease with which they can be shared (Kiiskila et al., 2023). Research on micro-credential programmes also indicates that technology acceptance provides a suitable basis for studying student intention (Miao et al., 2024). In this study, the focal technology is a university-issued badge representing completion of an IT micro-credential.</w:t>
      </w:r>
    </w:p>
    <w:p>
      <w:pPr>
        <w:pStyle w:val="Heading2"/>
      </w:pPr>
      <w:r>
        <w:t>2.3 Variable Definitions</w:t>
      </w:r>
    </w:p>
    <w:p>
      <w:pPr>
        <w:pStyle w:val="Heading3"/>
      </w:pPr>
      <w:r>
        <w:t>2.3.1 Perceived Usefulness</w:t>
      </w:r>
    </w:p>
    <w:p>
      <w:r>
        <w:t>Perceived Usefulness is defined in this study as the extent to which a student believes that using a university-issued digital badge will improve the effectiveness and quality of a job application. This definition follows Davis (1989), Venkatesh and Bala (2008), and Steenkamp et al. (2024).</w:t>
      </w:r>
    </w:p>
    <w:p>
      <w:pPr>
        <w:pStyle w:val="Heading3"/>
      </w:pPr>
      <w:r>
        <w:t>2.3.2 Perceived Ease of Use</w:t>
      </w:r>
    </w:p>
    <w:p>
      <w:r>
        <w:t>Perceived Ease of Use is defined in this study as the extent to which a student believes that using a university-issued digital badge will be clear, understandable, and free of effort. This definition follows Davis (1989), Venkatesh and Bala (2008), and Steenkamp et al. (2024).</w:t>
      </w:r>
    </w:p>
    <w:p>
      <w:pPr>
        <w:pStyle w:val="Heading3"/>
      </w:pPr>
      <w:r>
        <w:t>2.3.3 Computer Self-Efficacy</w:t>
      </w:r>
    </w:p>
    <w:p>
      <w:r>
        <w:t>Computer Self-Efficacy is defined in this study as a student's belief in their ability to complete computer-based tasks. This definition follows Venkatesh (2000), Sykes et al. (2014), and Steenkamp et al. (2024).</w:t>
      </w:r>
    </w:p>
    <w:p>
      <w:pPr>
        <w:pStyle w:val="Heading3"/>
      </w:pPr>
      <w:r>
        <w:t>2.3.4 Perceptions of External Control</w:t>
      </w:r>
    </w:p>
    <w:p>
      <w:r>
        <w:t>Perceptions of External Control is defined in this study as a student's perception that the resources, knowledge, opportunities, and support needed to use digital badges are available. This definition follows Venkatesh (2000), Venkatesh and Bala (2008), and Steenkamp et al. (2024).</w:t>
      </w:r>
    </w:p>
    <w:p>
      <w:pPr>
        <w:pStyle w:val="Heading3"/>
      </w:pPr>
      <w:r>
        <w:t>2.3.5 Computer Playfulness</w:t>
      </w:r>
    </w:p>
    <w:p>
      <w:r>
        <w:t>Computer Playfulness is defined in this study as the degree of cognitive spontaneity a student experiences when interacting with computers. This definition follows Venkatesh (2000), Venkatesh and Bala (2008), and Steenkamp et al. (2024).</w:t>
      </w:r>
    </w:p>
    <w:p>
      <w:pPr>
        <w:pStyle w:val="Heading3"/>
      </w:pPr>
      <w:r>
        <w:t>2.3.6 Computer Anxiety</w:t>
      </w:r>
    </w:p>
    <w:p>
      <w:r>
        <w:t>Computer Anxiety is defined in this study as a student's apprehension or uneasiness when faced with using computers. This definition follows Venkatesh et al. (2003), Venkatesh and Bala (2008), and Steenkamp et al. (2024).</w:t>
      </w:r>
    </w:p>
    <w:p>
      <w:pPr>
        <w:pStyle w:val="Heading3"/>
      </w:pPr>
      <w:r>
        <w:t>2.3.7 Subjective Norm</w:t>
      </w:r>
    </w:p>
    <w:p>
      <w:r>
        <w:t>Subjective Norm is defined in this study as the extent to which a student perceives that important people and the university expect or support the use of digital badges in job applications. This definition follows Venkatesh and Davis (2000), Venkatesh and Bala (2008), and Steenkamp et al. (2024).</w:t>
      </w:r>
    </w:p>
    <w:p>
      <w:pPr>
        <w:pStyle w:val="Heading3"/>
      </w:pPr>
      <w:r>
        <w:t>2.3.8 Image</w:t>
      </w:r>
    </w:p>
    <w:p>
      <w:r>
        <w:t>Image is defined in this study as the extent to which a student believes that using digital badges will enhance status, prestige, or profile. This definition follows Venkatesh and Davis (2000), Venkatesh and Bala (2008), and Steenkamp et al. (2024).</w:t>
      </w:r>
    </w:p>
    <w:p>
      <w:pPr>
        <w:pStyle w:val="Heading3"/>
      </w:pPr>
      <w:r>
        <w:t>2.3.9 Job Application Relevance</w:t>
      </w:r>
    </w:p>
    <w:p>
      <w:r>
        <w:t>Job Application Relevance is defined in this study as the extent to which a student believes that digital badges are applicable and pertinent to job-search and job-application activities. This definition follows Venkatesh and Bala (2008) and Steenkamp et al. (2024).</w:t>
      </w:r>
    </w:p>
    <w:p>
      <w:pPr>
        <w:pStyle w:val="Heading3"/>
      </w:pPr>
      <w:r>
        <w:t>2.3.10 Result Demonstrability</w:t>
      </w:r>
    </w:p>
    <w:p>
      <w:r>
        <w:t>Result Demonstrability is defined in this study as the extent to which a student believes that the results of using digital badges are tangible, observable, and communicable. This definition follows Venkatesh and Bala (2008) and Steenkamp et al. (2024).</w:t>
      </w:r>
    </w:p>
    <w:p>
      <w:pPr>
        <w:pStyle w:val="Heading3"/>
      </w:pPr>
      <w:r>
        <w:t>2.3.11 Behavioural Intention</w:t>
      </w:r>
    </w:p>
    <w:p>
      <w:r>
        <w:t>Behavioural Intention is defined in this study as a student's stated intention or plan to use university-issued digital badges when applying for jobs. This definition follows Venkatesh and Davis (2000), Venkatesh and Bala (2008), and Steenkamp et al. (2024).</w:t>
      </w:r>
    </w:p>
    <w:p>
      <w:pPr>
        <w:pStyle w:val="Heading2"/>
      </w:pPr>
      <w:r>
        <w:t>2.4 Relationships Between Variables</w:t>
      </w:r>
    </w:p>
    <w:p>
      <w:pPr>
        <w:pStyle w:val="Heading3"/>
      </w:pPr>
      <w:r>
        <w:t>2.4.1 Determinants of Behavioural Intention</w:t>
      </w:r>
    </w:p>
    <w:p>
      <w:r>
        <w:t>TAM proposes that perceived usefulness and perceived ease of use influence behavioural intention (Davis, 1989). Subjective norm can also influence intention when important social actors encourage technology use (Venkatesh &amp; Davis, 2000). In the digital-badge study by Steenkamp et al. (2024), perceived usefulness and subjective norm had significant positive effects on behavioural intention, whereas the direct effect of perceived ease of use was not significant. All three theoretically specified paths are examined in the Thai context.</w:t>
      </w:r>
    </w:p>
    <w:p>
      <w:pPr>
        <w:pStyle w:val="Heading3"/>
      </w:pPr>
      <w:r>
        <w:t>2.4.2 Determinants of Perceived Usefulness</w:t>
      </w:r>
    </w:p>
    <w:p>
      <w:r>
        <w:t>Perceived ease of use can increase perceived usefulness when lower effort improves the practical value of a system (Venkatesh &amp; Davis, 2000). TAM3 further proposes that subjective norm and image represent social-influence processes, while job relevance and result demonstrability represent cognitive instrumental processes (Venkatesh &amp; Bala, 2008). Steenkamp et al. (2024) found significant positive effects for perceived ease of use and job application relevance on perceived usefulness, and a significant effect of subjective norm on image. The remaining proposed relationships were not significant in their sample and are retested among Thai IT students.</w:t>
      </w:r>
    </w:p>
    <w:p>
      <w:pPr>
        <w:pStyle w:val="Heading3"/>
      </w:pPr>
      <w:r>
        <w:t>2.4.3 Determinants of Perceived Ease of Use</w:t>
      </w:r>
    </w:p>
    <w:p>
      <w:r>
        <w:t>Early perceptions of ease of use may be anchored in computer self-efficacy, perceptions of external control, computer anxiety, and computer playfulness (Venkatesh, 2000; Venkatesh &amp; Bala, 2008). Self-efficacy, external control, and playfulness are expected to increase perceived ease of use, whereas anxiety is expected to reduce it. Steenkamp et al. (2024) found a significant positive effect only for perceptions of external control. Testing all four relationships permits assessment of whether the pattern differs among Thai IT students.</w:t>
      </w:r>
    </w:p>
    <w:p>
      <w:pPr>
        <w:pStyle w:val="Heading2"/>
      </w:pPr>
      <w:r>
        <w:t>2.5 Previous Studies</w:t>
      </w:r>
    </w:p>
    <w:p>
      <w:pPr>
        <w:keepNext/>
        <w:spacing w:before="120" w:after="80"/>
        <w:ind w:firstLine="0"/>
      </w:pPr>
      <w:r>
        <w:rPr>
          <w:b/>
          <w:sz w:val="21"/>
        </w:rPr>
        <w:t>Table 2.1: Summary of previous studies</w:t>
      </w:r>
    </w:p>
    <w:tbl>
      <w:tblPr>
        <w:tblStyle w:val="TableGrid"/>
        <w:tblW w:type="dxa" w:w="8928"/>
        <w:tblLayout w:type="fixed"/>
        <w:tblLook w:firstColumn="1" w:firstRow="1" w:lastColumn="0" w:lastRow="0" w:noHBand="0" w:noVBand="1" w:val="04A0"/>
        <w:jc w:val="left"/>
        <w:tblInd w:w="120" w:type="dxa"/>
      </w:tblPr>
      <w:tblGrid>
        <w:gridCol w:w="1728"/>
        <w:gridCol w:w="2520"/>
        <w:gridCol w:w="2520"/>
        <w:gridCol w:w="2160"/>
      </w:tblGrid>
      <w:tr>
        <w:trPr>
          <w:tblHeader w:val="true"/>
          <w:cantSplit/>
        </w:trPr>
        <w:tc>
          <w:tcPr>
            <w:tcW w:type="dxa" w:w="1728"/>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5"/>
              </w:rPr>
              <w:t>Study</w:t>
            </w:r>
          </w:p>
        </w:tc>
        <w:tc>
          <w:tcPr>
            <w:tcW w:type="dxa" w:w="252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5"/>
              </w:rPr>
              <w:t>Context and method</w:t>
            </w:r>
          </w:p>
        </w:tc>
        <w:tc>
          <w:tcPr>
            <w:tcW w:type="dxa" w:w="252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5"/>
              </w:rPr>
              <w:t>Main finding</w:t>
            </w:r>
          </w:p>
        </w:tc>
        <w:tc>
          <w:tcPr>
            <w:tcW w:type="dxa" w:w="216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5"/>
              </w:rPr>
              <w:t>Relevance</w:t>
            </w:r>
          </w:p>
        </w:tc>
      </w:tr>
      <w:tr>
        <w:trPr>
          <w:cantSplit/>
        </w:trPr>
        <w:tc>
          <w:tcPr>
            <w:tcW w:type="dxa" w:w="172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5"/>
              </w:rPr>
              <w:t>Davis (1989)</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5"/>
              </w:rPr>
              <w:t>Technology acceptance; scale development and validation.</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5"/>
              </w:rPr>
              <w:t>Perceived usefulness and perceived ease of use are central determinants of user acceptance.</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5"/>
              </w:rPr>
              <w:t>Establishes the core TAM constructs.</w:t>
            </w:r>
          </w:p>
        </w:tc>
      </w:tr>
      <w:tr>
        <w:trPr>
          <w:cantSplit/>
        </w:trPr>
        <w:tc>
          <w:tcPr>
            <w:tcW w:type="dxa" w:w="172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5"/>
              </w:rPr>
              <w:t>Venkatesh and Bala (2008)</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5"/>
              </w:rPr>
              <w:t>Longitudinal research integrating determinants of usefulness and ease of use.</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5"/>
              </w:rPr>
              <w:t>TAM3 explains acceptance through social influence, cognitive processes, control, motivation, and emotion.</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5"/>
              </w:rPr>
              <w:t>Provides the extended theoretical structure and many measurement scales.</w:t>
            </w:r>
          </w:p>
        </w:tc>
      </w:tr>
      <w:tr>
        <w:trPr>
          <w:cantSplit/>
        </w:trPr>
        <w:tc>
          <w:tcPr>
            <w:tcW w:type="dxa" w:w="172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5"/>
              </w:rPr>
              <w:t>Kiiskila et al. (2023)</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5"/>
              </w:rPr>
              <w:t>Higher-education students; qualitative study of verifiable digital credentials.</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5"/>
              </w:rPr>
              <w:t>Students identified value in verifiable and shareable credentials while also raising implementation concerns.</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5"/>
              </w:rPr>
              <w:t>Supports the digital-credential and student context.</w:t>
            </w:r>
          </w:p>
        </w:tc>
      </w:tr>
      <w:tr>
        <w:trPr>
          <w:cantSplit/>
        </w:trPr>
        <w:tc>
          <w:tcPr>
            <w:tcW w:type="dxa" w:w="172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5"/>
              </w:rPr>
              <w:t>Miao et al. (2024)</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5"/>
              </w:rPr>
              <w:t>University students; quantitative PLS-SEM study of technology use for micro-credential programmes.</w:t>
            </w:r>
          </w:p>
        </w:tc>
        <w:tc>
          <w:tcPr>
            <w:tcW w:type="dxa" w:w="252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5"/>
              </w:rPr>
              <w:t>A TAM-based model was used to explain intention in a micro-credential setting.</w:t>
            </w:r>
          </w:p>
        </w:tc>
        <w:tc>
          <w:tcPr>
            <w:tcW w:type="dxa" w:w="216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5"/>
              </w:rPr>
              <w:t>Supports the use of technology-acceptance theory for micro-credentials.</w:t>
            </w:r>
          </w:p>
        </w:tc>
      </w:tr>
      <w:tr>
        <w:trPr>
          <w:cantSplit/>
        </w:trPr>
        <w:tc>
          <w:tcPr>
            <w:tcW w:type="dxa" w:w="172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5"/>
              </w:rPr>
              <w:t>Steenkamp et al. (2024)</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5"/>
              </w:rPr>
              <w:t>New Zealand accounting students; online survey; extended TAM3; PLS-SEM; n = 57.</w:t>
            </w:r>
          </w:p>
        </w:tc>
        <w:tc>
          <w:tcPr>
            <w:tcW w:type="dxa" w:w="252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5"/>
              </w:rPr>
              <w:t>Six of 13 hypothesised relationships were supported, including usefulness and subjective norm as predictors of intention.</w:t>
            </w:r>
          </w:p>
        </w:tc>
        <w:tc>
          <w:tcPr>
            <w:tcW w:type="dxa" w:w="216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5"/>
              </w:rPr>
              <w:t>Provides the conceptual framework, hypotheses, and questionnaire used in this study.</w:t>
            </w:r>
          </w:p>
        </w:tc>
      </w:tr>
    </w:tbl>
    <w:p>
      <w:pPr>
        <w:spacing w:after="0"/>
      </w:pPr>
    </w:p>
    <w:p>
      <w:r>
        <w:br w:type="page"/>
      </w:r>
    </w:p>
    <w:p>
      <w:pPr>
        <w:pStyle w:val="Heading1"/>
      </w:pPr>
      <w:r>
        <w:t>CHAPTER 3: RESEARCH FRAMEWORK</w:t>
      </w:r>
    </w:p>
    <w:p>
      <w:pPr>
        <w:pStyle w:val="Heading2"/>
      </w:pPr>
      <w:r>
        <w:t>3.1 Theoretical Framework</w:t>
      </w:r>
    </w:p>
    <w:p>
      <w:r>
        <w:t>This study is grounded in TAM and TAM3. The core TAM relationships connect perceived usefulness and perceived ease of use with behavioural intention (Davis, 1989). TAM3 explains these beliefs through social influence, cognitive instrumental processes, control beliefs, intrinsic motivation, and computer anxiety (Venkatesh, 2000; Venkatesh &amp; Bala, 2008). The combined framework is appropriate because the decision under investigation is whether students intend to use a digital technology for a specific task: presenting university-issued badges in job applications.</w:t>
      </w:r>
    </w:p>
    <w:p>
      <w:r>
        <w:t>Within this framework, perceived usefulness and perceived ease of use are the principal acceptance beliefs. Subjective norm and image represent social-influence processes, while job application relevance and result demonstrability represent cognitive judgements about the value of the badge for the task. Computer self-efficacy, external control, anxiety, and playfulness explain students' initial ease-of-use perceptions (Venkatesh, 2000; Venkatesh &amp; Bala, 2008).</w:t>
      </w:r>
    </w:p>
    <w:p>
      <w:r>
        <w:t>Behavioural intention is used as the dependent variable because the proposed badge is not assumed to be available to every respondent at the time of data collection. The framework therefore explains students' stated intention to use a badge, rather than actual badge use or employment outcomes.</w:t>
      </w:r>
    </w:p>
    <w:p>
      <w:pPr>
        <w:pStyle w:val="Heading2"/>
      </w:pPr>
      <w:r>
        <w:t>3.2 Conceptual Framework</w:t>
      </w:r>
    </w:p>
    <w:p>
      <w:r>
        <w:t>The conceptual framework is adopted from the digital-badge acceptance model developed and tested by Steenkamp et al. (2024). It includes the same 11 constructs and 13 directional relationships. The population examined in the present study is Thai students enrolled in IT-related university programmes, and the badge represents completion of an IT micro-credential.</w:t>
      </w:r>
    </w:p>
    <w:p>
      <w:pPr>
        <w:jc w:val="center"/>
      </w:pPr>
      <w:r>
        <w:drawing>
          <wp:inline xmlns:a="http://schemas.openxmlformats.org/drawingml/2006/main" xmlns:pic="http://schemas.openxmlformats.org/drawingml/2006/picture">
            <wp:extent cx="5257800" cy="5429784"/>
            <wp:docPr id="1" name="Picture 1" title="Conceptual framework" descr="Conceptual framework adopted from Steenkamp et al. (2024), showing 11 constructs and 13 directional relationships predicting perceived usefulness, perceived ease of use, image, and behavioural intention to use digital badges."/>
            <wp:cNvGraphicFramePr>
              <a:graphicFrameLocks noChangeAspect="1"/>
            </wp:cNvGraphicFramePr>
            <a:graphic>
              <a:graphicData uri="http://schemas.openxmlformats.org/drawingml/2006/picture">
                <pic:pic>
                  <pic:nvPicPr>
                    <pic:cNvPr id="0" name="Published_Framework_Steenkamp_Figure_1_Direct_Crop.png"/>
                    <pic:cNvPicPr/>
                  </pic:nvPicPr>
                  <pic:blipFill>
                    <a:blip r:embed="rId11"/>
                    <a:stretch>
                      <a:fillRect/>
                    </a:stretch>
                  </pic:blipFill>
                  <pic:spPr>
                    <a:xfrm>
                      <a:off x="0" y="0"/>
                      <a:ext cx="5257800" cy="5429784"/>
                    </a:xfrm>
                    <a:prstGeom prst="rect"/>
                  </pic:spPr>
                </pic:pic>
              </a:graphicData>
            </a:graphic>
          </wp:inline>
        </w:drawing>
      </w:r>
    </w:p>
    <w:p>
      <w:pPr>
        <w:spacing w:line="240" w:lineRule="auto" w:after="120"/>
        <w:jc w:val="center"/>
      </w:pPr>
      <w:r>
        <w:rPr>
          <w:sz w:val="20"/>
        </w:rPr>
        <w:t>Figure 3.1: Conceptual framework for students' intention to use digital badges</w:t>
      </w:r>
    </w:p>
    <w:p>
      <w:pPr>
        <w:spacing w:line="240" w:lineRule="auto" w:after="100"/>
      </w:pPr>
      <w:r>
        <w:rPr>
          <w:i/>
          <w:color w:val="595959"/>
          <w:sz w:val="19"/>
        </w:rPr>
        <w:t>Source: Steenkamp, Fisher, and Nesbit (2024, Figure 1, p. 10).</w:t>
      </w:r>
    </w:p>
    <w:p>
      <w:r>
        <w:t>Perceived usefulness, perceived ease of use, and subjective norm are positioned as predictors of behavioural intention. Perceived ease of use, subjective norm, image, job application relevance, and result demonstrability are positioned as predictors of perceived usefulness. Computer self-efficacy, perceptions of external control, computer anxiety, and computer playfulness are positioned as predictors of perceived ease of use. Subjective norm is also linked to image. In Figure 3.1, DB denotes digital badges.</w:t>
      </w:r>
    </w:p>
    <w:p>
      <w:pPr>
        <w:pStyle w:val="Heading2"/>
      </w:pPr>
      <w:r>
        <w:t>3.3 Research Hypotheses</w:t>
      </w:r>
    </w:p>
    <w:p>
      <w:r>
        <w:t>Based on the theoretical relationships described above and the digital-badge model of Steenkamp et al. (2024, pp. 11-13), the following hypotheses are proposed:</w:t>
      </w:r>
    </w:p>
    <w:p>
      <w:pPr>
        <w:spacing w:after="80"/>
        <w:ind w:left="360"/>
      </w:pPr>
      <w:r>
        <w:rPr>
          <w:b/>
        </w:rPr>
        <w:t xml:space="preserve">H1: </w:t>
      </w:r>
      <w:r>
        <w:t>Perceived usefulness has a positive direct effect on students' intention to use digital badges in applying for jobs.</w:t>
      </w:r>
    </w:p>
    <w:p>
      <w:pPr>
        <w:spacing w:after="80"/>
        <w:ind w:left="360"/>
      </w:pPr>
      <w:r>
        <w:rPr>
          <w:b/>
        </w:rPr>
        <w:t xml:space="preserve">H2: </w:t>
      </w:r>
      <w:r>
        <w:t>Perceived ease of use has a positive direct effect on students' intention to use digital badges in applying for jobs.</w:t>
      </w:r>
    </w:p>
    <w:p>
      <w:pPr>
        <w:spacing w:after="80"/>
        <w:ind w:left="360"/>
      </w:pPr>
      <w:r>
        <w:rPr>
          <w:b/>
        </w:rPr>
        <w:t xml:space="preserve">H3: </w:t>
      </w:r>
      <w:r>
        <w:t>Perceived ease of use has a positive direct effect on students' perceived usefulness of digital badges in applying for jobs.</w:t>
      </w:r>
    </w:p>
    <w:p>
      <w:pPr>
        <w:spacing w:after="80"/>
        <w:ind w:left="360"/>
      </w:pPr>
      <w:r>
        <w:rPr>
          <w:b/>
        </w:rPr>
        <w:t xml:space="preserve">H4: </w:t>
      </w:r>
      <w:r>
        <w:t>Subjective norm has a positive direct effect on students' intention to use digital badges in applying for jobs.</w:t>
      </w:r>
    </w:p>
    <w:p>
      <w:pPr>
        <w:spacing w:after="80"/>
        <w:ind w:left="360"/>
      </w:pPr>
      <w:r>
        <w:rPr>
          <w:b/>
        </w:rPr>
        <w:t xml:space="preserve">H5: </w:t>
      </w:r>
      <w:r>
        <w:t>Subjective norm has a positive direct effect on students' perceived usefulness of digital badges in applying for jobs.</w:t>
      </w:r>
    </w:p>
    <w:p>
      <w:pPr>
        <w:spacing w:after="80"/>
        <w:ind w:left="360"/>
      </w:pPr>
      <w:r>
        <w:rPr>
          <w:b/>
        </w:rPr>
        <w:t xml:space="preserve">H6: </w:t>
      </w:r>
      <w:r>
        <w:t>Subjective norm has a positive direct effect on image.</w:t>
      </w:r>
    </w:p>
    <w:p>
      <w:pPr>
        <w:spacing w:after="80"/>
        <w:ind w:left="360"/>
      </w:pPr>
      <w:r>
        <w:rPr>
          <w:b/>
        </w:rPr>
        <w:t xml:space="preserve">H7: </w:t>
      </w:r>
      <w:r>
        <w:t>Image has a positive direct effect on perceived usefulness of digital badges in applying for jobs.</w:t>
      </w:r>
    </w:p>
    <w:p>
      <w:pPr>
        <w:spacing w:after="80"/>
        <w:ind w:left="360"/>
      </w:pPr>
      <w:r>
        <w:rPr>
          <w:b/>
        </w:rPr>
        <w:t xml:space="preserve">H8: </w:t>
      </w:r>
      <w:r>
        <w:t>Job application relevance has a positive direct effect on perceived usefulness of digital badges in applying for jobs.</w:t>
      </w:r>
    </w:p>
    <w:p>
      <w:pPr>
        <w:spacing w:after="80"/>
        <w:ind w:left="360"/>
      </w:pPr>
      <w:r>
        <w:rPr>
          <w:b/>
        </w:rPr>
        <w:t xml:space="preserve">H9: </w:t>
      </w:r>
      <w:r>
        <w:t>Result demonstrability has a positive direct effect on perceived usefulness of digital badges in applying for jobs.</w:t>
      </w:r>
    </w:p>
    <w:p>
      <w:pPr>
        <w:spacing w:after="80"/>
        <w:ind w:left="360"/>
      </w:pPr>
      <w:r>
        <w:rPr>
          <w:b/>
        </w:rPr>
        <w:t xml:space="preserve">H10: </w:t>
      </w:r>
      <w:r>
        <w:t>Computer self-efficacy has a positive direct effect on perceived ease of use of digital badges in applying for jobs.</w:t>
      </w:r>
    </w:p>
    <w:p>
      <w:pPr>
        <w:spacing w:after="80"/>
        <w:ind w:left="360"/>
      </w:pPr>
      <w:r>
        <w:rPr>
          <w:b/>
        </w:rPr>
        <w:t xml:space="preserve">H11: </w:t>
      </w:r>
      <w:r>
        <w:t>Perceptions of external control have a positive direct effect on perceived ease of use of digital badges in applying for jobs.</w:t>
      </w:r>
    </w:p>
    <w:p>
      <w:pPr>
        <w:spacing w:after="80"/>
        <w:ind w:left="360"/>
      </w:pPr>
      <w:r>
        <w:rPr>
          <w:b/>
        </w:rPr>
        <w:t xml:space="preserve">H12: </w:t>
      </w:r>
      <w:r>
        <w:t>Computer anxiety has a negative direct effect on perceived ease of use of digital badges in applying for jobs.</w:t>
      </w:r>
    </w:p>
    <w:p>
      <w:pPr>
        <w:spacing w:after="80"/>
        <w:ind w:left="360"/>
      </w:pPr>
      <w:r>
        <w:rPr>
          <w:b/>
        </w:rPr>
        <w:t xml:space="preserve">H13: </w:t>
      </w:r>
      <w:r>
        <w:t>Computer playfulness has a positive direct effect on perceived ease of use of digital badges in applying for jobs.</w:t>
      </w:r>
    </w:p>
    <w:p>
      <w:pPr>
        <w:pStyle w:val="Heading2"/>
        <w:pageBreakBefore/>
      </w:pPr>
      <w:r>
        <w:t>3.4 Operationalization</w:t>
      </w:r>
    </w:p>
    <w:p>
      <w:pPr>
        <w:keepNext/>
        <w:spacing w:before="120" w:after="80"/>
        <w:ind w:firstLine="0"/>
      </w:pPr>
      <w:r>
        <w:rPr>
          <w:b/>
          <w:sz w:val="21"/>
        </w:rPr>
        <w:t>Table 3.1: Operationalization of the study variables</w:t>
      </w:r>
    </w:p>
    <w:tbl>
      <w:tblPr>
        <w:tblStyle w:val="TableGrid"/>
        <w:tblW w:type="dxa" w:w="8928"/>
        <w:tblLayout w:type="fixed"/>
        <w:tblLook w:firstColumn="1" w:firstRow="1" w:lastColumn="0" w:lastRow="0" w:noHBand="0" w:noVBand="1" w:val="04A0"/>
        <w:jc w:val="left"/>
        <w:tblInd w:w="120" w:type="dxa"/>
      </w:tblPr>
      <w:tblGrid>
        <w:gridCol w:w="1656"/>
        <w:gridCol w:w="3384"/>
        <w:gridCol w:w="1080"/>
        <w:gridCol w:w="1080"/>
        <w:gridCol w:w="1728"/>
      </w:tblGrid>
      <w:tr>
        <w:trPr>
          <w:tblHeader w:val="true"/>
          <w:cantSplit/>
        </w:trPr>
        <w:tc>
          <w:tcPr>
            <w:tcW w:type="dxa" w:w="165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Variable</w:t>
            </w:r>
          </w:p>
        </w:tc>
        <w:tc>
          <w:tcPr>
            <w:tcW w:type="dxa" w:w="338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Operational definition</w:t>
            </w:r>
          </w:p>
        </w:tc>
        <w:tc>
          <w:tcPr>
            <w:tcW w:type="dxa" w:w="108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Items</w:t>
            </w:r>
          </w:p>
        </w:tc>
        <w:tc>
          <w:tcPr>
            <w:tcW w:type="dxa" w:w="1080"/>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Scale</w:t>
            </w:r>
          </w:p>
        </w:tc>
        <w:tc>
          <w:tcPr>
            <w:tcW w:type="dxa" w:w="1728"/>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Source/reference</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Perceived Usefulness</w:t>
            </w:r>
          </w:p>
        </w:tc>
        <w:tc>
          <w:tcPr>
            <w:tcW w:type="dxa" w:w="338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The extent to which a student believes that using a university-issued digital badge will improve the effectiveness and quality of a job application.</w:t>
            </w:r>
          </w:p>
        </w:tc>
        <w:tc>
          <w:tcPr>
            <w:tcW w:type="dxa" w:w="10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PU1-PU4</w:t>
            </w:r>
          </w:p>
        </w:tc>
        <w:tc>
          <w:tcPr>
            <w:tcW w:type="dxa" w:w="10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7-point Likert</w:t>
            </w:r>
          </w:p>
        </w:tc>
        <w:tc>
          <w:tcPr>
            <w:tcW w:type="dxa" w:w="172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Davis (1989); Venkatesh and Bala (2008); Steenkamp et al. (2024)</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Perceived Ease of Use</w:t>
            </w:r>
          </w:p>
        </w:tc>
        <w:tc>
          <w:tcPr>
            <w:tcW w:type="dxa" w:w="338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The extent to which a student believes that using a university-issued digital badge will be clear, understandable, and free of effort.</w:t>
            </w:r>
          </w:p>
        </w:tc>
        <w:tc>
          <w:tcPr>
            <w:tcW w:type="dxa" w:w="10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PEOU1-PEOU4</w:t>
            </w:r>
          </w:p>
        </w:tc>
        <w:tc>
          <w:tcPr>
            <w:tcW w:type="dxa" w:w="10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7-point Likert</w:t>
            </w:r>
          </w:p>
        </w:tc>
        <w:tc>
          <w:tcPr>
            <w:tcW w:type="dxa" w:w="172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Davis (1989); Venkatesh and Bala (2008); Steenkamp et al. (2024)</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Computer Self-Efficacy</w:t>
            </w:r>
          </w:p>
        </w:tc>
        <w:tc>
          <w:tcPr>
            <w:tcW w:type="dxa" w:w="338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A student's belief in their ability to complete computer-based tasks.</w:t>
            </w:r>
          </w:p>
        </w:tc>
        <w:tc>
          <w:tcPr>
            <w:tcW w:type="dxa" w:w="10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CSE1-CSE3</w:t>
            </w:r>
          </w:p>
        </w:tc>
        <w:tc>
          <w:tcPr>
            <w:tcW w:type="dxa" w:w="10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7-point Likert</w:t>
            </w:r>
          </w:p>
        </w:tc>
        <w:tc>
          <w:tcPr>
            <w:tcW w:type="dxa" w:w="172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(2000); Sykes et al. (2014); Steenkamp et al. (2024)</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Perceptions of External Control</w:t>
            </w:r>
          </w:p>
        </w:tc>
        <w:tc>
          <w:tcPr>
            <w:tcW w:type="dxa" w:w="338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A student's perception that the resources, knowledge, opportunities, and support needed to use digital badges are available.</w:t>
            </w:r>
          </w:p>
        </w:tc>
        <w:tc>
          <w:tcPr>
            <w:tcW w:type="dxa" w:w="10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PEC1-PEC4</w:t>
            </w:r>
          </w:p>
        </w:tc>
        <w:tc>
          <w:tcPr>
            <w:tcW w:type="dxa" w:w="10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7-point Likert</w:t>
            </w:r>
          </w:p>
        </w:tc>
        <w:tc>
          <w:tcPr>
            <w:tcW w:type="dxa" w:w="172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Venkatesh (2000); Venkatesh and Bala (2008); Steenkamp et al. (2024)</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Computer Playfulness</w:t>
            </w:r>
          </w:p>
        </w:tc>
        <w:tc>
          <w:tcPr>
            <w:tcW w:type="dxa" w:w="338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The degree of cognitive spontaneity a student experiences when interacting with computers.</w:t>
            </w:r>
          </w:p>
        </w:tc>
        <w:tc>
          <w:tcPr>
            <w:tcW w:type="dxa" w:w="10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CPLAY1-CPLAY4</w:t>
            </w:r>
          </w:p>
        </w:tc>
        <w:tc>
          <w:tcPr>
            <w:tcW w:type="dxa" w:w="10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7-point Likert</w:t>
            </w:r>
          </w:p>
        </w:tc>
        <w:tc>
          <w:tcPr>
            <w:tcW w:type="dxa" w:w="172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(2000); Venkatesh and Bala (2008); Steenkamp et al. (2024)</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Computer Anxiety</w:t>
            </w:r>
          </w:p>
        </w:tc>
        <w:tc>
          <w:tcPr>
            <w:tcW w:type="dxa" w:w="338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A student's apprehension or uneasiness when faced with using computers.</w:t>
            </w:r>
          </w:p>
        </w:tc>
        <w:tc>
          <w:tcPr>
            <w:tcW w:type="dxa" w:w="10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CANX1-CANX4</w:t>
            </w:r>
          </w:p>
        </w:tc>
        <w:tc>
          <w:tcPr>
            <w:tcW w:type="dxa" w:w="10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7-point Likert</w:t>
            </w:r>
          </w:p>
        </w:tc>
        <w:tc>
          <w:tcPr>
            <w:tcW w:type="dxa" w:w="172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Venkatesh et al. (2003); Venkatesh and Bala (2008); Steenkamp et al. (2024)</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Subjective Norm</w:t>
            </w:r>
          </w:p>
        </w:tc>
        <w:tc>
          <w:tcPr>
            <w:tcW w:type="dxa" w:w="338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The extent to which a student perceives that important people and the university expect or support the use of digital badges in job applications.</w:t>
            </w:r>
          </w:p>
        </w:tc>
        <w:tc>
          <w:tcPr>
            <w:tcW w:type="dxa" w:w="10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SN1-SN4</w:t>
            </w:r>
          </w:p>
        </w:tc>
        <w:tc>
          <w:tcPr>
            <w:tcW w:type="dxa" w:w="10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7-point Likert</w:t>
            </w:r>
          </w:p>
        </w:tc>
        <w:tc>
          <w:tcPr>
            <w:tcW w:type="dxa" w:w="172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and Davis (2000); Venkatesh and Bala (2008); Steenkamp et al. (2024)</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Image</w:t>
            </w:r>
          </w:p>
        </w:tc>
        <w:tc>
          <w:tcPr>
            <w:tcW w:type="dxa" w:w="338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The extent to which a student believes that using digital badges will enhance status, prestige, or profile.</w:t>
            </w:r>
          </w:p>
        </w:tc>
        <w:tc>
          <w:tcPr>
            <w:tcW w:type="dxa" w:w="10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IMG1-IMG3</w:t>
            </w:r>
          </w:p>
        </w:tc>
        <w:tc>
          <w:tcPr>
            <w:tcW w:type="dxa" w:w="10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7-point Likert</w:t>
            </w:r>
          </w:p>
        </w:tc>
        <w:tc>
          <w:tcPr>
            <w:tcW w:type="dxa" w:w="172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Venkatesh and Davis (2000); Venkatesh and Bala (2008); Steenkamp et al. (2024)</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Job Application Relevance</w:t>
            </w:r>
          </w:p>
        </w:tc>
        <w:tc>
          <w:tcPr>
            <w:tcW w:type="dxa" w:w="338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The extent to which a student believes that digital badges are applicable and pertinent to job-search and job-application activities.</w:t>
            </w:r>
          </w:p>
        </w:tc>
        <w:tc>
          <w:tcPr>
            <w:tcW w:type="dxa" w:w="10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REL1-REL3</w:t>
            </w:r>
          </w:p>
        </w:tc>
        <w:tc>
          <w:tcPr>
            <w:tcW w:type="dxa" w:w="10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7-point Likert</w:t>
            </w:r>
          </w:p>
        </w:tc>
        <w:tc>
          <w:tcPr>
            <w:tcW w:type="dxa" w:w="172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and Bala (2008); Steenkamp et al. (2024)</w:t>
            </w:r>
          </w:p>
        </w:tc>
      </w:tr>
      <w:tr>
        <w:trPr>
          <w:cantSplit/>
        </w:trPr>
        <w:tc>
          <w:tcPr>
            <w:tcW w:type="dxa" w:w="16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Result Demonstrability</w:t>
            </w:r>
          </w:p>
        </w:tc>
        <w:tc>
          <w:tcPr>
            <w:tcW w:type="dxa" w:w="338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The extent to which a student believes that the results of using digital badges are tangible, observable, and communicable.</w:t>
            </w:r>
          </w:p>
        </w:tc>
        <w:tc>
          <w:tcPr>
            <w:tcW w:type="dxa" w:w="10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RES1-RES4</w:t>
            </w:r>
          </w:p>
        </w:tc>
        <w:tc>
          <w:tcPr>
            <w:tcW w:type="dxa" w:w="1080"/>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7-point Likert</w:t>
            </w:r>
          </w:p>
        </w:tc>
        <w:tc>
          <w:tcPr>
            <w:tcW w:type="dxa" w:w="1728"/>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4"/>
              </w:rPr>
              <w:t>Venkatesh and Bala (2008); Steenkamp et al. (2024)</w:t>
            </w:r>
          </w:p>
        </w:tc>
      </w:tr>
      <w:tr>
        <w:trPr>
          <w:cantSplit/>
        </w:trPr>
        <w:tc>
          <w:tcPr>
            <w:tcW w:type="dxa" w:w="16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Behavioural Intention</w:t>
            </w:r>
          </w:p>
        </w:tc>
        <w:tc>
          <w:tcPr>
            <w:tcW w:type="dxa" w:w="338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A student's stated intention or plan to use university-issued digital badges when applying for jobs.</w:t>
            </w:r>
          </w:p>
        </w:tc>
        <w:tc>
          <w:tcPr>
            <w:tcW w:type="dxa" w:w="10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BI1-BI3</w:t>
            </w:r>
          </w:p>
        </w:tc>
        <w:tc>
          <w:tcPr>
            <w:tcW w:type="dxa" w:w="1080"/>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7-point Likert</w:t>
            </w:r>
          </w:p>
        </w:tc>
        <w:tc>
          <w:tcPr>
            <w:tcW w:type="dxa" w:w="172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Venkatesh and Davis (2000); Venkatesh and Bala (2008); Steenkamp et al. (2024)</w:t>
            </w:r>
          </w:p>
        </w:tc>
      </w:tr>
    </w:tbl>
    <w:p>
      <w:pPr>
        <w:spacing w:after="0"/>
      </w:pPr>
    </w:p>
    <w:p>
      <w:pPr>
        <w:spacing w:line="240" w:lineRule="auto" w:after="100"/>
      </w:pPr>
      <w:r>
        <w:rPr>
          <w:i/>
          <w:color w:val="595959"/>
          <w:sz w:val="19"/>
        </w:rPr>
        <w:t>The complete questionnaire statements and their measurement sources are presented in Section 4.3.</w:t>
      </w:r>
    </w:p>
    <w:p>
      <w:r>
        <w:br w:type="page"/>
      </w:r>
    </w:p>
    <w:p>
      <w:pPr>
        <w:pStyle w:val="Heading1"/>
      </w:pPr>
      <w:r>
        <w:t>CHAPTER 4: RESEARCH METHODOLOGY</w:t>
      </w:r>
    </w:p>
    <w:p>
      <w:pPr>
        <w:pStyle w:val="Heading2"/>
      </w:pPr>
      <w:r>
        <w:t>4.1 Research Design</w:t>
      </w:r>
    </w:p>
    <w:p>
      <w:r>
        <w:t>The study will use a quantitative, explanatory, cross-sectional survey design. This design is appropriate for measuring students' perceptions and testing the hypothesised relationships among the 11 latent variables at one point in time. The construct indicators will be specified as reflective, consistent with Steenkamp et al. (2024), and the model will be estimated using PLS-SEM.</w:t>
      </w:r>
    </w:p>
    <w:p>
      <w:pPr>
        <w:pStyle w:val="Heading2"/>
      </w:pPr>
      <w:r>
        <w:t>4.2 Sampling Procedure</w:t>
      </w:r>
    </w:p>
    <w:p>
      <w:pPr>
        <w:pStyle w:val="Heading3"/>
      </w:pPr>
      <w:r>
        <w:t>4.2.1 Target Population</w:t>
      </w:r>
    </w:p>
    <w:p>
      <w:r>
        <w:t>The target population consists of students aged 18 years or older who are currently enrolled in an IT-related undergraduate or postgraduate programme at a university in Thailand. Relevant fields may include information technology, computer science, software engineering, information systems, data science, cybersecurity, and closely related programmes.</w:t>
      </w:r>
    </w:p>
    <w:p>
      <w:pPr>
        <w:pStyle w:val="Heading3"/>
      </w:pPr>
      <w:r>
        <w:t>4.2.2 Sampling Method and Sample Size</w:t>
      </w:r>
    </w:p>
    <w:p>
      <w:r>
        <w:t>Non-probability convenience and snowball sampling will be used because a complete national sampling frame of Thai IT students is not available. The online questionnaire will be distributed through IT-related university programmes, student groups, and academic networks. The Krejcie and Morgan (1970) table identifies 384 as a conventional sample-size benchmark for a large population under probability-sampling assumptions. Because the present study uses non-probability sampling, this benchmark does not imply a 5% margin of error for the achieved sample. It is used as a conservative target that also exceeds the minimum normally required for a PLS-SEM model of this complexity (Hair et al., 2022). The main study will therefore require at least 384 usable responses, with a recruitment target of 400 to allow for incomplete or ineligible responses.</w:t>
      </w:r>
    </w:p>
    <w:p>
      <w:pPr>
        <w:pStyle w:val="Heading3"/>
      </w:pPr>
      <w:r>
        <w:t>4.2.3 Inclusion and Exclusion Criteria</w:t>
      </w:r>
    </w:p>
    <w:p>
      <w:r>
        <w:t>Respondents will be included if they provide informed consent, are at least 18 years old, are currently enrolled in an IT-related university programme in Thailand, and complete the construct measures. Responses will be excluded for failed eligibility screening, duplicate submission, substantial missing data, or implausibly short completion time. Pilot participants will not be included in the main-study dataset.</w:t>
      </w:r>
    </w:p>
    <w:p>
      <w:pPr>
        <w:pStyle w:val="Heading2"/>
      </w:pPr>
      <w:r>
        <w:t>4.3 Research Instrument and Questionnaire Design</w:t>
      </w:r>
    </w:p>
    <w:p>
      <w:r>
        <w:t>Data will be collected using a structured online questionnaire. The conceptual measures and 40 construct items are adopted from Steenkamp et al. (2024, Appendix, pp. 28-29), who drew the measures from established TAM, TAM3, UTAUT, and computer self-efficacy scales. The focal referent throughout the construct section is a university-issued digital badge representing completion of an IT micro-credential and used in a job application.</w:t>
      </w:r>
    </w:p>
    <w:p>
      <w:r>
        <w:t>BI3 contains a grammatical correction from 'use the when' in the published Appendix to 'use them when'; the construct meaning, referent, and 12-month timeframe are unchanged.</w:t>
      </w:r>
    </w:p>
    <w:p>
      <w:pPr>
        <w:keepNext/>
        <w:spacing w:before="120" w:after="80"/>
        <w:ind w:firstLine="0"/>
      </w:pPr>
      <w:r>
        <w:rPr>
          <w:b/>
          <w:sz w:val="21"/>
        </w:rPr>
        <w:t>Table 4.1: Structure of the questionnaire</w:t>
      </w:r>
    </w:p>
    <w:tbl>
      <w:tblPr>
        <w:tblStyle w:val="TableGrid"/>
        <w:tblW w:type="dxa" w:w="8928"/>
        <w:tblLayout w:type="fixed"/>
        <w:tblLook w:firstColumn="1" w:firstRow="1" w:lastColumn="0" w:lastRow="0" w:noHBand="0" w:noVBand="1" w:val="04A0"/>
        <w:jc w:val="left"/>
        <w:tblInd w:w="120" w:type="dxa"/>
      </w:tblPr>
      <w:tblGrid>
        <w:gridCol w:w="936"/>
        <w:gridCol w:w="5256"/>
        <w:gridCol w:w="2736"/>
      </w:tblGrid>
      <w:tr>
        <w:trPr>
          <w:tblHeader w:val="true"/>
          <w:cantSplit/>
        </w:trPr>
        <w:tc>
          <w:tcPr>
            <w:tcW w:type="dxa" w:w="93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Section</w:t>
            </w:r>
          </w:p>
        </w:tc>
        <w:tc>
          <w:tcPr>
            <w:tcW w:type="dxa" w:w="525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Content</w:t>
            </w:r>
          </w:p>
        </w:tc>
        <w:tc>
          <w:tcPr>
            <w:tcW w:type="dxa" w:w="2736"/>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7"/>
              </w:rPr>
              <w:t>Purpose</w:t>
            </w:r>
          </w:p>
        </w:tc>
      </w:tr>
      <w:tr>
        <w:trPr>
          <w:cantSplit/>
        </w:trPr>
        <w:tc>
          <w:tcPr>
            <w:tcW w:type="dxa" w:w="9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A</w:t>
            </w:r>
          </w:p>
        </w:tc>
        <w:tc>
          <w:tcPr>
            <w:tcW w:type="dxa" w:w="52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Participant information, consent, age, enrolment status, and field of study</w:t>
            </w:r>
          </w:p>
        </w:tc>
        <w:tc>
          <w:tcPr>
            <w:tcW w:type="dxa" w:w="27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Confirm consent and eligibility</w:t>
            </w:r>
          </w:p>
        </w:tc>
      </w:tr>
      <w:tr>
        <w:trPr>
          <w:cantSplit/>
        </w:trPr>
        <w:tc>
          <w:tcPr>
            <w:tcW w:type="dxa" w:w="9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B</w:t>
            </w:r>
          </w:p>
        </w:tc>
        <w:tc>
          <w:tcPr>
            <w:tcW w:type="dxa" w:w="52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Neutral definition of an IT micro-credential and a university-issued digital badge</w:t>
            </w:r>
          </w:p>
        </w:tc>
        <w:tc>
          <w:tcPr>
            <w:tcW w:type="dxa" w:w="27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Provide a common referent</w:t>
            </w:r>
          </w:p>
        </w:tc>
      </w:tr>
      <w:tr>
        <w:trPr>
          <w:cantSplit/>
        </w:trPr>
        <w:tc>
          <w:tcPr>
            <w:tcW w:type="dxa" w:w="9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C</w:t>
            </w:r>
          </w:p>
        </w:tc>
        <w:tc>
          <w:tcPr>
            <w:tcW w:type="dxa" w:w="525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Age group, gender, study level, field, year of study, institution type, and prior badge awareness or use</w:t>
            </w:r>
          </w:p>
        </w:tc>
        <w:tc>
          <w:tcPr>
            <w:tcW w:type="dxa" w:w="2736"/>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7"/>
              </w:rPr>
              <w:t>Describe the sample</w:t>
            </w:r>
          </w:p>
        </w:tc>
      </w:tr>
      <w:tr>
        <w:trPr>
          <w:cantSplit/>
        </w:trPr>
        <w:tc>
          <w:tcPr>
            <w:tcW w:type="dxa" w:w="9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D</w:t>
            </w:r>
          </w:p>
        </w:tc>
        <w:tc>
          <w:tcPr>
            <w:tcW w:type="dxa" w:w="525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Forty statements measuring the 11 model constructs</w:t>
            </w:r>
          </w:p>
        </w:tc>
        <w:tc>
          <w:tcPr>
            <w:tcW w:type="dxa" w:w="2736"/>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7"/>
              </w:rPr>
              <w:t>Test the measurement and structural models</w:t>
            </w:r>
          </w:p>
        </w:tc>
      </w:tr>
    </w:tbl>
    <w:p>
      <w:pPr>
        <w:spacing w:after="0"/>
      </w:pPr>
    </w:p>
    <w:p>
      <w:r>
        <w:t>Construct items will use a seven-point Likert agreement scale ranging from 1 (strongly disagree) to 7 (strongly agree). The full English questionnaire statements and their published measurement sources are presented below.</w:t>
      </w:r>
    </w:p>
    <w:p>
      <w:pPr>
        <w:keepNext/>
        <w:spacing w:before="120" w:after="80"/>
        <w:ind w:firstLine="0"/>
      </w:pPr>
      <w:r>
        <w:rPr>
          <w:b/>
          <w:sz w:val="21"/>
        </w:rPr>
        <w:t>Table 4.2: Seven-point agreement scale</w:t>
      </w:r>
    </w:p>
    <w:tbl>
      <w:tblPr>
        <w:tblStyle w:val="TableGrid"/>
        <w:tblW w:type="dxa" w:w="8928"/>
        <w:tblLayout w:type="fixed"/>
        <w:tblLook w:firstColumn="1" w:firstRow="1" w:lastColumn="0" w:lastRow="0" w:noHBand="0" w:noVBand="1" w:val="04A0"/>
        <w:jc w:val="left"/>
        <w:tblInd w:w="120" w:type="dxa"/>
      </w:tblPr>
      <w:tblGrid>
        <w:gridCol w:w="1275"/>
        <w:gridCol w:w="1275"/>
        <w:gridCol w:w="1275"/>
        <w:gridCol w:w="1275"/>
        <w:gridCol w:w="1275"/>
        <w:gridCol w:w="1275"/>
        <w:gridCol w:w="1278"/>
      </w:tblGrid>
      <w:tr>
        <w:trPr>
          <w:tblHeader w:val="true"/>
          <w:cantSplit/>
        </w:trPr>
        <w:tc>
          <w:tcPr>
            <w:tcW w:type="dxa" w:w="1275"/>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1</w:t>
            </w:r>
          </w:p>
        </w:tc>
        <w:tc>
          <w:tcPr>
            <w:tcW w:type="dxa" w:w="1275"/>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2</w:t>
            </w:r>
          </w:p>
        </w:tc>
        <w:tc>
          <w:tcPr>
            <w:tcW w:type="dxa" w:w="1275"/>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3</w:t>
            </w:r>
          </w:p>
        </w:tc>
        <w:tc>
          <w:tcPr>
            <w:tcW w:type="dxa" w:w="1275"/>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4</w:t>
            </w:r>
          </w:p>
        </w:tc>
        <w:tc>
          <w:tcPr>
            <w:tcW w:type="dxa" w:w="1275"/>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5</w:t>
            </w:r>
          </w:p>
        </w:tc>
        <w:tc>
          <w:tcPr>
            <w:tcW w:type="dxa" w:w="1275"/>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6</w:t>
            </w:r>
          </w:p>
        </w:tc>
        <w:tc>
          <w:tcPr>
            <w:tcW w:type="dxa" w:w="1278"/>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4"/>
              </w:rPr>
              <w:t>7</w:t>
            </w:r>
          </w:p>
        </w:tc>
      </w:tr>
      <w:tr>
        <w:trPr>
          <w:cantSplit/>
        </w:trPr>
        <w:tc>
          <w:tcPr>
            <w:tcW w:type="dxa" w:w="1275"/>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Strongly disagree</w:t>
            </w:r>
          </w:p>
        </w:tc>
        <w:tc>
          <w:tcPr>
            <w:tcW w:type="dxa" w:w="1275"/>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Moderately disagree</w:t>
            </w:r>
          </w:p>
        </w:tc>
        <w:tc>
          <w:tcPr>
            <w:tcW w:type="dxa" w:w="1275"/>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Somewhat disagree</w:t>
            </w:r>
          </w:p>
        </w:tc>
        <w:tc>
          <w:tcPr>
            <w:tcW w:type="dxa" w:w="1275"/>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Neutral</w:t>
            </w:r>
          </w:p>
        </w:tc>
        <w:tc>
          <w:tcPr>
            <w:tcW w:type="dxa" w:w="1275"/>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Somewhat agree</w:t>
            </w:r>
          </w:p>
        </w:tc>
        <w:tc>
          <w:tcPr>
            <w:tcW w:type="dxa" w:w="1275"/>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Moderately agree</w:t>
            </w:r>
          </w:p>
        </w:tc>
        <w:tc>
          <w:tcPr>
            <w:tcW w:type="dxa" w:w="1278"/>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4"/>
              </w:rPr>
              <w:t>Strongly agree</w:t>
            </w:r>
          </w:p>
        </w:tc>
      </w:tr>
    </w:tbl>
    <w:p>
      <w:pPr>
        <w:spacing w:after="0"/>
      </w:pPr>
    </w:p>
    <w:p>
      <w:pPr>
        <w:pStyle w:val="Heading3"/>
      </w:pPr>
      <w:r>
        <w:t>Perceived Usefulness</w:t>
      </w:r>
    </w:p>
    <w:p>
      <w:pPr>
        <w:keepNext/>
        <w:spacing w:before="120" w:after="80"/>
        <w:ind w:firstLine="0"/>
      </w:pPr>
      <w:r>
        <w:rPr>
          <w:b/>
          <w:sz w:val="21"/>
        </w:rPr>
        <w:t>Table 4.3: Perceived Usefulness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PU1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Using university-issued digital badges would increase my employability when I apply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PU2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Using university-issued digital badges would increase the quality of my job applications.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PU3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Using university-issued digital badges would enhance my effectiveness when I apply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PU4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 would find using university-issued digital badges useful when applying for jobs.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bl>
    <w:p>
      <w:pPr>
        <w:spacing w:after="0"/>
      </w:pPr>
    </w:p>
    <w:p>
      <w:pPr>
        <w:pStyle w:val="Heading3"/>
      </w:pPr>
      <w:r>
        <w:t>Perceived Ease of Use</w:t>
      </w:r>
    </w:p>
    <w:p>
      <w:pPr>
        <w:keepNext/>
        <w:spacing w:before="120" w:after="80"/>
        <w:ind w:firstLine="0"/>
      </w:pPr>
      <w:r>
        <w:rPr>
          <w:b/>
          <w:sz w:val="21"/>
        </w:rPr>
        <w:t>Table 4.4: Perceived Ease of Use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PEOU1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If I were to obtain university-issued digital badges, my interaction with them would be clear and understandable.</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PEOU2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If I were to obtain university-issued digital badges, interacting with them would not require a lot of my mental effort.</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PEOU3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If I were to obtain university-issued digital badges, I would find them easy to use.</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PEOU4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If I were to obtain university-issued digital badges, I would find it easy to get them to do what I want them to do.</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Davis (1989); Venkatesh &amp; Bala (2008)</w:t>
            </w:r>
          </w:p>
        </w:tc>
      </w:tr>
    </w:tbl>
    <w:p>
      <w:pPr>
        <w:spacing w:after="0"/>
      </w:pPr>
    </w:p>
    <w:p>
      <w:pPr>
        <w:pStyle w:val="Heading3"/>
      </w:pPr>
      <w:r>
        <w:t>Computer Self-Efficacy</w:t>
      </w:r>
    </w:p>
    <w:p>
      <w:pPr>
        <w:keepNext/>
        <w:spacing w:before="120" w:after="80"/>
        <w:ind w:firstLine="0"/>
      </w:pPr>
      <w:r>
        <w:rPr>
          <w:b/>
          <w:sz w:val="21"/>
        </w:rPr>
        <w:t>Table 4.5: Computer Self-Efficacy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CSE1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 could complete a job or task using a computer if there was no one around to tell me what to do.</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Sykes et al. (2014)</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CSE2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 could complete a job or task using a computer if I could contact someone if I got stuck.</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Sykes et al. (2014)</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CSE3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 could complete a job or task using a computer if I had a lot of time to complete the job for which the software was provided.</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Sykes et al. (2014)</w:t>
            </w:r>
          </w:p>
        </w:tc>
      </w:tr>
    </w:tbl>
    <w:p>
      <w:pPr>
        <w:spacing w:after="0"/>
      </w:pPr>
    </w:p>
    <w:p>
      <w:pPr>
        <w:pStyle w:val="Heading3"/>
      </w:pPr>
      <w:r>
        <w:t>Perceptions of External Control</w:t>
      </w:r>
    </w:p>
    <w:p>
      <w:pPr>
        <w:keepNext/>
        <w:spacing w:before="120" w:after="80"/>
        <w:ind w:firstLine="0"/>
      </w:pPr>
      <w:r>
        <w:rPr>
          <w:b/>
          <w:sz w:val="21"/>
        </w:rPr>
        <w:t>Table 4.6: Perceptions of External Control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PEC1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 would have control over my university-issued digital badges.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PEC2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 would have the resources necessary to use university-issued digital badges.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PEC3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Given the resources, opportunities and knowledge it takes to use university-issued digital badges, it would be easy for me to use university-issued digital badges.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PEC4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University-issued digital badges are not compatible with other means I use for communicating my skills and competencies to potential employers.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bl>
    <w:p>
      <w:pPr>
        <w:spacing w:after="0"/>
      </w:pPr>
    </w:p>
    <w:p>
      <w:pPr>
        <w:pStyle w:val="Heading3"/>
      </w:pPr>
      <w:r>
        <w:t>Computer Playfulness</w:t>
      </w:r>
    </w:p>
    <w:p>
      <w:pPr>
        <w:keepNext/>
        <w:spacing w:before="120" w:after="80"/>
        <w:ind w:firstLine="0"/>
      </w:pPr>
      <w:r>
        <w:rPr>
          <w:b/>
          <w:sz w:val="21"/>
        </w:rPr>
        <w:t>Table 4.7: Computer Playfulness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CPLAY1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 would characterise myself as spontaneous when using computers.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CPLAY2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 would characterise myself as creative when using computers.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CPLAY3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 would characterise myself as playful when using computers.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CPLAY4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 would characterise myself as unoriginal when using computers.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bl>
    <w:p>
      <w:pPr>
        <w:spacing w:after="0"/>
      </w:pPr>
    </w:p>
    <w:p>
      <w:pPr>
        <w:pStyle w:val="Heading3"/>
      </w:pPr>
      <w:r>
        <w:t>Computer Anxiety</w:t>
      </w:r>
    </w:p>
    <w:p>
      <w:pPr>
        <w:keepNext/>
        <w:spacing w:before="120" w:after="80"/>
        <w:ind w:firstLine="0"/>
      </w:pPr>
      <w:r>
        <w:rPr>
          <w:b/>
          <w:sz w:val="21"/>
        </w:rPr>
        <w:t>Table 4.8: Computer Anxiety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CANX1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Computers do not scare me at all.</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CANX2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Working with a computer makes me nervous.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CANX3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Computers make me feel uncomfortable.</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CANX4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Computers make me feel uneasy.</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bl>
    <w:p>
      <w:pPr>
        <w:spacing w:after="0"/>
      </w:pPr>
    </w:p>
    <w:p>
      <w:pPr>
        <w:pStyle w:val="Heading3"/>
      </w:pPr>
      <w:r>
        <w:t>Subjective Norm</w:t>
      </w:r>
    </w:p>
    <w:p>
      <w:pPr>
        <w:keepNext/>
        <w:spacing w:before="120" w:after="80"/>
        <w:ind w:firstLine="0"/>
      </w:pPr>
      <w:r>
        <w:rPr>
          <w:b/>
          <w:sz w:val="21"/>
        </w:rPr>
        <w:t>Table 4.9: Subjective Norm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SN1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People who influence my behaviour think that I should use university-issued digital badges when applying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SN2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People who are important to me think that I should use university-issued digital badges when applying for jobs.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SN3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My university would be helpful in using university-issued digital badges for job applications.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SN4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In general, my university would support the use of university-issued digital badges for job applications.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 Venkatesh et al. (2003)</w:t>
            </w:r>
          </w:p>
        </w:tc>
      </w:tr>
    </w:tbl>
    <w:p>
      <w:pPr>
        <w:spacing w:after="0"/>
      </w:pPr>
    </w:p>
    <w:p>
      <w:pPr>
        <w:pStyle w:val="Heading3"/>
      </w:pPr>
      <w:r>
        <w:t>Image</w:t>
      </w:r>
    </w:p>
    <w:p>
      <w:pPr>
        <w:keepNext/>
        <w:spacing w:before="120" w:after="80"/>
        <w:ind w:firstLine="0"/>
      </w:pPr>
      <w:r>
        <w:rPr>
          <w:b/>
          <w:sz w:val="21"/>
        </w:rPr>
        <w:t>Table 4.10: Image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IMG1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Students who use university-issued digital badges when applying for jobs are likely to have more prestige than those who do not.</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IMG2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Students who use university-issued digital badges when applying for jobs will have a high profile.</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IMG3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Being able to display university-issued digital badges when applying for jobs would be a status symbol for students.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bl>
    <w:p>
      <w:pPr>
        <w:spacing w:after="0"/>
      </w:pPr>
    </w:p>
    <w:p>
      <w:pPr>
        <w:pStyle w:val="Heading3"/>
      </w:pPr>
      <w:r>
        <w:t>Job Application Relevance</w:t>
      </w:r>
    </w:p>
    <w:p>
      <w:pPr>
        <w:keepNext/>
        <w:spacing w:before="120" w:after="80"/>
        <w:ind w:firstLine="0"/>
      </w:pPr>
      <w:r>
        <w:rPr>
          <w:b/>
          <w:sz w:val="21"/>
        </w:rPr>
        <w:t>Table 4.11: Job Application Relevance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REL1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When job searching, usage of university-issued digital badges is important.</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REL2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When job searching, usage of university-issued digital badges is relevant.</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REL3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The use of university-issued digital badges is pertinent to my job searching activities.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bl>
    <w:p>
      <w:pPr>
        <w:spacing w:after="0"/>
      </w:pPr>
    </w:p>
    <w:p>
      <w:pPr>
        <w:pStyle w:val="Heading3"/>
      </w:pPr>
      <w:r>
        <w:t>Result Demonstrability</w:t>
      </w:r>
    </w:p>
    <w:p>
      <w:pPr>
        <w:keepNext/>
        <w:spacing w:before="120" w:after="80"/>
        <w:ind w:firstLine="0"/>
      </w:pPr>
      <w:r>
        <w:rPr>
          <w:b/>
          <w:sz w:val="21"/>
        </w:rPr>
        <w:t>Table 4.12: Result Demonstrability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RES1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 would have no difficulty telling others about the results of using university-issued digital badges.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RES2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 believe I could communicate to others the consequences for me of using university-issued digital badges.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RES3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The results of using university-issued digital badges would be apparent to me.</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RES4</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I would have difficulty explaining why using university-issued digital badges for job searching may or may not be beneficial.</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w:t>
            </w:r>
          </w:p>
        </w:tc>
      </w:tr>
    </w:tbl>
    <w:p>
      <w:pPr>
        <w:spacing w:after="0"/>
      </w:pPr>
    </w:p>
    <w:p>
      <w:pPr>
        <w:pStyle w:val="Heading3"/>
      </w:pPr>
      <w:r>
        <w:t>Behavioural Intention</w:t>
      </w:r>
    </w:p>
    <w:p>
      <w:pPr>
        <w:keepNext/>
        <w:spacing w:before="120" w:after="80"/>
        <w:ind w:firstLine="0"/>
      </w:pPr>
      <w:r>
        <w:rPr>
          <w:b/>
          <w:sz w:val="21"/>
        </w:rPr>
        <w:t>Table 4.13: Behavioural Intention measurement items</w:t>
      </w:r>
    </w:p>
    <w:tbl>
      <w:tblPr>
        <w:tblStyle w:val="TableGrid"/>
        <w:tblW w:type="dxa" w:w="8928"/>
        <w:tblLayout w:type="fixed"/>
        <w:tblLook w:firstColumn="1" w:firstRow="1" w:lastColumn="0" w:lastRow="0" w:noHBand="0" w:noVBand="1" w:val="04A0"/>
        <w:jc w:val="left"/>
        <w:tblInd w:w="120" w:type="dxa"/>
      </w:tblPr>
      <w:tblGrid>
        <w:gridCol w:w="792"/>
        <w:gridCol w:w="5904"/>
        <w:gridCol w:w="2232"/>
      </w:tblGrid>
      <w:tr>
        <w:trPr>
          <w:tblHeader w:val="true"/>
          <w:cantSplit/>
        </w:trPr>
        <w:tc>
          <w:tcPr>
            <w:tcW w:type="dxa" w:w="79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Code</w:t>
            </w:r>
          </w:p>
        </w:tc>
        <w:tc>
          <w:tcPr>
            <w:tcW w:type="dxa" w:w="5904"/>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Questionnaire statement</w:t>
            </w:r>
          </w:p>
        </w:tc>
        <w:tc>
          <w:tcPr>
            <w:tcW w:type="dxa" w:w="2232"/>
            <w:vAlign w:val="center"/>
            <w:tcMar>
              <w:top w:w="70" w:type="dxa"/>
              <w:start w:w="80" w:type="dxa"/>
              <w:bottom w:w="70" w:type="dxa"/>
              <w:end w:w="80" w:type="dxa"/>
            </w:tcMar>
            <w:shd w:fill="D9E2F3"/>
          </w:tcPr>
          <w:p>
            <w:pPr>
              <w:spacing w:line="240" w:lineRule="auto" w:after="0"/>
              <w:ind w:firstLine="0" w:left="0" w:right="0"/>
              <w:jc w:val="center"/>
            </w:pPr>
            <w:r>
              <w:rPr>
                <w:rFonts w:ascii="Times New Roman" w:hAnsi="Times New Roman" w:eastAsia="Times New Roman"/>
                <w:b/>
                <w:sz w:val="16"/>
              </w:rPr>
              <w:t>Measurement source</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BI1</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Assuming I had access to university-issued digital badges I intend to use them when I apply for jobs.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&amp; Davis (2000)</w:t>
            </w:r>
          </w:p>
        </w:tc>
      </w:tr>
      <w:tr>
        <w:trPr>
          <w:cantSplit/>
        </w:trPr>
        <w:tc>
          <w:tcPr>
            <w:tcW w:type="dxa" w:w="79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BI2</w:t>
            </w:r>
          </w:p>
        </w:tc>
        <w:tc>
          <w:tcPr>
            <w:tcW w:type="dxa" w:w="5904"/>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Given that I had access to university-issued digital badges, I predict that I would use them when I apply for jobs.</w:t>
            </w:r>
          </w:p>
        </w:tc>
        <w:tc>
          <w:tcPr>
            <w:tcW w:type="dxa" w:w="2232"/>
            <w:vAlign w:val="center"/>
            <w:tcMar>
              <w:top w:w="70" w:type="dxa"/>
              <w:start w:w="80" w:type="dxa"/>
              <w:bottom w:w="70" w:type="dxa"/>
              <w:end w:w="80" w:type="dxa"/>
            </w:tcMar>
            <w:shd w:fill="FAFAFA"/>
          </w:tcPr>
          <w:p>
            <w:pPr>
              <w:spacing w:line="240" w:lineRule="auto" w:after="0"/>
              <w:ind w:firstLine="0" w:left="0" w:right="0"/>
              <w:jc w:val="left"/>
            </w:pPr>
            <w:r>
              <w:rPr>
                <w:rFonts w:ascii="Times New Roman" w:hAnsi="Times New Roman" w:eastAsia="Times New Roman"/>
                <w:b w:val="0"/>
                <w:sz w:val="16"/>
              </w:rPr>
              <w:t>Steenkamp et al. (2024); Venkatesh &amp; Bala (2008); Venkatesh &amp; Davis (2000)</w:t>
            </w:r>
          </w:p>
        </w:tc>
      </w:tr>
      <w:tr>
        <w:trPr>
          <w:cantSplit/>
        </w:trPr>
        <w:tc>
          <w:tcPr>
            <w:tcW w:type="dxa" w:w="79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BI3</w:t>
            </w:r>
          </w:p>
        </w:tc>
        <w:tc>
          <w:tcPr>
            <w:tcW w:type="dxa" w:w="5904"/>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If I had access to university-issued digital badges, I would plan to use them when I apply for jobs in the next 12 months.</w:t>
            </w:r>
          </w:p>
        </w:tc>
        <w:tc>
          <w:tcPr>
            <w:tcW w:type="dxa" w:w="2232"/>
            <w:vAlign w:val="center"/>
            <w:tcMar>
              <w:top w:w="70" w:type="dxa"/>
              <w:start w:w="80" w:type="dxa"/>
              <w:bottom w:w="70" w:type="dxa"/>
              <w:end w:w="80" w:type="dxa"/>
            </w:tcMar>
          </w:tcPr>
          <w:p>
            <w:pPr>
              <w:spacing w:line="240" w:lineRule="auto" w:after="0"/>
              <w:ind w:firstLine="0" w:left="0" w:right="0"/>
              <w:jc w:val="left"/>
            </w:pPr>
            <w:r>
              <w:rPr>
                <w:rFonts w:ascii="Times New Roman" w:hAnsi="Times New Roman" w:eastAsia="Times New Roman"/>
                <w:b w:val="0"/>
                <w:sz w:val="16"/>
              </w:rPr>
              <w:t>Steenkamp et al. (2024); Venkatesh &amp; Bala (2008); Venkatesh &amp; Davis (2000)</w:t>
            </w:r>
          </w:p>
        </w:tc>
      </w:tr>
    </w:tbl>
    <w:p>
      <w:pPr>
        <w:spacing w:after="0"/>
      </w:pPr>
    </w:p>
    <w:p>
      <w:pPr>
        <w:pStyle w:val="Heading2"/>
      </w:pPr>
      <w:r>
        <w:t>4.4 Translation and Pilot Study</w:t>
      </w:r>
    </w:p>
    <w:p>
      <w:r>
        <w:t>The questionnaire will be translated from English into Thai and independently back-translated into English. Differences will be reconciled to preserve the intended meaning of each construct (Brislin, 1970). Before the main survey, the Thai questionnaire will be pilot tested with 40 eligible Thai IT students. A sample of this size is appropriate for an initial assessment of item comprehension and scale performance (Hertzog, 2008; Johanson &amp; Brooks, 2010). The pilot will assess eligibility logic, clarity of instructions and items, completion time, missing responses, and preliminary internal consistency. Pilot participants will be excluded from the main survey.</w:t>
      </w:r>
    </w:p>
    <w:p>
      <w:pPr>
        <w:pStyle w:val="Heading2"/>
      </w:pPr>
      <w:r>
        <w:t>4.5 Data Collection</w:t>
      </w:r>
    </w:p>
    <w:p>
      <w:r>
        <w:t>Following academic and ethical approval, an online survey link will be distributed through the identified university and student channels. The first page will provide the participant information and consent statement. Participation will be voluntary, and respondents may leave the survey before submission. No directly identifying information will be required. Responses will be stored securely and used only for the purposes described in the participant information.</w:t>
      </w:r>
    </w:p>
    <w:p>
      <w:pPr>
        <w:pStyle w:val="Heading2"/>
      </w:pPr>
      <w:r>
        <w:t>4.6 Statistical Treatment of Data</w:t>
      </w:r>
    </w:p>
    <w:p>
      <w:pPr>
        <w:spacing w:after="40"/>
        <w:numPr>
          <w:ilvl w:val="0"/>
          <w:numId w:val="12"/>
        </w:numPr>
      </w:pPr>
      <w:r>
        <w:t>Screen records for consent, eligibility, duplicates, missingness, completion quality, and coding errors; reverse-code negatively phrased indicators before construct analysis.</w:t>
      </w:r>
    </w:p>
    <w:p>
      <w:pPr>
        <w:spacing w:after="40"/>
        <w:numPr>
          <w:ilvl w:val="0"/>
          <w:numId w:val="12"/>
        </w:numPr>
      </w:pPr>
      <w:r>
        <w:t>Describe respondent characteristics using frequencies and percentages, and summarize construct responses using means and standard deviations.</w:t>
      </w:r>
    </w:p>
    <w:p>
      <w:pPr>
        <w:spacing w:after="40"/>
        <w:numPr>
          <w:ilvl w:val="0"/>
          <w:numId w:val="12"/>
        </w:numPr>
      </w:pPr>
      <w:r>
        <w:t>Assess the reflective measurement model using indicator loadings, Cronbach's alpha, composite reliability, average variance extracted, and discriminant validity. All 40 indicators will be administered; any indicator removal will be based on the Thai-sample results and theoretical content and will be reported.</w:t>
      </w:r>
    </w:p>
    <w:p>
      <w:pPr>
        <w:spacing w:after="40"/>
        <w:numPr>
          <w:ilvl w:val="0"/>
          <w:numId w:val="12"/>
        </w:numPr>
      </w:pPr>
      <w:r>
        <w:t>Assess structural-model collinearity using variance inflation factors and evaluate the explanatory power of endogenous constructs using R-squared values.</w:t>
      </w:r>
    </w:p>
    <w:p>
      <w:pPr>
        <w:spacing w:after="40"/>
        <w:numPr>
          <w:ilvl w:val="0"/>
          <w:numId w:val="12"/>
        </w:numPr>
      </w:pPr>
      <w:r>
        <w:t>Estimate the 13 hypothesised paths in SmartPLS using 5,000 bootstrap samples and report path coefficients, confidence intervals, p-values, and effect sizes (Hair et al., 2022).</w:t>
      </w:r>
    </w:p>
    <w:p>
      <w:pPr>
        <w:spacing w:after="40"/>
        <w:numPr>
          <w:ilvl w:val="0"/>
          <w:numId w:val="12"/>
        </w:numPr>
      </w:pPr>
      <w:r>
        <w:t>Determine support for each hypothesis at the 5% significance level and compare the resulting pattern with the findings of Steenkamp et al. (2024).</w:t>
      </w:r>
    </w:p>
    <w:p>
      <w:pPr>
        <w:pStyle w:val="Heading2"/>
      </w:pPr>
      <w:r>
        <w:t>4.7 Ethical Considerations</w:t>
      </w:r>
    </w:p>
    <w:p>
      <w:r>
        <w:t>The study will follow the university's research-ethics requirements. Participants will receive information about the study purpose, eligibility requirements, voluntary participation, confidentiality, data use, and withdrawal before submission. Only respondents who provide informed consent will proceed. Results will be reported in aggregate form.</w:t>
      </w:r>
    </w:p>
    <w:p>
      <w:r>
        <w:br w:type="page"/>
      </w:r>
    </w:p>
    <w:p>
      <w:pPr>
        <w:pStyle w:val="Heading1"/>
      </w:pPr>
      <w:r>
        <w:t>References</w:t>
      </w:r>
    </w:p>
    <w:p>
      <w:pPr>
        <w:spacing w:line="240" w:lineRule="auto" w:after="60"/>
        <w:ind w:hanging="432" w:left="432"/>
        <w:jc w:val="left"/>
      </w:pPr>
      <w:r>
        <w:rPr>
          <w:sz w:val="21"/>
        </w:rPr>
        <w:t>Brislin, R. W. (1970). Back-translation for cross-cultural research. Journal of Cross-Cultural Psychology, 1(3), 185-216. https://doi.org/10.1177/135910457000100301</w:t>
      </w:r>
    </w:p>
    <w:p>
      <w:pPr>
        <w:spacing w:line="240" w:lineRule="auto" w:after="60"/>
        <w:ind w:hanging="432" w:left="432"/>
        <w:jc w:val="left"/>
      </w:pPr>
      <w:r>
        <w:rPr>
          <w:sz w:val="21"/>
        </w:rPr>
        <w:t>Council of the European Union. (2022). Council Recommendation of 16 June 2022 on a European approach to micro-credentials for lifelong learning and employability (2022/C 243/02). Official Journal of the European Union, C 243, 10-25.</w:t>
      </w:r>
    </w:p>
    <w:p>
      <w:pPr>
        <w:spacing w:line="240" w:lineRule="auto" w:after="60"/>
        <w:ind w:hanging="432" w:left="432"/>
        <w:jc w:val="left"/>
      </w:pPr>
      <w:r>
        <w:rPr>
          <w:sz w:val="21"/>
        </w:rPr>
        <w:t>Davis, F. D. (1989). Perceived usefulness, perceived ease of use, and user acceptance of information technology. MIS Quarterly, 13(3), 319-340. https://doi.org/10.2307/249008</w:t>
      </w:r>
    </w:p>
    <w:p>
      <w:pPr>
        <w:spacing w:line="240" w:lineRule="auto" w:after="60"/>
        <w:ind w:hanging="432" w:left="432"/>
        <w:jc w:val="left"/>
      </w:pPr>
      <w:r>
        <w:rPr>
          <w:sz w:val="21"/>
        </w:rPr>
        <w:t>Hair, J. F., Hult, G. T. M., Ringle, C. M., and Sarstedt, M. (2022). A primer on partial least squares structural equation modeling (PLS-SEM) (3rd ed.). Sage.</w:t>
      </w:r>
    </w:p>
    <w:p>
      <w:pPr>
        <w:spacing w:line="240" w:lineRule="auto" w:after="60"/>
        <w:ind w:hanging="432" w:left="432"/>
        <w:jc w:val="left"/>
      </w:pPr>
      <w:r>
        <w:rPr>
          <w:sz w:val="21"/>
        </w:rPr>
        <w:t>Hertzog, M. A. (2008). Considerations in determining sample size for pilot studies. Research in Nursing &amp; Health, 31(2), 180-191. https://doi.org/10.1002/nur.20247</w:t>
      </w:r>
    </w:p>
    <w:p>
      <w:pPr>
        <w:spacing w:line="240" w:lineRule="auto" w:after="60"/>
        <w:ind w:hanging="432" w:left="432"/>
        <w:jc w:val="left"/>
      </w:pPr>
      <w:r>
        <w:rPr>
          <w:sz w:val="21"/>
        </w:rPr>
        <w:t>Johanson, G. A., and Brooks, G. P. (2010). Initial scale development: Sample size for pilot studies. Educational and Psychological Measurement, 70(3), 394-400. https://doi.org/10.1177/0013164409355692</w:t>
      </w:r>
    </w:p>
    <w:p>
      <w:pPr>
        <w:spacing w:line="240" w:lineRule="auto" w:after="60"/>
        <w:ind w:hanging="432" w:left="432"/>
        <w:jc w:val="left"/>
      </w:pPr>
      <w:r>
        <w:rPr>
          <w:sz w:val="21"/>
        </w:rPr>
        <w:t>Kiiskila, P., Kukkonen, A., and Pirkkalainen, H. (2023). Are micro-credentials valuable for students? Perspective on verifiable digital credentials. SN Computer Science, 4, Article 366. https://doi.org/10.1007/s42979-023-01797-y</w:t>
      </w:r>
    </w:p>
    <w:p>
      <w:pPr>
        <w:spacing w:line="240" w:lineRule="auto" w:after="60"/>
        <w:ind w:hanging="432" w:left="432"/>
        <w:jc w:val="left"/>
      </w:pPr>
      <w:r>
        <w:rPr>
          <w:sz w:val="21"/>
        </w:rPr>
        <w:t>Krejcie, R. V., and Morgan, D. W. (1970). Determining sample size for research activities. Educational and Psychological Measurement, 30(3), 607-610. https://doi.org/10.1177/001316447003000308</w:t>
      </w:r>
    </w:p>
    <w:p>
      <w:pPr>
        <w:spacing w:line="240" w:lineRule="auto" w:after="60"/>
        <w:ind w:hanging="432" w:left="432"/>
        <w:jc w:val="left"/>
      </w:pPr>
      <w:r>
        <w:rPr>
          <w:sz w:val="21"/>
        </w:rPr>
        <w:t>Miao, M., Ahmed, M., Ahsan, N., and Qamar, B. (2024). Intention to use technology for micro-credential programs: Evidence from technology acceptance and self-determination model. International Journal of Educational Management, 38(4), 948-977. https://doi.org/10.1108/IJEM-02-2023-0066</w:t>
      </w:r>
    </w:p>
    <w:p>
      <w:pPr>
        <w:spacing w:line="240" w:lineRule="auto" w:after="60"/>
        <w:ind w:hanging="432" w:left="432"/>
        <w:jc w:val="left"/>
      </w:pPr>
      <w:r>
        <w:rPr>
          <w:sz w:val="21"/>
        </w:rPr>
        <w:t>Steenkamp, N., Fisher, R., and Nesbit, T. (2024). Understanding accounting students' intentions to use digital badges to showcase employability skills. Accounting Education, 33(6), 906-934. https://doi.org/10.1080/09639284.2023.2276200</w:t>
      </w:r>
    </w:p>
    <w:p>
      <w:pPr>
        <w:spacing w:line="240" w:lineRule="auto" w:after="60"/>
        <w:ind w:hanging="432" w:left="432"/>
        <w:jc w:val="left"/>
      </w:pPr>
      <w:r>
        <w:rPr>
          <w:sz w:val="21"/>
        </w:rPr>
        <w:t>Sykes, T. A., Venkatesh, V., and Johnson, J. L. (2014). Enterprise system implementation and employee job performance: Understanding the role of advice networks. MIS Quarterly, 38(1), 51-72. https://doi.org/10.25300/MISQ/2014/38.1.03</w:t>
      </w:r>
    </w:p>
    <w:p>
      <w:pPr>
        <w:spacing w:line="240" w:lineRule="auto" w:after="60"/>
        <w:ind w:hanging="432" w:left="432"/>
        <w:jc w:val="left"/>
      </w:pPr>
      <w:r>
        <w:rPr>
          <w:sz w:val="21"/>
        </w:rPr>
        <w:t>UNESCO. (2022). Towards a common definition of micro-credentials. UNESCO. https://unesdoc.unesco.org/ark:/48223/pf0000381668</w:t>
      </w:r>
    </w:p>
    <w:p>
      <w:pPr>
        <w:spacing w:line="240" w:lineRule="auto" w:after="60"/>
        <w:ind w:hanging="432" w:left="432"/>
        <w:jc w:val="left"/>
      </w:pPr>
      <w:r>
        <w:rPr>
          <w:sz w:val="21"/>
        </w:rPr>
        <w:t>Venkatesh, V. (2000). Determinants of perceived ease of use: Integrating control, intrinsic motivation, and emotion into the technology acceptance model. Information Systems Research, 11(4), 342-365. https://doi.org/10.1287/isre.11.4.342.11872</w:t>
      </w:r>
    </w:p>
    <w:p>
      <w:pPr>
        <w:spacing w:line="240" w:lineRule="auto" w:after="60"/>
        <w:ind w:hanging="432" w:left="432"/>
        <w:jc w:val="left"/>
      </w:pPr>
      <w:r>
        <w:rPr>
          <w:sz w:val="21"/>
        </w:rPr>
        <w:t>Venkatesh, V., and Bala, H. (2008). Technology acceptance model 3 and a research agenda on interventions. Decision Sciences, 39(2), 273-315. https://doi.org/10.1111/j.1540-5915.2008.00192.x</w:t>
      </w:r>
    </w:p>
    <w:p>
      <w:pPr>
        <w:spacing w:line="240" w:lineRule="auto" w:after="60"/>
        <w:ind w:hanging="432" w:left="432"/>
        <w:jc w:val="left"/>
      </w:pPr>
      <w:r>
        <w:rPr>
          <w:sz w:val="21"/>
        </w:rPr>
        <w:t>Venkatesh, V., and Davis, F. D. (2000). A theoretical extension of the technology acceptance model: Four longitudinal field studies. Management Science, 46(2), 186-204. https://doi.org/10.1287/mnsc.46.2.186.11926</w:t>
      </w:r>
    </w:p>
    <w:p>
      <w:pPr>
        <w:spacing w:line="240" w:lineRule="auto" w:after="60"/>
        <w:ind w:hanging="432" w:left="432"/>
        <w:jc w:val="left"/>
      </w:pPr>
      <w:r>
        <w:rPr>
          <w:sz w:val="21"/>
        </w:rPr>
        <w:t>Venkatesh, V., Morris, M. G., Davis, G. B., and Davis, F. D. (2003). User acceptance of information technology: Toward a unified view. MIS Quarterly, 27(3), 425-478. https://doi.org/10.2307/30036540</w:t>
      </w:r>
    </w:p>
    <w:sectPr w:rsidR="00FC693F" w:rsidRPr="0006063C" w:rsidSect="00034616">
      <w:footerReference w:type="default" r:id="rId9"/>
      <w:head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95959"/>
        <w:sz w:val="18"/>
      </w:rPr>
      <w:t>Digital badges for IT micro-credentials | Thai IT students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ind w:left="576" w:hanging="288"/>
      </w:pPr>
    </w:lvl>
  </w:abstractNum>
  <w:num w:numId="10">
    <w:abstractNumId w:val="9"/>
  </w:num>
  <w:abstractNum w:abstractNumId="10">
    <w:multiLevelType w:val="singleLevel"/>
    <w:lvl w:ilvl="0">
      <w:start w:val="1"/>
      <w:numFmt w:val="decimal"/>
      <w:lvlText w:val="%1."/>
      <w:lvlJc w:val="left"/>
      <w:pPr>
        <w:ind w:left="576" w:hanging="288"/>
      </w:pPr>
    </w:lvl>
  </w:abstractNum>
  <w:num w:numId="11">
    <w:abstractNumId w:val="10"/>
  </w:num>
  <w:abstractNum w:abstractNumId="11">
    <w:multiLevelType w:val="singleLevel"/>
    <w:lvl w:ilvl="0">
      <w:start w:val="1"/>
      <w:numFmt w:val="decimal"/>
      <w:lvlText w:val="%1."/>
      <w:lvlJc w:val="left"/>
      <w:pPr>
        <w:ind w:left="576" w:hanging="288"/>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60"/>
      <w:contextualSpacing/>
    </w:pPr>
    <w:rPr>
      <w:rFonts w:asciiTheme="majorHAnsi" w:eastAsiaTheme="majorEastAsia" w:hAnsiTheme="majorHAnsi" w:cstheme="majorBidi" w:ascii="Times New Roman" w:hAnsi="Times New Roman" w:eastAsia="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