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926080" cy="735178"/>
            <wp:docPr id="1" name="Picture 1" descr="Logosímbolo original de la Universidad de Antioqu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simbolo-horizon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73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</w:pPr>
      <w:r>
        <w:rPr>
          <w:b/>
          <w:sz w:val="26"/>
        </w:rPr>
        <w:t>BOT DE PORTAFOLIOS</w:t>
      </w:r>
    </w:p>
    <w:p>
      <w:pPr>
        <w:pStyle w:val="Title"/>
        <w:pBdr>
          <w:bottom w:val="single" w:sz="10" w:color="10693F"/>
        </w:pBdr>
        <w:spacing w:after="420"/>
      </w:pPr>
      <w:r>
        <w:t>Escalamiento a la versión 2</w:t>
      </w:r>
    </w:p>
    <w:p>
      <w:pPr>
        <w:spacing w:after="420"/>
      </w:pPr>
      <w:r>
        <w:rPr>
          <w:sz w:val="28"/>
        </w:rPr>
        <w:t>Del análisis individual al portafolio dinámico y al valor de la empresa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10693F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FFFFFF"/>
              </w:rPr>
              <w:t>Python y pandas. Portafolios y Black-Litterman.</w:t>
              <w:br/>
              <w:t>Rebalanceo. CAPM y valoración.</w:t>
            </w:r>
          </w:p>
        </w:tc>
      </w:tr>
    </w:tbl>
    <w:p>
      <w:pPr>
        <w:spacing w:before="420"/>
      </w:pPr>
      <w:r>
        <w:t>Maestría en Finanzas</w:t>
        <w:br/>
        <w:t>Teoría Moderna de Portafolios de Inversión</w:t>
        <w:br/>
        <w:t>Universidad de Antioquia</w:t>
      </w:r>
    </w:p>
    <w:p>
      <w:r>
        <w:t>Julián Esteban Restrepo Montoya</w:t>
        <w:br/>
        <w:t>Docente</w:t>
        <w:br/>
        <w:t>25 de septiembre de 2026. Versión 2.0</w:t>
      </w:r>
    </w:p>
    <w:p>
      <w:pPr>
        <w:spacing w:before="420"/>
      </w:pPr>
      <w:r>
        <w:t>El estudiante define y defiende el criterio financiero. La IA implementa y ayuda a comprobarlo.</w:t>
      </w:r>
    </w:p>
    <w:p>
      <w:pPr>
        <w:spacing w:before="420"/>
      </w:pPr>
      <w:r>
        <w:rPr>
          <w:sz w:val="18"/>
        </w:rPr>
        <w:t>Actividad académica de Teoría Moderna de Portafolios de Inversión, Maestría en Finanzas de la Universidad de Antioquia. Los datos, modelos y resultados pueden contener errores, supuestos insuficientes y rezagos. No constituye asesoría ni recomendación de inversiones reales; la simulación no ejecuta órdenes ni garantiza resultados.</w:t>
      </w:r>
    </w:p>
    <w:p>
      <w:r>
        <w:br w:type="page"/>
      </w:r>
    </w:p>
    <w:p>
      <w:pPr>
        <w:pStyle w:val="Heading1"/>
        <w:pBdr>
          <w:bottom w:val="single" w:sz="10" w:color="10693F"/>
        </w:pBdr>
      </w:pPr>
      <w:r>
        <w:t>1. Propósito y resultado</w:t>
      </w:r>
    </w:p>
    <w:p>
      <w:pPr>
        <w:jc w:val="both"/>
      </w:pPr>
      <w:r>
        <w:rPr>
          <w:b w:val="0"/>
        </w:rPr>
        <w:t>La versión 2 transforma la preselección de activos en un laboratorio de asignación de capital, actualización de expectativas, rebalanceo y valoración. El estudiante define el problema financiero, sus supuestos y su criterio de decisión; la IA programa, propone pruebas y depura sin sustituir esa responsabilidad.</w:t>
      </w:r>
    </w:p>
    <w:p>
      <w:pPr>
        <w:jc w:val="both"/>
      </w:pPr>
      <w:r>
        <w:rPr>
          <w:b w:val="0"/>
        </w:rPr>
        <w:t>El trabajo debe evidenciar conocimiento mediante cálculos reconstruibles, decisiones justificadas y cambios ante evidencia adversa. Una decisión de no invertir o no rebalancear puede cumplir el objetivo académico; una ganancia simulada no prueba por sí sola aprendizaje ni calidad del modelo.</w:t>
      </w:r>
    </w:p>
    <w:p>
      <w:pPr>
        <w:jc w:val="both"/>
      </w:pPr>
      <w:r>
        <w:rPr>
          <w:b w:val="0"/>
        </w:rPr>
        <w:t>La guía y el prompt v1 excluían carteras, pesos y covarianzas. Este encargo amplía expresamente ese alcance; las exclusiones anteriores no deben bloquear la nueva etapa, pero los módulos individuales A/B y sus pruebas válidas se conservan (Restrepo Montoya, 2026, guía y prompt del MVP).</w:t>
      </w:r>
    </w:p>
    <w:p>
      <w:pPr>
        <w:pStyle w:val="Heading2"/>
      </w:pPr>
      <w:r>
        <w:t>1.1. Núcleo obligatorio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rPr>
          <w:cantSplit/>
          <w:tblHeader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Python y pandas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Limpieza, índices temporales, alineación, rendimientos, ventanas, matrices y exportaciones trazables.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Mercado en línea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Un activo y veinte válidos simultáneos, gráfico actualizado, error aislado y antigüedad del dato visible.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Riesgo conjunto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Varianza, covarianza, matriz de covarianzas, correlaciones y volatilidad móvil individual y de cartera.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Markowitz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Conjunto factible, fronteras eficiente y no eficiente, mínima varianza, tangencia, óptimo personal y máximo rendimiento esperado.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Black-Litterman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Prior, opiniones absolutas y relativas, incertidumbre, posterior y comparación de asignaciones.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Rebalanceo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Información nueva, política explícita, pesos actuales/objetivo, costos, caja y operaciones simuladas.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CAPM y valoración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CAL/CML/SML, beta, desapalancamiento/reapalancamiento, Ke, WACC y puente hacia flujos y valor empresarial.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Evidencia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Fuente, cálculo, decisión del estudiante, prueba, versión y defensa individual conectados.</w:t>
            </w:r>
          </w:p>
        </w:tc>
      </w:tr>
    </w:tbl>
    <w:p>
      <w:pPr>
        <w:spacing w:after="0"/>
      </w:pPr>
    </w:p>
    <w:p>
      <w:pPr>
        <w:pStyle w:val="Heading2"/>
      </w:pPr>
      <w:r>
        <w:t>1.2. Especialización</w:t>
      </w:r>
    </w:p>
    <w:p>
      <w:pPr>
        <w:jc w:val="both"/>
      </w:pPr>
      <w:r>
        <w:rPr>
          <w:b w:val="0"/>
        </w:rPr>
        <w:t>Cada equipo selecciona una ruta principal y, como máximo, una complementaria: análisis técnico, fundamentales, variables macroeconómicas y triggers, trading cuantitativo simulado, valoración de empresas o evaluación de proyectos. La ruta se elige por la decisión que mejora, no por la cantidad de funciones; no sustituye el núcleo obligatorio.</w:t>
      </w:r>
    </w:p>
    <w:p>
      <w:pPr>
        <w:jc w:val="both"/>
      </w:pPr>
      <w:r>
        <w:rPr>
          <w:b w:val="0"/>
        </w:rPr>
        <w:t>La nueva versión se construye sobre el BOT que realmente tiene el equipo. Se conserva su framework y arquitectura útil; no se exige migrar FastAPI, Streamlit o Dash ni incorporar un LLM dentro de la aplicación.</w:t>
      </w:r>
    </w:p>
    <w:p>
      <w:pPr>
        <w:pStyle w:val="Heading1"/>
        <w:pBdr>
          <w:bottom w:val="single" w:sz="10" w:color="10693F"/>
        </w:pBdr>
      </w:pPr>
      <w:r>
        <w:t>2. Trabajo del estudiante y de la IA</w:t>
      </w:r>
    </w:p>
    <w:p>
      <w:pPr>
        <w:jc w:val="both"/>
      </w:pPr>
      <w:r>
        <w:rPr>
          <w:b w:val="0"/>
        </w:rPr>
        <w:t>Antes de cada módulo, el estudiante formula: pregunta financiera, variables, ecuación o mecanismo, supuestos, un resultado de control y una condición que cambiaría la decisión. La IA contrasta la consistencia y desarrolla un incremento pequeño; no escribe una justificación y la registra como comprensión del estudiante.</w:t>
      </w:r>
    </w:p>
    <w:p>
      <w:pPr>
        <w:jc w:val="both"/>
      </w:pPr>
      <w:r>
        <w:rPr>
          <w:b w:val="0"/>
        </w:rPr>
        <w:t>El banco contiene 160 preguntas en veinte bloques. Se utiliza durante el trabajo con un máximo de seis preguntas por intercambio, no como formulario que deba completarse antes de construir; las preguntas 129 a 152 profundizan rutas opcionales y las restantes cubren el núcleo común.</w:t>
      </w:r>
    </w:p>
    <w:p>
      <w:pPr>
        <w:jc w:val="both"/>
      </w:pPr>
      <w:r>
        <w:rPr>
          <w:b w:val="0"/>
        </w:rPr>
        <w:t>Si una respuesta revela una brecha, la IA explica un ejemplo distinto y pide una nueva comprobación. Las decisiones técnicas rutinarias y reversibles pueden resolverse autónomamente, mientras las financieras materiales permanecen en cabeza del equipo.</w:t>
      </w:r>
    </w:p>
    <w:p>
      <w:pPr>
        <w:pStyle w:val="Heading2"/>
      </w:pPr>
      <w:r>
        <w:t>2.1. Primera sesión</w:t>
      </w:r>
    </w:p>
    <w:p>
      <w:pPr>
        <w:jc w:val="both"/>
      </w:pPr>
      <w:r>
        <w:rPr>
          <w:b w:val="0"/>
        </w:rPr>
        <w:t>Se revisan README, ESTADO, BITACORA, AGENTS, código, dependencias y pruebas. Se identifica el commit inicial y se ejecuta la regresión; un archivo existente no demuestra que funcione y un ZIP no demuestra respaldo remoto.</w:t>
      </w:r>
    </w:p>
    <w:p>
      <w:pPr>
        <w:jc w:val="both"/>
      </w:pPr>
      <w:r>
        <w:rPr>
          <w:b w:val="0"/>
        </w:rPr>
        <w:t>El equipo acuerda usuario, moneda, universo, benchmark, horizonte, liquidez, pérdida tolerable, objetivo, límites de pesos y política preliminar de rebalanceo. Se comienza con dos activos y un cálculo manual; después se escala al universo real y se contrasta la conexión.</w:t>
      </w:r>
    </w:p>
    <w:p>
      <w:pPr>
        <w:pStyle w:val="Heading2"/>
      </w:pPr>
      <w:r>
        <w:t>2.2. Evidencia individual</w:t>
      </w:r>
    </w:p>
    <w:p>
      <w:pPr>
        <w:jc w:val="both"/>
      </w:pPr>
      <w:r>
        <w:rPr>
          <w:b w:val="0"/>
        </w:rPr>
        <w:t>Cada integrante debe reconstruir un cálculo, explicar una elección, seguir un dato hasta su resultado y modificar un supuesto sin IA. La bitácora diferencia material docente heredado, código de IA y aportes propios; ni el número de commits ni la cantidad de mensajes miden por sí solos contribución.</w:t>
      </w:r>
    </w:p>
    <w:p>
      <w:pPr>
        <w:jc w:val="both"/>
      </w:pPr>
      <w:r>
        <w:rPr>
          <w:b w:val="0"/>
        </w:rPr>
        <w:t>La calificación y la aceptación de la defensa corresponden al docente. No se inventan sanciones, plazos o reglas institucionales ni se considera que una revisión de IA equivalga a validación profesional humana.</w:t>
      </w:r>
    </w:p>
    <w:p>
      <w:pPr>
        <w:pStyle w:val="Heading1"/>
        <w:pBdr>
          <w:bottom w:val="single" w:sz="10" w:color="10693F"/>
        </w:pBdr>
      </w:pPr>
      <w:r>
        <w:t>3. Mercado en línea y calidad del dato</w:t>
      </w:r>
    </w:p>
    <w:p>
      <w:pPr>
        <w:jc w:val="both"/>
      </w:pPr>
      <w:r>
        <w:rPr>
          <w:b w:val="0"/>
        </w:rPr>
        <w:t>Yahoo Finance es la fuente inicial solicitada. Se utiliza un adaptador aislado, que puede reutilizar el existente o emplear yfinance después de verificar documentación y versión; la biblioteca no es un servicio contractual oficial ni concede derechos sobre las cotizaciones.</w:t>
      </w:r>
    </w:p>
    <w:p>
      <w:pPr>
        <w:jc w:val="both"/>
      </w:pPr>
      <w:r>
        <w:rPr>
          <w:b w:val="0"/>
        </w:rPr>
        <w:t>El mínimo es actualización periódica configurable sin recargar toda la interfaz. yfinance también documenta WebSocket; se puede usar cuando el entorno lo soporte, pero ni el canal ni la frecuencia de consulta garantizan ausencia de retraso por bolsa (yfinance, s. f.; Yahoo, s. f.).</w:t>
      </w:r>
    </w:p>
    <w:p>
      <w:pPr>
        <w:pStyle w:val="Heading2"/>
      </w:pPr>
      <w:r>
        <w:t>3.1. Tres relojes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240"/>
        <w:gridCol w:w="3528"/>
      </w:tblGrid>
      <w:tr>
        <w:trPr>
          <w:cantSplit/>
          <w:tblHeader/>
        </w:trPr>
        <w:tc>
          <w:tcPr>
            <w:tcW w:type="dxa" w:w="295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Reloj</w:t>
            </w:r>
          </w:p>
        </w:tc>
        <w:tc>
          <w:tcPr>
            <w:tcW w:type="dxa" w:w="32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Qué cambia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Cotización</w:t>
            </w:r>
          </w:p>
        </w:tc>
        <w:tc>
          <w:tcPr>
            <w:tcW w:type="dxa" w:w="32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Precio, gráfico y valor de las posiciones.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Hora del evento, recepción, demora informada o desconocida y duplicados.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Estimación</w:t>
            </w:r>
          </w:p>
        </w:tc>
        <w:tc>
          <w:tcPr>
            <w:tcW w:type="dxa" w:w="32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Ventanas, mu, Sigma, correlación y beta.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Barras completas, muestra comparable y parámetros versionados.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Decisión</w:t>
            </w:r>
          </w:p>
        </w:tc>
        <w:tc>
          <w:tcPr>
            <w:tcW w:type="dxa" w:w="32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Views, frontera, pesos objetivo y rebalanceo.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Política del estudiante, evento válido y snapshot congelado.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</w:rPr>
        <w:t>«Consultado ahora» no significa «negociado ahora». Se muestran ticker, tipo de precio, bolsa, moneda, zona horaria, sesión, último dato, recepción, antigüedad y estado; el cierre de mercado no genera movimiento artificial.</w:t>
      </w:r>
    </w:p>
    <w:p>
      <w:pPr>
        <w:jc w:val="both"/>
      </w:pPr>
      <w:r>
        <w:rPr>
          <w:b w:val="0"/>
        </w:rPr>
        <w:t>Las barras intradía no se utilizan como cierres diarios completos. Una cotización repetida no aumenta la muestra ni dispara otra operación; una petición tardía correspondiente a otro ticker o configuración no sustituye la vista actual.</w:t>
      </w:r>
    </w:p>
    <w:p>
      <w:pPr>
        <w:pStyle w:val="Heading2"/>
      </w:pPr>
      <w:r>
        <w:t>3.2. Preparación con pandas</w:t>
      </w:r>
    </w:p>
    <w:p>
      <w:pPr>
        <w:jc w:val="both"/>
      </w:pPr>
      <w:r>
        <w:rPr>
          <w:b w:val="0"/>
        </w:rPr>
        <w:t>Se conservan DataFrame y Series con nombres de activos e índices temporales. Se verifican duplicados, NaN, infinito, precios no positivos, orden, moneda, calendario y acciones corporativas; las matrices y pesos se reindexan por etiquetas antes de operar.</w:t>
      </w:r>
    </w:p>
    <w:p>
      <w:pPr>
        <w:jc w:val="both"/>
      </w:pPr>
      <w:r>
        <w:rPr>
          <w:b w:val="0"/>
        </w:rPr>
        <w:t>Se distingue cierre ajustado, cierre sin ajustar, último negocio y bid/ask. auto_adjust, dividendos, splits, premercado, reparación y fecha final del proveedor deben quedar explícitos; no se ajusta dos veces una serie ni se trata una reparación como dato original.</w:t>
      </w:r>
    </w:p>
    <w:p>
      <w:pPr>
        <w:jc w:val="both"/>
      </w:pPr>
      <w:r>
        <w:rPr>
          <w:b w:val="0"/>
        </w:rPr>
        <w:t>No se eliminan primero fechas de precios para unir extremos separados por huecos y llamar diario al rendimiento. Se valida la regularidad de los intervalos, se calculan retornos válidos y después se aplica una máscara común a las filas de la matriz conjunta; se registra el número de observaciones antes y después.</w:t>
      </w:r>
    </w:p>
    <w:p>
      <w:pPr>
        <w:jc w:val="both"/>
      </w:pPr>
      <w:r>
        <w:rPr>
          <w:b w:val="0"/>
        </w:rPr>
        <w:t>Para FX definido como COP por USD, P_COP=P_USD*FX y 1+R_COP=(1+R_USD)*(1+R_FX). Se alinean cierres y disponibilidad; el MVP puede bloquear monedas mezcladas hasta implementar conversión, pero no renombrar sus unidades.</w:t>
      </w:r>
    </w:p>
    <w:p>
      <w:pPr>
        <w:pStyle w:val="Heading2"/>
      </w:pPr>
      <w:r>
        <w:t>3.3. Errores, licencias y disponibilidad</w:t>
      </w:r>
    </w:p>
    <w:p>
      <w:pPr>
        <w:jc w:val="both"/>
      </w:pPr>
      <w:r>
        <w:rPr>
          <w:b w:val="0"/>
        </w:rPr>
        <w:t>Un timeout, 429, símbolo inválido o historia insuficiente conserva su diagnóstico sin borrar resultados independientes. Un activo que forma parte de posiciones vigentes no se elimina ni se renormaliza silenciosamente: se bloquea la decisión dependiente o se solicita redefinir el universo.</w:t>
      </w:r>
    </w:p>
    <w:p>
      <w:pPr>
        <w:jc w:val="both"/>
      </w:pPr>
      <w:r>
        <w:rPr>
          <w:b w:val="0"/>
        </w:rPr>
        <w:t>El modo de mercado y el laboratorio sintético son estados distintos. Puede seguirse programando con fixtures ante una falla, pero la pantalla cambia de modo y no los presenta como cotizaciones reales.</w:t>
      </w:r>
    </w:p>
    <w:p>
      <w:pPr>
        <w:jc w:val="both"/>
      </w:pPr>
      <w:r>
        <w:rPr>
          <w:b w:val="0"/>
        </w:rPr>
        <w:t>Yahoo publica retrasos por mercado y prohíbe redistribuir la información proporcionada. Cada equipo revisa el uso permitido; un repositorio privado o el carácter académico no concede por sí solo licencia para retransmitir cotizaciones a otros usuarios. Los datos del paquete son sintéticos o del caso docente, no descargas Yahoo (Yahoo, s. f.).</w:t>
      </w:r>
    </w:p>
    <w:p>
      <w:pPr>
        <w:jc w:val="both"/>
      </w:pPr>
      <w:r>
        <w:rPr>
          <w:b w:val="0"/>
        </w:rPr>
        <w:t>Una prueba real registra fecha, entorno, respuesta y capturas sucesivas. No se exige movimiento fuera de sesión ni se acredita una conexión porque hayan aprobado mocks sin internet.</w:t>
      </w:r>
    </w:p>
    <w:p>
      <w:pPr>
        <w:pStyle w:val="Heading1"/>
        <w:pBdr>
          <w:bottom w:val="single" w:sz="10" w:color="10693F"/>
        </w:pBdr>
      </w:pPr>
      <w:r>
        <w:t>4. Rendimientos, estimadores y riesgo</w:t>
      </w:r>
    </w:p>
    <w:p>
      <w:pPr>
        <w:pStyle w:val="Heading2"/>
      </w:pPr>
      <w:r>
        <w:t>4.1. Ampliación de la convención</w:t>
      </w:r>
    </w:p>
    <w:p>
      <w:pPr>
        <w:jc w:val="both"/>
      </w:pPr>
      <w:r>
        <w:rPr>
          <w:b w:val="0"/>
        </w:rPr>
        <w:t>La capa individual mantiene g_it=ln(P_it/P_i,t-1). La capa de cartera incorpora R_it=exp(g_it)-1 y R_pt=sum_i(w_i,t-1*R_it), con caja, costos y flujos reconciliados por el simulador.</w:t>
      </w:r>
    </w:p>
    <w:p>
      <w:pPr>
        <w:jc w:val="both"/>
      </w:pPr>
      <w:r>
        <w:rPr>
          <w:b w:val="0"/>
        </w:rPr>
        <w:t>El log-rendimiento de la cartera es ln(1+R_pt), no sum_i(w_i*g_it). Con +10 % y -10 % y pesos iguales, el retorno simple de la cartera es cero, mientras que el promedio de logs es negativo; el test debe demostrar esta diferencia antes de optimizar.</w:t>
      </w:r>
    </w:p>
    <w:p>
      <w:pPr>
        <w:jc w:val="both"/>
      </w:pPr>
      <w:r>
        <w:rPr>
          <w:b w:val="0"/>
        </w:rPr>
        <w:t>Esta ampliación se registra en README y AGENTS. No se sustituye la convención de los modelos A/B ni se aplica a la nueva agregación de capital la exclusión de retornos simples de v1.</w:t>
      </w:r>
    </w:p>
    <w:p>
      <w:pPr>
        <w:pStyle w:val="Heading2"/>
      </w:pPr>
      <w:r>
        <w:t>4.2. Covarianza y correlación</w:t>
      </w:r>
    </w:p>
    <w:p>
      <w:pPr>
        <w:jc w:val="both"/>
      </w:pPr>
      <w:r>
        <w:rPr>
          <w:b w:val="0"/>
        </w:rPr>
        <w:t>Con T observaciones comunes y N activos: mu=promedio(R); Sigma=(R-mu)'(R-mu)/(T-1); C_ij=Sigma_ij/sqrt(Sigma_ii*Sigma_jj). Los retornos se almacenan en decimales, la covarianza en decimal al cuadrado y la correlación sin unidad.</w:t>
      </w:r>
    </w:p>
    <w:p>
      <w:pPr>
        <w:jc w:val="both"/>
      </w:pPr>
      <w:r>
        <w:rPr>
          <w:b w:val="0"/>
        </w:rPr>
        <w:t>Si una varianza es cero, su correlación es indefinida. Se comprueban simetría, finitud, diagonal, orden, rango, autovalores y condicionamiento; una matriz singular PSD no es lo mismo que una matriz indefinida.</w:t>
      </w:r>
    </w:p>
    <w:p>
      <w:pPr>
        <w:jc w:val="both"/>
      </w:pPr>
      <w:r>
        <w:rPr>
          <w:b w:val="0"/>
        </w:rPr>
        <w:t>pandas.cov puede usar eliminación por pares y producir una matriz no PSD con faltantes. Por eso el cálculo base utiliza una muestra común; una regularización, reparación espectral o pseudoinversa requiere diagnóstico y justificación, no un arreglo silencioso (pandas development team, s. f.).</w:t>
      </w:r>
    </w:p>
    <w:p>
      <w:pPr>
        <w:jc w:val="both"/>
      </w:pPr>
      <w:r>
        <w:rPr>
          <w:b w:val="0"/>
        </w:rPr>
        <w:t>Se contrasta la estimación muestral con una alternativa justificada, como shrinkage o EWMA, separando el efecto sobre pesos y estabilidad. Los parámetros de la alternativa se eligen sin utilizar el bloque de prueba.</w:t>
      </w:r>
    </w:p>
    <w:p>
      <w:pPr>
        <w:pStyle w:val="Heading2"/>
      </w:pPr>
      <w:r>
        <w:t>4.3. Frecuencia y magnitudes</w:t>
      </w:r>
    </w:p>
    <w:p>
      <w:pPr>
        <w:jc w:val="both"/>
      </w:pPr>
      <w:r>
        <w:rPr>
          <w:b w:val="0"/>
        </w:rPr>
        <w:t>La optimización se resuelve en una frecuencia nativa declarada. Para rf efectiva anual: rf_periodo=(1+rf_EA)^(1/m)-1; medias, primas y matriz deben usar la misma base.</w:t>
      </w:r>
    </w:p>
    <w:p>
      <w:pPr>
        <w:jc w:val="both"/>
      </w:pPr>
      <w:r>
        <w:rPr>
          <w:b w:val="0"/>
        </w:rPr>
        <w:t>mu_anual=m*mu y Sigma_anual=m*Sigma son convenciones aritméticas anualizadas, no momentos exactos del retorno anual compuesto. Se distingue CAGR, promedio logarítmico y promedio aritmético; con dependencia temporal se expone el límite de la regla raíz del tiempo.</w:t>
      </w:r>
    </w:p>
    <w:p>
      <w:pPr>
        <w:jc w:val="both"/>
      </w:pPr>
      <w:r>
        <w:rPr>
          <w:b w:val="0"/>
        </w:rPr>
        <w:t>La formulación de varianza necesita momentos finitos y Sigma PSD; no exige independencia entre activos ni normalidad como requisitos universales. La suficiencia de media-varianza para preferencias es una cuestión distinta que debe explicarse.</w:t>
      </w:r>
    </w:p>
    <w:p>
      <w:pPr>
        <w:pStyle w:val="Heading2"/>
      </w:pPr>
      <w:r>
        <w:t>4.4. Cartera y riesgo móvil</w:t>
      </w:r>
    </w:p>
    <w:p>
      <w:pPr>
        <w:jc w:val="both"/>
      </w:pPr>
      <w:r>
        <w:rPr>
          <w:b w:val="0"/>
        </w:rPr>
        <w:t>mu_p=w'mu; var_p=w'Sigma*w; sigma_p=sqrt(var_p). Una lista de activos sin pesos no define una cartera, y el promedio ponderado de volatilidades no es su riesgo conjunto.</w:t>
      </w:r>
    </w:p>
    <w:p>
      <w:pPr>
        <w:jc w:val="both"/>
      </w:pPr>
      <w:r>
        <w:rPr>
          <w:b w:val="0"/>
        </w:rPr>
        <w:t>Para sigma_p&gt;0: RC_i=w_i*(Sigma*w)_i/sigma_p y suma(RC_i)=sigma_p. Las contribuciones negativas pueden representar cobertura; si el riesgo es cero se utiliza una rama explícita sin división.</w:t>
      </w:r>
    </w:p>
    <w:p>
      <w:pPr>
        <w:jc w:val="both"/>
      </w:pPr>
      <w:r>
        <w:rPr>
          <w:b w:val="0"/>
        </w:rPr>
        <w:t>El panel muestra volatilidad móvil por activo y cartera, correlación móvil, drawdown, concentración y escenarios de pérdida. Diferencia volatilidad de barras, variación realizada y riesgo estimado; una cotización sola no produce una varianza.</w:t>
      </w:r>
    </w:p>
    <w:p>
      <w:pPr>
        <w:jc w:val="both"/>
      </w:pPr>
      <w:r>
        <w:rPr>
          <w:b w:val="0"/>
        </w:rPr>
        <w:t>La estimación intradía requiere barras completas, cobertura y ventana mínima justificadas. El riesgo histórico diario no tiene que cambiar cada vez que se actualiza un precio; el valor y los pesos sí pueden hacerlo.</w:t>
      </w:r>
    </w:p>
    <w:p>
      <w:pPr>
        <w:pStyle w:val="Heading1"/>
        <w:pBdr>
          <w:bottom w:val="single" w:sz="10" w:color="10693F"/>
        </w:pBdr>
      </w:pPr>
      <w:r>
        <w:t>5. Conjunto factible y fronteras</w:t>
      </w:r>
    </w:p>
    <w:p>
      <w:pPr>
        <w:jc w:val="both"/>
      </w:pPr>
      <w:r>
        <w:rPr>
          <w:b w:val="0"/>
        </w:rPr>
        <w:t>Se define W antes de optimizar: presupuesto, cotas por activo/sector, efectivo, restricciones de liquidez, cortos y apalancamiento. Base propuesta para ratificación: suma de pesos uno, posiciones largas y sin deuda; las cotas deben permitir una solución factible.</w:t>
      </w:r>
    </w:p>
    <w:p>
      <w:pPr>
        <w:jc w:val="both"/>
      </w:pPr>
      <w:r>
        <w:rPr>
          <w:b w:val="0"/>
        </w:rPr>
        <w:t>Para cada retorno objetivo r alcanzable se resuelve min(w'Sigma*w), sujeto a w'mu=r y w en W. La nube simulada representa carteras posibles, pero no sustituye la frontera calculada ni prueba haber encontrado sus extremos.</w:t>
      </w:r>
    </w:p>
    <w:p>
      <w:pPr>
        <w:jc w:val="both"/>
      </w:pPr>
      <w:r>
        <w:rPr>
          <w:b w:val="0"/>
        </w:rPr>
        <w:t>La rama eficiente reúne soluciones no dominadas. La rama inferior no eficiente de la frontera de mínima varianza existe cuando el conjunto lo permite; no se denomina así a todos los puntos interiores ni se inventa una rama en un caso degenerado.</w:t>
      </w:r>
    </w:p>
    <w:p>
      <w:pPr>
        <w:pStyle w:val="Heading2"/>
      </w:pPr>
      <w:r>
        <w:t>5.1. Carteras que deben distinguirse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240"/>
        <w:gridCol w:w="3528"/>
      </w:tblGrid>
      <w:tr>
        <w:trPr>
          <w:cantSplit/>
          <w:tblHeader/>
        </w:trPr>
        <w:tc>
          <w:tcPr>
            <w:tcW w:type="dxa" w:w="295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Cartera</w:t>
            </w:r>
          </w:p>
        </w:tc>
        <w:tc>
          <w:tcPr>
            <w:tcW w:type="dxa" w:w="32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Precisión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Global de mínima varianza riesgosa</w:t>
            </w:r>
          </w:p>
        </w:tc>
        <w:tc>
          <w:tcPr>
            <w:tcW w:type="dxa" w:w="32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Menor w'Sigma*w factible.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Depende de Sigma y restricciones, no de mu.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Tangente</w:t>
            </w:r>
          </w:p>
        </w:tc>
        <w:tc>
          <w:tcPr>
            <w:tcW w:type="dxa" w:w="32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Máximo Sharpe compatible con rf.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No equivale automáticamente al óptimo del inversionista.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Óptimo personal</w:t>
            </w:r>
          </w:p>
        </w:tc>
        <w:tc>
          <w:tcPr>
            <w:tcW w:type="dxa" w:w="32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Mayor utilidad o retorno sujeto a riesgo.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Requiere mandato, gamma o presupuesto de riesgo.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Máximo rendimiento esperado</w:t>
            </w:r>
          </w:p>
        </w:tc>
        <w:tc>
          <w:tcPr>
            <w:tcW w:type="dxa" w:w="32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Mayor w'mu dentro de W.</w:t>
            </w:r>
          </w:p>
        </w:tc>
        <w:tc>
          <w:tcPr>
            <w:tcW w:type="dxa" w:w="352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Puede concentrarse, empatar o ser no acotado sin límites.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</w:rPr>
        <w:t>Una utilidad posible es U=w'mu-(gamma/2)*w'Sigma*w, con gamma positiva y aprobada por el estudiante. No se estima una preferencia personal a partir de precios ni se afirma que existe un mejor portafolio universal.</w:t>
      </w:r>
    </w:p>
    <w:p>
      <w:pPr>
        <w:jc w:val="both"/>
      </w:pPr>
      <w:r>
        <w:rPr>
          <w:b w:val="0"/>
        </w:rPr>
        <w:t>GMV=Sigma^-1*1/(1'*Sigma^-1*1) es un control solo con inversa existente y restricciones de desigualdad no activas. La normalización de Sigma^-1*(mu-rf*1) tampoco acredita por sí sola máxima tangencia con cotas o premios negativos.</w:t>
      </w:r>
    </w:p>
    <w:p>
      <w:pPr>
        <w:jc w:val="both"/>
      </w:pPr>
      <w:r>
        <w:rPr>
          <w:b w:val="0"/>
        </w:rPr>
        <w:t>Se conservan solver, versión, convergencia, restricciones activas y residuales. Inviabilidad, no acotación y falla numérica son estados distintos; se recalculan retorno y riesgo desde los pesos sin redondearlos para hacer coincidir una lámina.</w:t>
      </w:r>
    </w:p>
    <w:p>
      <w:pPr>
        <w:pStyle w:val="Heading2"/>
      </w:pPr>
      <w:r>
        <w:t>5.2. CAL, CML y SML</w:t>
      </w:r>
    </w:p>
    <w:p>
      <w:pPr>
        <w:jc w:val="both"/>
      </w:pPr>
      <w:r>
        <w:rPr>
          <w:b w:val="0"/>
        </w:rPr>
        <w:t>CAL: E(R_c)=rf+y*(mu_T-rf), sigma_c=abs(y)*sigma_T. En la base y está entre cero y uno; préstamo y endeudamiento a tasas distintas no producen la misma recta ilimitada.</w:t>
      </w:r>
    </w:p>
    <w:p>
      <w:pPr>
        <w:jc w:val="both"/>
      </w:pPr>
      <w:r>
        <w:rPr>
          <w:b w:val="0"/>
        </w:rPr>
        <w:t>Sin restricciones, y*=(mu_T-rf)/(gamma*sigma_T^2) puede ser mayor que uno. Si se prohíbe deuda, recortar y manteniendo la tangente no prueba optimalidad global: se resuelve nuevamente la utilidad en el conjunto permitido.</w:t>
      </w:r>
    </w:p>
    <w:p>
      <w:pPr>
        <w:jc w:val="both"/>
      </w:pPr>
      <w:r>
        <w:rPr>
          <w:b w:val="0"/>
        </w:rPr>
        <w:t>La CML corresponde al equilibrio con un portafolio de mercado eficiente. Para una selección limitada se muestra CAL y, por separado, una CML teórica o aproximada con proxy justificado; la SML usa beta y rendimiento requerido, no volatilidad total en su eje horizontal.</w:t>
      </w:r>
    </w:p>
    <w:p>
      <w:pPr>
        <w:pStyle w:val="Heading1"/>
        <w:pBdr>
          <w:bottom w:val="single" w:sz="10" w:color="10693F"/>
        </w:pBdr>
      </w:pPr>
      <w:r>
        <w:t>6. Black-Litterman obligatorio</w:t>
      </w:r>
    </w:p>
    <w:p>
      <w:pPr>
        <w:jc w:val="both"/>
      </w:pPr>
      <w:r>
        <w:rPr>
          <w:b w:val="0"/>
        </w:rPr>
        <w:t>Black-Litterman actualiza expectativas mediante un prior y opiniones con incertidumbre; después se optimiza. No reemplaza el solver ni convierte opiniones en datos observados o en el costo del patrimonio requerido.</w:t>
      </w:r>
    </w:p>
    <w:p>
      <w:pPr>
        <w:jc w:val="both"/>
      </w:pPr>
      <w:r>
        <w:rPr>
          <w:b w:val="0"/>
        </w:rPr>
        <w:t>El equipo demuestra una opinión absoluta y una relativa en un ejemplo controlado y justifica las que usará en su proyecto. También debe admitir el estado sin opiniones cuando no haya evidencia; no se inventa convicción para completar una pantalla.</w:t>
      </w:r>
    </w:p>
    <w:p>
      <w:pPr>
        <w:pStyle w:val="Heading2"/>
      </w:pPr>
      <w:r>
        <w:t>6.1. Contrato y cálculo</w:t>
      </w:r>
    </w:p>
    <w:p>
      <w:pPr>
        <w:jc w:val="both"/>
      </w:pPr>
      <w:r>
        <w:rPr>
          <w:b w:val="0"/>
        </w:rPr>
        <w:t>En excesos de rendimiento: pi=delta*Sigma*w_ref. w_ref procede de capitalización o de una referencia estratégica documentada; un universo parcial y los patrimonios de ETFs no se presentan automáticamente como mercado mundial.</w:t>
      </w:r>
    </w:p>
    <w:p>
      <w:pPr>
        <w:jc w:val="both"/>
      </w:pPr>
      <w:r>
        <w:rPr>
          <w:b w:val="0"/>
        </w:rPr>
        <w:t>Delta positiva representa aversión implícita de la referencia; gamma es la preferencia del inversionista. Una estimación histórica negativa de delta no se cambia de signo ocultamente: se justifica otra calibración o se declara inadecuación.</w:t>
      </w:r>
    </w:p>
    <w:p>
      <w:pPr>
        <w:jc w:val="both"/>
      </w:pPr>
      <w:r>
        <w:rPr>
          <w:b w:val="0"/>
        </w:rPr>
        <w:t>P tiene K filas y N columnas; Q tiene K opiniones; Omega mide incertidumbre de las opiniones. Todas comparten moneda, horizonte y convención con el prior. Una view absoluta total se convierte a exceso; en general Q_exceso=Q_total-rf*(P*1).</w:t>
      </w:r>
    </w:p>
    <w:p>
      <w:pPr>
        <w:jc w:val="both"/>
      </w:pPr>
      <w:r>
        <w:rPr>
          <w:b w:val="0"/>
        </w:rPr>
        <w:t>B=tau*Sigma, con tau&gt;0; A=P*B*P'+Omega.</w:t>
      </w:r>
    </w:p>
    <w:p>
      <w:pPr>
        <w:jc w:val="both"/>
      </w:pPr>
      <w:r>
        <w:rPr>
          <w:b w:val="0"/>
        </w:rPr>
        <w:t>mu_BL_exceso=pi+B*P'*solve(A,Q-P*pi).</w:t>
      </w:r>
    </w:p>
    <w:p>
      <w:pPr>
        <w:jc w:val="both"/>
      </w:pPr>
      <w:r>
        <w:rPr>
          <w:b w:val="0"/>
        </w:rPr>
        <w:t>M=B-B*P'*solve(A,P*B).</w:t>
      </w:r>
    </w:p>
    <w:p>
      <w:pPr>
        <w:jc w:val="both"/>
      </w:pPr>
      <w:r>
        <w:rPr>
          <w:b w:val="0"/>
        </w:rPr>
        <w:t>Sigma_predictiva=Sigma+M.</w:t>
      </w:r>
    </w:p>
    <w:p>
      <w:pPr>
        <w:jc w:val="both"/>
      </w:pPr>
      <w:r>
        <w:rPr>
          <w:b w:val="0"/>
        </w:rPr>
        <w:t>M es incertidumbre posterior de la media, no riesgo de retornos. La comparación principal cambia mu manteniendo Sigma y W; una variante con Sigma_predictiva se etiqueta y compara con una base homogénea (PyPortfolioOpt, s. f.).</w:t>
      </w:r>
    </w:p>
    <w:p>
      <w:pPr>
        <w:pStyle w:val="Heading2"/>
      </w:pPr>
      <w:r>
        <w:t>6.2. Evidencia y límites</w:t>
      </w:r>
    </w:p>
    <w:p>
      <w:pPr>
        <w:jc w:val="both"/>
      </w:pPr>
      <w:r>
        <w:rPr>
          <w:b w:val="0"/>
        </w:rPr>
        <w:t>Cada view registra ID, autor estudiante, tesis, fuente, publicación, horizonte, magnitud, confianza justificada, evidencia contraria y vencimiento. Su confianza no es una probabilidad garantizada de ganar; opiniones que repiten la misma noticia no son necesariamente independientes.</w:t>
      </w:r>
    </w:p>
    <w:p>
      <w:pPr>
        <w:jc w:val="both"/>
      </w:pPr>
      <w:r>
        <w:rPr>
          <w:b w:val="0"/>
        </w:rPr>
        <w:t>Confianza cero excluye la opinión, no implica Omega cero. Confianza del 100 % requiere un tratamiento de restricción exacta y consistencia; no debe provocar una inversión singular. Si Omega escala con tau, se comprueba su cancelación en la media posterior y se distingue la incertidumbre que sí cambia.</w:t>
      </w:r>
    </w:p>
    <w:p>
      <w:pPr>
        <w:jc w:val="both"/>
      </w:pPr>
      <w:r>
        <w:rPr>
          <w:b w:val="0"/>
        </w:rPr>
        <w:t>Se calcula por sistemas lineales y se verifica orden de activos, dimensiones, PSD y condicionamiento. Sin views se conserva pi y M=B; Q=P*pi no mueve la media; incertidumbre alta aproxima al prior.</w:t>
      </w:r>
    </w:p>
    <w:p>
      <w:pPr>
        <w:jc w:val="both"/>
      </w:pPr>
      <w:r>
        <w:rPr>
          <w:b w:val="0"/>
        </w:rPr>
        <w:t>Las opiniones vencidas se retiran. Al recibir información nueva se recalcula desde el prior y el conjunto versionado de views, evitando incorporar repetidamente la misma evidencia sobre el posterior.</w:t>
      </w:r>
    </w:p>
    <w:p>
      <w:pPr>
        <w:jc w:val="both"/>
      </w:pPr>
      <w:r>
        <w:rPr>
          <w:b w:val="0"/>
        </w:rPr>
        <w:t>Se comparan medias históricas, prior, posterior, pesos, riesgo, concentración y rotación. Cambiar Q con Sigma y W fijos no cambia GMV ni el beta histórico de un activo frente a un benchmark fijo; sí puede cambiar la exposición de la cartera resultante.</w:t>
      </w:r>
    </w:p>
    <w:p>
      <w:pPr>
        <w:pStyle w:val="Heading1"/>
        <w:pBdr>
          <w:bottom w:val="single" w:sz="10" w:color="10693F"/>
        </w:pBdr>
      </w:pPr>
      <w:r>
        <w:t>7. Rebalanceo con nueva información</w:t>
      </w:r>
    </w:p>
    <w:p>
      <w:pPr>
        <w:jc w:val="both"/>
      </w:pPr>
      <w:r>
        <w:rPr>
          <w:b w:val="0"/>
        </w:rPr>
        <w:t>El portafolio seleccionado se revisa ante información válida nueva. La actualización de precios es automática; el rebalanceo obedece a una política del estudiante y se ejecuta únicamente en simulación.</w:t>
      </w:r>
    </w:p>
    <w:p>
      <w:pPr>
        <w:jc w:val="both"/>
      </w:pPr>
      <w:r>
        <w:rPr>
          <w:b w:val="0"/>
        </w:rPr>
        <w:t>Se exige demostrar una regla periódica y una regla por umbral o evento: deriva de pesos, riesgo, correlación, noticia macroeconómica o actualización/vencimiento de una view. Se fijan antes del backtest bandas de no operación, espera mínima, calidad del dato, liquidez y costos.</w:t>
      </w:r>
    </w:p>
    <w:p>
      <w:pPr>
        <w:pStyle w:val="Heading2"/>
      </w:pPr>
      <w:r>
        <w:t>7.1. Secuencia verificable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40"/>
      </w:tblGrid>
      <w:tr>
        <w:trPr>
          <w:cantSplit/>
          <w:tblHeader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Observación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Evento nuevo, hora conocida, calidad y ausencia de duplicado.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Posiciones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Cantidades, caja, precios y pesos que derivaron desde la última operación.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Reestimación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Ventana, estimadores, prior y views versionados.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Selección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Frontera nueva, objetivo, restricciones y pesos teóricos.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Decisión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Comparación actual/objetivo, costo y razón para operar o abstenerse.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Simulación</w:t>
            </w:r>
          </w:p>
        </w:tc>
        <w:tc>
          <w:tcPr>
            <w:tcW w:type="dxa" w:w="684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Precio posterior admisible, cantidades, caja y patrimonio reconciliados.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</w:rPr>
        <w:t>Sin flujos ni transacciones: w_i,t_pre=w_i,t-1_post*(1+R_i,t)/(1+R_p,t). Mantener cantidades y mantener pesos requieren contabilidades diferentes; los aportes no son rendimientos.</w:t>
      </w:r>
    </w:p>
    <w:p>
      <w:pPr>
        <w:jc w:val="both"/>
      </w:pPr>
      <w:r>
        <w:rPr>
          <w:b w:val="0"/>
        </w:rPr>
        <w:t>El turnover unilateral es 0,5*sum(abs(delta_w)) en el caso normalizado sin flujos. Las comisiones se cobran sobre el nominal real de cada compra y venta, no sobre la mitad del nominal; V_post=V_pre-costos, ajustado por flujos y movimientos de precio identificados.</w:t>
      </w:r>
    </w:p>
    <w:p>
      <w:pPr>
        <w:jc w:val="both"/>
      </w:pPr>
      <w:r>
        <w:rPr>
          <w:b w:val="0"/>
        </w:rPr>
        <w:t>Las cantidades ejecutables pueden diferir de los pesos eficientes por lotes, costos y liquidez. Se muestran cartera teórica y realizada; no se renormaliza para ocultar caja negativa ni se permite deuda no autorizada.</w:t>
      </w:r>
    </w:p>
    <w:p>
      <w:pPr>
        <w:jc w:val="both"/>
      </w:pPr>
      <w:r>
        <w:rPr>
          <w:b w:val="0"/>
        </w:rPr>
        <w:t>Un evento duplicado no produce dos decisiones. Datos obsoletos, precios asincrónicos más allá del umbral o falla del solver preservan la última cartera con estado explícito y suspenden la decisión dependiente.</w:t>
      </w:r>
    </w:p>
    <w:p>
      <w:pPr>
        <w:pStyle w:val="Heading2"/>
      </w:pPr>
      <w:r>
        <w:t>7.2. Prueba temporal</w:t>
      </w:r>
    </w:p>
    <w:p>
      <w:pPr>
        <w:jc w:val="both"/>
      </w:pPr>
      <w:r>
        <w:rPr>
          <w:b w:val="0"/>
        </w:rPr>
        <w:t>Cada corte utiliza información, universo y views conocidos entonces. La ejecución simulada ocurre después de la información que generó la señal, salvo un supuesto de microestructura explícito y defendible; datos revisados hoy no se utilizan retroactivamente como conocidos antes.</w:t>
      </w:r>
    </w:p>
    <w:p>
      <w:pPr>
        <w:jc w:val="both"/>
      </w:pPr>
      <w:r>
        <w:rPr>
          <w:b w:val="0"/>
        </w:rPr>
        <w:t>Se separan entrenamiento, validación y prueba final mediante walk-forward. Se comparan mantener cantidades, 1/N, GMV, Markowitz y Black-Litterman con el mismo universo y costos; se reporta rendimiento neto, volatilidad, drawdown, Sharpe compatible, rotación y estabilidad.</w:t>
      </w:r>
    </w:p>
    <w:p>
      <w:pPr>
        <w:jc w:val="both"/>
      </w:pPr>
      <w:r>
        <w:rPr>
          <w:b w:val="0"/>
        </w:rPr>
        <w:t>Una correlación histórica favorable o un backtest ganador no demuestra causalidad ni permanencia. Se reportan variantes ensayadas y resultados adversos para no seleccionar retrospectivamente solo la estrategia que mejor lució.</w:t>
      </w:r>
    </w:p>
    <w:p>
      <w:pPr>
        <w:pStyle w:val="Heading1"/>
        <w:pBdr>
          <w:bottom w:val="single" w:sz="10" w:color="10693F"/>
        </w:pBdr>
      </w:pPr>
      <w:r>
        <w:t>8. Beta, CAPM y apalancamiento</w:t>
      </w:r>
    </w:p>
    <w:p>
      <w:pPr>
        <w:jc w:val="both"/>
      </w:pPr>
      <w:r>
        <w:rPr>
          <w:b w:val="0"/>
        </w:rPr>
        <w:t>Beta se calcula frente a un benchmark seleccionado y documentado. Para CAPM se contrasta la pendiente OLS con intercepto de R_i-rf_t=alpha+beta*(R_M-rf_t)+epsilon con Cov(exceso_i,exceso_M)/Var(exceso_M), sobre la misma muestra.</w:t>
      </w:r>
    </w:p>
    <w:p>
      <w:pPr>
        <w:jc w:val="both"/>
      </w:pPr>
      <w:r>
        <w:rPr>
          <w:b w:val="0"/>
        </w:rPr>
        <w:t>Con rf variable, el cociente de retornos brutos no tiene por qué coincidir con el de excesos. Se informan período, frecuencia, n, beta, error estándar/intervalo, R² y estabilidad; un benchmark constante produce una salida indefinida, no una división forzada.</w:t>
      </w:r>
    </w:p>
    <w:p>
      <w:pPr>
        <w:jc w:val="both"/>
      </w:pPr>
      <w:r>
        <w:rPr>
          <w:b w:val="0"/>
        </w:rPr>
        <w:t>El beta respecto del fondo es sensibilidad a esa referencia, no automáticamente beta del mercado teórico. El beta de una cartera con pesos constantes es su suma ponderada solo con muestra, benchmark y convenciones compatibles.</w:t>
      </w:r>
    </w:p>
    <w:p>
      <w:pPr>
        <w:pStyle w:val="Heading2"/>
      </w:pPr>
      <w:r>
        <w:t>8.1. Riesgo operativo y financiero</w:t>
      </w:r>
    </w:p>
    <w:p>
      <w:pPr>
        <w:jc w:val="both"/>
      </w:pPr>
      <w:r>
        <w:rPr>
          <w:b w:val="0"/>
        </w:rPr>
        <w:t>Hamada simplificada: beta_U=beta_L/[1+(1-tax)*D/E]; beta_L_obj=beta_U*[1+(1-tax_obj)*D_obj/E_obj]. Se declara deuda de beta cero y aprovechamiento del escudo fiscal; ser deuda bancaria senior no prueba ese supuesto.</w:t>
      </w:r>
    </w:p>
    <w:p>
      <w:pPr>
        <w:jc w:val="both"/>
      </w:pPr>
      <w:r>
        <w:rPr>
          <w:b w:val="0"/>
        </w:rPr>
        <w:t>Con beta_D no nula, bajo la extensión elegida: beta_L=beta_U+(beta_U-beta_D)*(1-tax)*D/E. Para desapalancar: beta_U=[beta_L+beta_D*(1-tax)*D/E]/[1+(1-tax)*D/E]; ambas transformaciones deben compartir supuestos.</w:t>
      </w:r>
    </w:p>
    <w:p>
      <w:pPr>
        <w:jc w:val="both"/>
      </w:pPr>
      <w:r>
        <w:rPr>
          <w:b w:val="0"/>
        </w:rPr>
        <w:t>D es deuda financiera y E patrimonio de mercado o un proxy justificado. Pasivos operativos no entran mecánicamente en D; los comparables se desapalancan individualmente antes de resumir su riesgo y reapalancarlo a la estructura objetivo.</w:t>
      </w:r>
    </w:p>
    <w:p>
      <w:pPr>
        <w:pStyle w:val="Heading2"/>
      </w:pPr>
      <w:r>
        <w:t>8.2. Costo del patrimonio</w:t>
      </w:r>
    </w:p>
    <w:p>
      <w:pPr>
        <w:jc w:val="both"/>
      </w:pPr>
      <w:r>
        <w:rPr>
          <w:b w:val="0"/>
        </w:rPr>
        <w:t>CAPM básico: Ke=rf+beta_L*ERP. Una extensión de país se muestra separada, por ejemplo Ke_USD=rf_USD+beta_L*ERP_madura+lambda*CRP; EMBI es un spread soberano y solo es proxy accionario bajo un supuesto explícito.</w:t>
      </w:r>
    </w:p>
    <w:p>
      <w:pPr>
        <w:jc w:val="both"/>
      </w:pPr>
      <w:r>
        <w:rPr>
          <w:b w:val="0"/>
        </w:rPr>
        <w:t>Se evita duplicar país entre rf, prima local, CRP y flujos. La tasa y la prima tienen fecha, fuente, moneda y horizonte; una view optimista de BL no reemplaza automáticamente Ke.</w:t>
      </w:r>
    </w:p>
    <w:p>
      <w:pPr>
        <w:jc w:val="both"/>
      </w:pPr>
      <w:r>
        <w:rPr>
          <w:b w:val="0"/>
        </w:rPr>
        <w:t>El caso utiliza Ke_COP=(1+Ke_USD)*(1+inflacion_COL)/(1+inflacion_USA)-1. Es un supuesto de consistencia nominal, no una predicción cierta de TRM; no se suman simplemente inflaciones ni se descuentan flujos COP con tasas USD.</w:t>
      </w:r>
    </w:p>
    <w:p>
      <w:pPr>
        <w:pStyle w:val="Heading1"/>
        <w:pBdr>
          <w:bottom w:val="single" w:sz="10" w:color="10693F"/>
        </w:pBdr>
      </w:pPr>
      <w:r>
        <w:t>9. Caso integrador y valoración</w:t>
      </w:r>
    </w:p>
    <w:p>
      <w:pPr>
        <w:jc w:val="both"/>
      </w:pPr>
      <w:r>
        <w:rPr>
          <w:b w:val="0"/>
        </w:rPr>
        <w:t>La fuente docente es «Teoria de portafolios y caso de valoración CAPM (1).pdf». El ejemplo Alimentos del Norte S.A.S. une beta, estructura, CAPM, presupuesto, CAPEX y valor; sus tasas permanecen congeladas para reproducir el caso y no se rotulan como cotizaciones actuales (Restrepo Montoya, 2026, pp. 80–110).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08"/>
      </w:tblGrid>
      <w:tr>
        <w:trPr>
          <w:cantSplit/>
          <w:tblHeader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Insumo docente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Activos, COP millones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120.000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Deuda financiera / pasivos operativos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45.000 / 15.000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Patrimonio contable, COP millones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60.000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Ventas / EBIT año 0, COP millones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150.000 / 18.000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Kd efectiva anual / impuesto supuesto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13,5 % / 35 %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rf USD / ERP madura / proxy país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4,30 % / 5,50 % / 3,20 %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Inflación COL / USA / g terminal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4,5 % / 2,5 % / 4,5 %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D/E comparable / empresa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0,60 / 0,75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</w:rPr>
        <w:t>Los rendimientos anuales del comparable son 20 %, -10 %, 6 %, 24 %, 2 % y 18 %; los de la referencia son 14 %, -2 %, 10 %, 18 %, 2 % y 6 %. Seis observaciones permiten un control aritmético, no acreditar precisión para una inversión real.</w:t>
      </w:r>
    </w:p>
    <w:p>
      <w:pPr>
        <w:jc w:val="both"/>
      </w:pPr>
      <w:r>
        <w:rPr>
          <w:b w:val="0"/>
        </w:rPr>
        <w:t>El estudiante lleva la exposición a insumos importados, el rezago de sesenta días en margen, las tasas variables y el covenant deuda/EBITDA menor a tres a escenarios de caja y valor. No basta con copiar esos hechos en una introducción (Restrepo Montoya, 2026, p. 81).</w:t>
      </w:r>
    </w:p>
    <w:p>
      <w:pPr>
        <w:pStyle w:val="Heading2"/>
      </w:pPr>
      <w:r>
        <w:t>9.1. Puente financiero</w:t>
      </w:r>
    </w:p>
    <w:p>
      <w:pPr>
        <w:jc w:val="both"/>
      </w:pPr>
      <w:r>
        <w:rPr>
          <w:b w:val="0"/>
        </w:rPr>
        <w:t>Ke*patrimonio_libros es una meta presupuestal del caso, no equivalencia general entre ROE contable y rentabilidad exigida de mercado. ROE-Ke es un diferencial contable, no alfa de Jensen; maximizarlo no demuestra maximizar valor empresarial.</w:t>
      </w:r>
    </w:p>
    <w:p>
      <w:pPr>
        <w:jc w:val="both"/>
      </w:pPr>
      <w:r>
        <w:rPr>
          <w:b w:val="0"/>
        </w:rPr>
        <w:t>FCFF=EBIT*(1-tax)+D&amp;A-CAPEX-delta_NWC.</w:t>
      </w:r>
    </w:p>
    <w:p>
      <w:pPr>
        <w:jc w:val="both"/>
      </w:pPr>
      <w:r>
        <w:rPr>
          <w:b w:val="0"/>
        </w:rPr>
        <w:t>FCFE=NI+D&amp;A-CAPEX-delta_NWC+deuda_neta_emitida.</w:t>
      </w:r>
    </w:p>
    <w:p>
      <w:pPr>
        <w:jc w:val="both"/>
      </w:pPr>
      <w:r>
        <w:rPr>
          <w:b w:val="0"/>
        </w:rPr>
        <w:t>WACC=E/(D+E)*Ke+D/(D+E)*Kd*(1-tax).</w:t>
      </w:r>
    </w:p>
    <w:p>
      <w:pPr>
        <w:jc w:val="both"/>
      </w:pPr>
      <w:r>
        <w:rPr>
          <w:b w:val="0"/>
        </w:rPr>
        <w:t>FCFF se descuenta al WACC y FCFE al Ke, con moneda, nominalidad y momento del flujo coherentes. Equity=EV+caja_excedente+otros_activos_no_operativos-deuda_financiera-otros_derechos_prioritarios, sin duplicar deuda neta o caja.</w:t>
      </w:r>
    </w:p>
    <w:p>
      <w:pPr>
        <w:jc w:val="both"/>
      </w:pPr>
      <w:r>
        <w:rPr>
          <w:b w:val="0"/>
        </w:rPr>
        <w:t>La valoración mínima proyecta cinco años y una fase estable. TV_H=FCFF_(H+1)/(WACC-g), con WACC&gt;g; la versión accionaria requiere Ke&gt;g y su flujo correspondiente.</w:t>
      </w:r>
    </w:p>
    <w:p>
      <w:pPr>
        <w:jc w:val="both"/>
      </w:pPr>
      <w:r>
        <w:rPr>
          <w:b w:val="0"/>
        </w:rPr>
        <w:t>El crecimiento terminal exige reinversión y ROIC consistentes: en el modelo estable, reinversión=g/ROIC. CAPEX=depreciación no concede crecimiento perpetuo sin inversión; se justifican productividad, capacidad y NWC, y se reporta el peso del terminal sobre EV.</w:t>
      </w:r>
    </w:p>
    <w:p>
      <w:pPr>
        <w:jc w:val="both"/>
      </w:pPr>
      <w:r>
        <w:rPr>
          <w:b w:val="0"/>
        </w:rPr>
        <w:t>Si el valor modifica D/E, se actualizan coherentemente pesos, beta y Ke, o se utiliza estructura objetivo externa defendida. No se fuerza igualdad de DDM y DCF con supuestos distintos; las diferencias se reconcilian.</w:t>
      </w:r>
    </w:p>
    <w:p>
      <w:pPr>
        <w:jc w:val="both"/>
      </w:pPr>
      <w:r>
        <w:rPr>
          <w:b w:val="0"/>
        </w:rPr>
        <w:t>La ruta de proyectos utiliza flujos incrementales, costos de oportunidad, NWC, rescate y riesgo propio. Se distingue costo hundido y se contrasta VPN/TIR sin aplicar por costumbre el WACC corporativo.</w:t>
      </w:r>
    </w:p>
    <w:p>
      <w:pPr>
        <w:pStyle w:val="Heading1"/>
        <w:pBdr>
          <w:bottom w:val="single" w:sz="10" w:color="10693F"/>
        </w:pBdr>
      </w:pPr>
      <w:r>
        <w:t>10. Escucha del mercado y pensamiento sistémico</w:t>
      </w:r>
    </w:p>
    <w:p>
      <w:pPr>
        <w:jc w:val="both"/>
      </w:pPr>
      <w:r>
        <w:rPr>
          <w:b w:val="0"/>
        </w:rPr>
        <w:t>Cada tesis conecta información y fecha disponible, sorpresa frente a expectativa, mecanismo económico, variables afectadas, rezago, evidencia contraria y acción o abstención. Una matriz de correlación no es un mapa causal; las flechas de mecanismo se rotulan como hipótesis cuando la evidencia no identifica causalidad.</w:t>
      </w:r>
    </w:p>
    <w:p>
      <w:pPr>
        <w:jc w:val="both"/>
      </w:pPr>
      <w:r>
        <w:rPr>
          <w:b w:val="0"/>
        </w:rPr>
        <w:t>Se exige un shock individual, uno conjunto adverso, una ruptura de correlaciones y un escenario inverso que encuentre qué combinación rompe el mandato. Se consideran tasas, FX, liquidez, márgenes, caja, concentración, costos y cambios de régimen.</w:t>
      </w:r>
    </w:p>
    <w:p>
      <w:pPr>
        <w:jc w:val="both"/>
      </w:pPr>
      <w:r>
        <w:rPr>
          <w:b w:val="0"/>
        </w:rPr>
        <w:t>La escucha se evidencia cuando el estudiante modifica una tesis, reduce confianza de una view o decide no operar. La hiperconectividad se demuestra siguiendo exposiciones compartidas entre activos, sectores y empresa, no agregando indicadores sin efecto sobre la decisión.</w:t>
      </w:r>
    </w:p>
    <w:p>
      <w:pPr>
        <w:pStyle w:val="Heading1"/>
        <w:pBdr>
          <w:bottom w:val="single" w:sz="10" w:color="10693F"/>
        </w:pBdr>
      </w:pPr>
      <w:r>
        <w:t>11. Trazabilidad, hitos y evaluación</w:t>
      </w:r>
    </w:p>
    <w:p>
      <w:pPr>
        <w:jc w:val="both"/>
      </w:pPr>
      <w:r>
        <w:rPr>
          <w:b w:val="0"/>
        </w:rPr>
        <w:t>La cadena auditable es fuente/campo → transformación pandas → muestra → estimador → modelo/solver → resultado → decisión del estudiante → prueba → commit. Cada ejecución guarda analysis_id, snapshot_hash, fechas, parámetros, universo ordenado, unidades, versiones y fuente; las views y rebalanceos tienen IDs propios.</w:t>
      </w:r>
    </w:p>
    <w:p>
      <w:pPr>
        <w:jc w:val="both"/>
      </w:pPr>
      <w:r>
        <w:rPr>
          <w:b w:val="0"/>
        </w:rPr>
        <w:t>README reúne mandato, ejecución y metodología; BITACORA conserva decisiones y aportes humanos/IA; ESTADO mantiene un solo tablero. Las trazas se generan automáticamente y no se transcriben chats ni se duplica información en varios formatos de seguimiento.</w:t>
      </w:r>
    </w:p>
    <w:p>
      <w:pPr>
        <w:pStyle w:val="Heading2"/>
      </w:pPr>
      <w:r>
        <w:t>11.1. Avance del desarrollo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13"/>
        <w:gridCol w:w="5947"/>
      </w:tblGrid>
      <w:tr>
        <w:trPr>
          <w:cantSplit/>
          <w:tblHeader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Evidencia de terminado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M1 Mandato y base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5 %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Decisión estudiantil, versión inicial y regresión.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M2 Mercado y pandas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12 %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Consulta real, metadatos, calidad y veinte más error aislado.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M3 Matrices y riesgo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13 %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Cálculo manual, PSD, riesgo móvil y contribuciones.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M4 Portafolios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15 %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Fronteras y carteras con restricciones verificadas.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M5 Black-Litterman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12 %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Prior, views defendidas, posterior y sensibilidad.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M6 Rebalanceo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12 %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Evento, decisión, caja/costos y evaluación temporal.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M7 Beta y CAPM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10 %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Benchmark, regresión, apalancamiento y CAL/CML/SML.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M8 Valoración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8 %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Caso, flujos, terminal, tasas y sensibilidad.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M9 UX y reproducción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5 %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Exportación, pruebas y SHA remoto privado.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M10 Defensa individual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8 %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Comprensión y modificación sin IA, validadas por docente.</w:t>
            </w:r>
          </w:p>
        </w:tc>
      </w:tr>
      <w:tr>
        <w:trPr>
          <w:cantSplit/>
        </w:trPr>
        <w:tc>
          <w:tcPr>
            <w:tcW w:type="dxa" w:w="2160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Total</w:t>
            </w:r>
          </w:p>
        </w:tc>
        <w:tc>
          <w:tcPr>
            <w:tcW w:type="dxa" w:w="1613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100 %</w:t>
            </w:r>
          </w:p>
        </w:tc>
        <w:tc>
          <w:tcPr>
            <w:tcW w:type="dxa" w:w="5947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Solo evidencia comprobada.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</w:rPr>
        <w:t>Los pesos miden avance, no nota. El hito cuenta al completar su evidencia; una regresión reduce el avance. Elaborar este paquete no completa hitos de la aplicación del equipo y la IA no puede autoaprobar M10.</w:t>
      </w:r>
    </w:p>
    <w:p>
      <w:pPr>
        <w:pStyle w:val="Heading2"/>
      </w:pPr>
      <w:r>
        <w:t>11.2. Rúbrica propuesta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08"/>
      </w:tblGrid>
      <w:tr>
        <w:trPr>
          <w:cantSplit/>
          <w:tblHeader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Puntos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Datos, pandas, actualización y trazabilidad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Matrices, riesgo y optimización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Black-Litterman y opiniones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Rebalanceo, costos y prueba temporal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Beta, CAPM y valoración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Criterio financiero, escucha, UX y reproducción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Defensa individual sin IA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6912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Total</w:t>
            </w:r>
          </w:p>
        </w:tc>
        <w:tc>
          <w:tcPr>
            <w:tcW w:type="dxa" w:w="2808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100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</w:rPr>
        <w:t>La propuesta conserva 85 puntos grupales y quince individuales del antecedente; corresponde al docente adoptarla y comunicarla (Restrepo Montoya, 2026, guía del MVP, sección 2.2). No se premia operar más ni se castiga una abstención sustentada.</w:t>
      </w:r>
    </w:p>
    <w:p>
      <w:pPr>
        <w:jc w:val="both"/>
      </w:pPr>
      <w:r>
        <w:rPr>
          <w:b w:val="0"/>
        </w:rPr>
        <w:t>La defensa individual incluye cinco comprobaciones de tres puntos: cálculo; elección de cartera/view; trazado de dato/rebalanceo; costo de capital/valor; modificación e interpretación. La exactitud y autonomía determinan el nivel; los errores de arrastre se identifican sin contarlos como fallas independientes repetidas.</w:t>
      </w:r>
    </w:p>
    <w:p>
      <w:pPr>
        <w:pStyle w:val="Heading1"/>
        <w:pBdr>
          <w:bottom w:val="single" w:sz="10" w:color="10693F"/>
        </w:pBdr>
      </w:pPr>
      <w:r>
        <w:t>12. Pruebas de aceptación</w:t>
      </w:r>
    </w:p>
    <w:p>
      <w:pPr>
        <w:jc w:val="both"/>
      </w:pPr>
      <w:r>
        <w:rPr>
          <w:b w:val="0"/>
        </w:rPr>
        <w:t>Los tests automáticos usan fixtures y mocks sin red. Se comprueban por separado conexión real, comportamiento del usuario y defensa; ninguna se declara aprobada por haber escrito una prueba.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8784"/>
      </w:tblGrid>
      <w:tr>
        <w:trPr>
          <w:cantSplit/>
          <w:tblHeader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151515"/>
          </w:tcPr>
          <w:p>
            <w:pPr>
              <w:keepNext/>
              <w:spacing w:after="0" w:line="247" w:lineRule="auto"/>
            </w:pPr>
            <w:r>
              <w:rPr>
                <w:b/>
                <w:color w:val="FFFFFF"/>
                <w:sz w:val="18"/>
              </w:rPr>
              <w:t>Comprobación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P2-1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Regresión de v1 preservada y cambio de alcance explícito.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P2-2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Esquemas pandas, tipos, fechas, etiquetas y orden reproducibles.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P2-3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Consultas reales sucesivas con fuente, tiempo y gráfico actualizado.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P2-4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Veinte válidos más error; ausencia de fallback sintético oculto.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P2-5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Huecos, calendario y ajustes no producen retornos falsos.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P2-6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Agregación simple distinta del promedio de logs.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P2-7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Covarianza manual y pandas con ddof=1 coinciden.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P2-8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Varianza cero produce correlación indefinida.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P2-9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PSD, singularidad, condicionamiento y permutación revisados.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P2-10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Frecuencia, tasa libre de riesgo y anualización compatibles.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P2-11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Riesgo y contribuciones reconcilian; rama cero explícita.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P2-12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Ventanas usan barras completas sin duplicar eventos.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P2-13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GMV de dos activos coincide con el control analítico.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P2-14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Frontera por optimización y casos degenerados correctos.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P2-15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Cotas/presupuesto se cumplen; inviabilidad/no acotación visibles.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P2-16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Máximo esperado, tangencia y óptimo personal diferenciados.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P2-17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Gamma, deuda y premios no positivos tratados coherentemente.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P2-18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CAL, CML y SML con ejes y supuestos propios.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P2-19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BL sin views conserva el prior.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P2-20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Q=P*pi no mueve media; P/Q ordenados y dimensionados.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P2-21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Confianza/Omega coherentes; cero confianza no significa certeza.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P2-22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Views absoluta/relativa, vencimiento, duplicado y conflicto.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P2-23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Incertidumbre de media separada de riesgo predictivo.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P2-24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Cotización, recalibración y trigger tienen relojes distintos.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P2-25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Deriva de pesos y cantidades previas correctamente calculadas.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P2-26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Turnover, nominal negociado, costos y caja reconciliados.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P2-27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Evento duplicado no genera una segunda decisión.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P2-28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Abstención por retraso, costo o liquidez queda registrada.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P2-29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Walk-forward sin look-ahead ni publicaciones futuras.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P2-30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Comparadores comparten universo, período y costos.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P2-31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Beta manual/OLS y benchmark constante controlados.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P2-32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Hamada ida/vuelta con igual supuesto de deuda.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P2-33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CAPM, país, inflación y moneda sin doble conteo.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P2-34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FCFF/FCFE, WACC y terminal inválido comprobados.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P2-35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  <w:shd w:fill="F4F6F8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Exportación coincide con snapshot, parámetros y commit.</w:t>
            </w:r>
          </w:p>
        </w:tc>
      </w:tr>
      <w:tr>
        <w:trPr>
          <w:cantSplit/>
        </w:trPr>
        <w:tc>
          <w:tcPr>
            <w:tcW w:type="dxa" w:w="936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P2-36</w:t>
            </w:r>
          </w:p>
        </w:tc>
        <w:tc>
          <w:tcPr>
            <w:tcW w:type="dxa" w:w="8784"/>
            <w:tcMar>
              <w:top w:w="90" w:type="dxa"/>
              <w:bottom w:w="90" w:type="dxa"/>
              <w:left w:w="90" w:type="dxa"/>
              <w:right w:w="90" w:type="dxa"/>
            </w:tcMar>
            <w:vAlign w:val="center"/>
          </w:tcPr>
          <w:p>
            <w:pPr>
              <w:spacing w:after="0" w:line="247" w:lineRule="auto"/>
            </w:pPr>
            <w:r>
              <w:rPr>
                <w:b w:val="0"/>
                <w:color w:val="2F3742"/>
                <w:sz w:val="18"/>
              </w:rPr>
              <w:t>Reproducción por otro integrante y defensa sin IA.</w:t>
            </w:r>
          </w:p>
        </w:tc>
      </w:tr>
    </w:tbl>
    <w:p>
      <w:pPr>
        <w:spacing w:after="0"/>
      </w:pPr>
    </w:p>
    <w:p>
      <w:pPr>
        <w:jc w:val="both"/>
      </w:pPr>
      <w:r>
        <w:rPr>
          <w:b w:val="0"/>
        </w:rPr>
        <w:t>Tolerancias sugeridas: atol=1e-8 y rtol=1e-8 para referencias en retornos decimales; residuales normalizados hasta 1e-6 cuando sea adecuado. Las tolerancias se adaptan a la escala y condicionamiento, no a la conveniencia del resultado; se preservan las tolerancias específicas de v1 en sus pruebas heredadas.</w:t>
      </w:r>
    </w:p>
    <w:p>
      <w:pPr>
        <w:pStyle w:val="Heading1"/>
        <w:pBdr>
          <w:bottom w:val="single" w:sz="10" w:color="10693F"/>
        </w:pBdr>
      </w:pPr>
      <w:r>
        <w:t>13. Entrega y límites operativos</w:t>
      </w:r>
    </w:p>
    <w:p>
      <w:pPr>
        <w:jc w:val="both"/>
      </w:pPr>
      <w:r>
        <w:rPr>
          <w:b w:val="0"/>
        </w:rPr>
        <w:t>Se entrega código modular Python, dependencias fijadas tras probar, tests, fixtures, trazas permitidas, exportaciones y una demostración. El repositorio propio o asignado es privado; el commit local debe coincidir con el remoto antes de declarar respaldo.</w:t>
      </w:r>
    </w:p>
    <w:p>
      <w:pPr>
        <w:jc w:val="both"/>
      </w:pPr>
      <w:r>
        <w:rPr>
          <w:b w:val="0"/>
        </w:rPr>
        <w:t>No se incorporan cuentas, credenciales ni datos personales del profesor o de terceros. Las cotizaciones no se publican sin derechos y el bot no envía órdenes reales; la simulación es una contabilidad pedagógica.</w:t>
      </w:r>
    </w:p>
    <w:p>
      <w:pPr>
        <w:jc w:val="both"/>
      </w:pPr>
      <w:r>
        <w:rPr>
          <w:b w:val="0"/>
        </w:rPr>
        <w:t>Un despliegue público o multiusuario requiere autorización y controles de acceso, privacidad y licencias. Un repositorio privado no vuelve privada a la aplicación ni una casilla de aviso reemplaza seguridad.</w:t>
      </w:r>
    </w:p>
    <w:p>
      <w:pPr>
        <w:jc w:val="both"/>
      </w:pPr>
      <w:r>
        <w:rPr>
          <w:b w:val="0"/>
        </w:rPr>
        <w:t>El cuaderno de inicio prueba pandas con veinte series sintéticas y ofrece una celda Yahoo desactivada inicialmente. No entrega el motor de optimización/rebalanceo resuelto; el estudiante debe dirigir su construcción con el prompt tutor.</w:t>
      </w:r>
    </w:p>
    <w:p>
      <w:pPr>
        <w:pStyle w:val="Heading1"/>
        <w:pBdr>
          <w:bottom w:val="single" w:sz="10" w:color="10693F"/>
        </w:pBdr>
      </w:pPr>
      <w:r>
        <w:t>14. Referencias</w:t>
      </w:r>
    </w:p>
    <w:p>
      <w:pPr>
        <w:jc w:val="both"/>
      </w:pPr>
      <w:r>
        <w:rPr>
          <w:b w:val="0"/>
        </w:rPr>
        <w:t>Restrepo Montoya, J. E. (2026). Teoría de portafolios y caso de valoración CAPM [Material docente, 128 páginas]. Caso Alimentos del Norte, pp. 80–110.</w:t>
      </w:r>
    </w:p>
    <w:p>
      <w:pPr>
        <w:jc w:val="both"/>
      </w:pPr>
      <w:r>
        <w:rPr>
          <w:b w:val="0"/>
        </w:rPr>
        <w:t>Restrepo Montoya, J. E. (2026). Del análisis financiero al primer MVP y Prompt tutor del BOT UdeA [Guía y prompt, versión 1.0, 18 de septiembre]. Antecedentes del alcance y de la evaluación.</w:t>
      </w:r>
    </w:p>
    <w:p>
      <w:pPr>
        <w:jc w:val="both"/>
      </w:pPr>
      <w:r>
        <w:rPr>
          <w:b w:val="0"/>
        </w:rPr>
        <w:t>yfinance. (s. f.). Documentación y WebSocket. https://ranaroussi.github.io/yfinance/ y https://ranaroussi.github.io/yfinance/reference/yfinance.websocket.html</w:t>
      </w:r>
    </w:p>
    <w:p>
      <w:pPr>
        <w:jc w:val="both"/>
      </w:pPr>
      <w:r>
        <w:rPr>
          <w:b w:val="0"/>
        </w:rPr>
        <w:t>Yahoo. (s. f.). Exchanges and data providers on Yahoo Finance. https://help.yahoo.com/kb/SLN2310.html</w:t>
      </w:r>
    </w:p>
    <w:p>
      <w:pPr>
        <w:jc w:val="both"/>
      </w:pPr>
      <w:r>
        <w:rPr>
          <w:b w:val="0"/>
        </w:rPr>
        <w:t>pandas development team. (s. f.). pandas.DataFrame.cov y pandas.DataFrame.pct_change. https://pandas.pydata.org/docs/reference/api/pandas.DataFrame.cov.html y https://pandas.pydata.org/docs/reference/api/pandas.DataFrame.pct_change.html</w:t>
      </w:r>
    </w:p>
    <w:p>
      <w:pPr>
        <w:jc w:val="both"/>
      </w:pPr>
      <w:r>
        <w:rPr>
          <w:b w:val="0"/>
        </w:rPr>
        <w:t>PyPortfolioOpt. (s. f.). Black-Litterman allocation. https://pyportfolioopt.readthedocs.io/en/latest/BlackLitterman.html</w:t>
      </w:r>
    </w:p>
    <w:p>
      <w:pPr>
        <w:jc w:val="both"/>
      </w:pPr>
      <w:r>
        <w:rPr>
          <w:b w:val="0"/>
        </w:rPr>
        <w:t>Stanford University, Convex Optimization Group. (s. f.). Portfolio optimization. https://www.cvxgrp.org/cvx_short_course/docs/applications/notebooks/portfolio_optimization.html</w:t>
      </w:r>
    </w:p>
    <w:p>
      <w:pPr>
        <w:jc w:val="both"/>
      </w:pPr>
      <w:r>
        <w:rPr>
          <w:b w:val="0"/>
        </w:rPr>
        <w:t>La documentación pública se consultó el 25 de septiembre de 2026. Las fórmulas se presentan como especificación pedagógica y los datos del caso permanecen congelados; una referencia no acredita consulta de cotizaciones ni validación humana.</w:t>
      </w:r>
    </w:p>
    <w:sectPr w:rsidR="00FC693F" w:rsidRPr="0006063C" w:rsidSect="00034616">
      <w:footerReference w:type="default" r:id="rId9"/>
      <w:pgSz w:w="11909" w:h="16834"/>
      <w:pgMar w:top="1008" w:right="1080" w:bottom="950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50"/>
    </w:pPr>
    <w:rPr>
      <w:rFonts w:ascii="Arial" w:hAnsi="Arial"/>
      <w:color w:val="2F3742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20" w:after="300"/>
      <w:outlineLvl w:val="0"/>
    </w:pPr>
    <w:rPr>
      <w:rFonts w:asciiTheme="majorHAnsi" w:eastAsiaTheme="majorEastAsia" w:hAnsiTheme="majorHAnsi" w:cstheme="majorBidi" w:ascii="Arial" w:hAnsi="Arial"/>
      <w:b/>
      <w:bCs/>
      <w:color w:val="15151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50"/>
      <w:outlineLvl w:val="1"/>
    </w:pPr>
    <w:rPr>
      <w:rFonts w:asciiTheme="majorHAnsi" w:eastAsiaTheme="majorEastAsia" w:hAnsiTheme="majorHAnsi" w:cstheme="majorBidi" w:ascii="Arial" w:hAnsi="Arial"/>
      <w:b/>
      <w:bCs/>
      <w:color w:val="15151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50" w:line="240" w:lineRule="auto" w:before="300"/>
      <w:contextualSpacing/>
    </w:pPr>
    <w:rPr>
      <w:rFonts w:asciiTheme="majorHAnsi" w:eastAsiaTheme="majorEastAsia" w:hAnsiTheme="majorHAnsi" w:cstheme="majorBidi" w:ascii="Arial" w:hAnsi="Arial"/>
      <w:b/>
      <w:color w:val="151515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Escalamiento a la versión 2</dc:title>
  <dc:subject>Paquete académico de escalamiento de BOT de Portafolios v2</dc:subject>
  <dc:creator>Julián Esteban Restrepo Montoya</dc:creator>
  <cp:keywords/>
  <dc:description>generated by python-docx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