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D487F1" w14:textId="0C17E5B2" w:rsidR="00150B91" w:rsidRPr="00AC3F34" w:rsidRDefault="00AC3F34" w:rsidP="00AC3F34">
      <w:pPr>
        <w:rPr>
          <w:sz w:val="22"/>
          <w:szCs w:val="22"/>
        </w:rPr>
      </w:pPr>
      <w:r w:rsidRPr="00AC3F34">
        <w:rPr>
          <w:sz w:val="22"/>
          <w:szCs w:val="22"/>
        </w:rPr>
        <w:t>Revisiting the importance of guard cell cross-sectional geometry for stomatal opening: the air mattress effect.</w:t>
      </w:r>
    </w:p>
    <w:p w14:paraId="29F7BA59" w14:textId="77777777" w:rsidR="00150B91" w:rsidRPr="00AC3F34" w:rsidRDefault="00150B91" w:rsidP="00AC3F34">
      <w:pPr>
        <w:rPr>
          <w:sz w:val="22"/>
          <w:szCs w:val="22"/>
        </w:rPr>
      </w:pPr>
    </w:p>
    <w:p w14:paraId="735C113C" w14:textId="14C32044" w:rsidR="00150B91" w:rsidRPr="00AC3F34" w:rsidRDefault="00150B91" w:rsidP="00AC3F34">
      <w:pPr>
        <w:rPr>
          <w:sz w:val="22"/>
          <w:szCs w:val="22"/>
        </w:rPr>
      </w:pPr>
      <w:r w:rsidRPr="00AC3F34">
        <w:rPr>
          <w:sz w:val="22"/>
          <w:szCs w:val="22"/>
        </w:rPr>
        <w:t>Abstract:</w:t>
      </w:r>
    </w:p>
    <w:p w14:paraId="142D6918" w14:textId="77777777" w:rsidR="00150B91" w:rsidRPr="00AC3F34" w:rsidRDefault="00150B91" w:rsidP="00AC3F34">
      <w:pPr>
        <w:rPr>
          <w:sz w:val="22"/>
          <w:szCs w:val="22"/>
        </w:rPr>
      </w:pPr>
    </w:p>
    <w:p w14:paraId="46850136" w14:textId="01F2EFBE" w:rsidR="00424370" w:rsidRDefault="00216981" w:rsidP="00AC3F34">
      <w:pPr>
        <w:rPr>
          <w:sz w:val="22"/>
          <w:szCs w:val="22"/>
        </w:rPr>
      </w:pPr>
      <w:r w:rsidRPr="00AC3F34">
        <w:rPr>
          <w:sz w:val="22"/>
          <w:szCs w:val="22"/>
        </w:rPr>
        <w:t xml:space="preserve">Introduction: </w:t>
      </w:r>
    </w:p>
    <w:p w14:paraId="540CD575" w14:textId="77777777" w:rsidR="008A22C1" w:rsidRDefault="008A22C1" w:rsidP="00AC3F34">
      <w:pPr>
        <w:rPr>
          <w:sz w:val="22"/>
          <w:szCs w:val="22"/>
        </w:rPr>
      </w:pPr>
    </w:p>
    <w:p w14:paraId="5D00763D" w14:textId="72E2ADF4" w:rsidR="008A22C1" w:rsidRDefault="008A22C1" w:rsidP="00AC3F34">
      <w:pPr>
        <w:rPr>
          <w:sz w:val="22"/>
          <w:szCs w:val="22"/>
        </w:rPr>
      </w:pPr>
      <w:r>
        <w:rPr>
          <w:sz w:val="22"/>
          <w:szCs w:val="22"/>
        </w:rPr>
        <w:t xml:space="preserve">Stomata are microscopic pores on the plant epidermis that </w:t>
      </w:r>
      <w:r w:rsidR="00F52A0E">
        <w:rPr>
          <w:sz w:val="22"/>
          <w:szCs w:val="22"/>
        </w:rPr>
        <w:t>play a critical role</w:t>
      </w:r>
      <w:r>
        <w:rPr>
          <w:sz w:val="22"/>
          <w:szCs w:val="22"/>
        </w:rPr>
        <w:t xml:space="preserve"> </w:t>
      </w:r>
      <w:r w:rsidR="00F52A0E">
        <w:rPr>
          <w:sz w:val="22"/>
          <w:szCs w:val="22"/>
        </w:rPr>
        <w:t>in</w:t>
      </w:r>
      <w:r>
        <w:rPr>
          <w:sz w:val="22"/>
          <w:szCs w:val="22"/>
        </w:rPr>
        <w:t xml:space="preserve"> regulating gas exchange and controlling water loss </w:t>
      </w:r>
      <w:r w:rsidR="00F52A0E">
        <w:rPr>
          <w:sz w:val="22"/>
          <w:szCs w:val="22"/>
        </w:rPr>
        <w:t>through</w:t>
      </w:r>
      <w:r>
        <w:rPr>
          <w:sz w:val="22"/>
          <w:szCs w:val="22"/>
        </w:rPr>
        <w:t xml:space="preserve"> transpiration. </w:t>
      </w:r>
      <w:r w:rsidR="00F52A0E">
        <w:rPr>
          <w:sz w:val="22"/>
          <w:szCs w:val="22"/>
        </w:rPr>
        <w:t xml:space="preserve">Each stoma is bordered by a </w:t>
      </w:r>
      <w:r>
        <w:rPr>
          <w:sz w:val="22"/>
          <w:szCs w:val="22"/>
        </w:rPr>
        <w:t>pair of guard cells whose turgor pressure</w:t>
      </w:r>
      <w:r w:rsidR="00F52A0E">
        <w:rPr>
          <w:sz w:val="22"/>
          <w:szCs w:val="22"/>
        </w:rPr>
        <w:t xml:space="preserve"> dynamically</w:t>
      </w:r>
      <w:r>
        <w:rPr>
          <w:sz w:val="22"/>
          <w:szCs w:val="22"/>
        </w:rPr>
        <w:t xml:space="preserve"> changes</w:t>
      </w:r>
      <w:r w:rsidR="00F52A0E">
        <w:rPr>
          <w:sz w:val="22"/>
          <w:szCs w:val="22"/>
        </w:rPr>
        <w:t xml:space="preserve"> in response to </w:t>
      </w:r>
      <w:r>
        <w:rPr>
          <w:sz w:val="22"/>
          <w:szCs w:val="22"/>
        </w:rPr>
        <w:t>ion fluxes</w:t>
      </w:r>
      <w:r w:rsidR="00F52A0E">
        <w:rPr>
          <w:sz w:val="22"/>
          <w:szCs w:val="22"/>
        </w:rPr>
        <w:t xml:space="preserve"> – primarily involving </w:t>
      </w:r>
      <w:r>
        <w:rPr>
          <w:sz w:val="22"/>
          <w:szCs w:val="22"/>
        </w:rPr>
        <w:t xml:space="preserve">potassium </w:t>
      </w:r>
      <w:r w:rsidR="00F52A0E">
        <w:rPr>
          <w:sz w:val="22"/>
          <w:szCs w:val="22"/>
        </w:rPr>
        <w:t xml:space="preserve">(K+) </w:t>
      </w:r>
      <w:r>
        <w:rPr>
          <w:sz w:val="22"/>
          <w:szCs w:val="22"/>
        </w:rPr>
        <w:t>and chloride</w:t>
      </w:r>
      <w:r w:rsidR="00F52A0E">
        <w:rPr>
          <w:sz w:val="22"/>
          <w:szCs w:val="22"/>
        </w:rPr>
        <w:t xml:space="preserve"> (Cl-) to mediate stomatal opening and closure</w:t>
      </w:r>
      <w:r>
        <w:rPr>
          <w:sz w:val="22"/>
          <w:szCs w:val="22"/>
        </w:rPr>
        <w:t xml:space="preserve">. </w:t>
      </w:r>
      <w:r w:rsidR="00F52A0E">
        <w:rPr>
          <w:sz w:val="22"/>
          <w:szCs w:val="22"/>
        </w:rPr>
        <w:t>The</w:t>
      </w:r>
      <w:r w:rsidR="00AF2A3C">
        <w:rPr>
          <w:sz w:val="22"/>
          <w:szCs w:val="22"/>
        </w:rPr>
        <w:t>s</w:t>
      </w:r>
      <w:r w:rsidR="00F52A0E">
        <w:rPr>
          <w:sz w:val="22"/>
          <w:szCs w:val="22"/>
        </w:rPr>
        <w:t>e ion fluxes are modulated by e</w:t>
      </w:r>
      <w:r>
        <w:rPr>
          <w:sz w:val="22"/>
          <w:szCs w:val="22"/>
        </w:rPr>
        <w:t xml:space="preserve">nvironmental </w:t>
      </w:r>
      <w:r w:rsidR="00F52A0E">
        <w:rPr>
          <w:sz w:val="22"/>
          <w:szCs w:val="22"/>
        </w:rPr>
        <w:t>cues</w:t>
      </w:r>
      <w:r>
        <w:rPr>
          <w:sz w:val="22"/>
          <w:szCs w:val="22"/>
        </w:rPr>
        <w:t xml:space="preserve"> such as light intensity, CO</w:t>
      </w:r>
      <w:r>
        <w:rPr>
          <w:sz w:val="22"/>
          <w:szCs w:val="22"/>
          <w:vertAlign w:val="subscript"/>
        </w:rPr>
        <w:t>2</w:t>
      </w:r>
      <w:r>
        <w:rPr>
          <w:sz w:val="22"/>
          <w:szCs w:val="22"/>
        </w:rPr>
        <w:t xml:space="preserve"> concentration, and water availability, </w:t>
      </w:r>
      <w:r w:rsidR="00F52A0E">
        <w:rPr>
          <w:sz w:val="22"/>
          <w:szCs w:val="22"/>
        </w:rPr>
        <w:t>as well as</w:t>
      </w:r>
      <w:r w:rsidR="007B0141">
        <w:rPr>
          <w:sz w:val="22"/>
          <w:szCs w:val="22"/>
        </w:rPr>
        <w:t xml:space="preserve"> internal signals</w:t>
      </w:r>
      <w:r w:rsidR="00F52A0E">
        <w:rPr>
          <w:sz w:val="22"/>
          <w:szCs w:val="22"/>
        </w:rPr>
        <w:t xml:space="preserve"> including </w:t>
      </w:r>
      <w:r w:rsidR="007B0141">
        <w:rPr>
          <w:sz w:val="22"/>
          <w:szCs w:val="22"/>
        </w:rPr>
        <w:t xml:space="preserve">the </w:t>
      </w:r>
      <w:r>
        <w:rPr>
          <w:sz w:val="22"/>
          <w:szCs w:val="22"/>
        </w:rPr>
        <w:t>stress hormones</w:t>
      </w:r>
      <w:r w:rsidR="007B0141">
        <w:rPr>
          <w:sz w:val="22"/>
          <w:szCs w:val="22"/>
        </w:rPr>
        <w:t xml:space="preserve"> </w:t>
      </w:r>
      <w:r>
        <w:rPr>
          <w:sz w:val="22"/>
          <w:szCs w:val="22"/>
        </w:rPr>
        <w:t>abscisic acid (ABA)</w:t>
      </w:r>
      <w:r w:rsidR="007B0141">
        <w:rPr>
          <w:sz w:val="22"/>
          <w:szCs w:val="22"/>
        </w:rPr>
        <w:t xml:space="preserve"> and biotic </w:t>
      </w:r>
      <w:r w:rsidR="00F52A0E">
        <w:rPr>
          <w:sz w:val="22"/>
          <w:szCs w:val="22"/>
        </w:rPr>
        <w:t>factors</w:t>
      </w:r>
      <w:r w:rsidR="007B0141">
        <w:rPr>
          <w:sz w:val="22"/>
          <w:szCs w:val="22"/>
        </w:rPr>
        <w:t xml:space="preserve"> </w:t>
      </w:r>
      <w:r w:rsidR="00F52A0E">
        <w:rPr>
          <w:sz w:val="22"/>
          <w:szCs w:val="22"/>
        </w:rPr>
        <w:t>like</w:t>
      </w:r>
      <w:r>
        <w:rPr>
          <w:sz w:val="22"/>
          <w:szCs w:val="22"/>
        </w:rPr>
        <w:t xml:space="preserve"> pathogen attacks</w:t>
      </w:r>
      <w:r w:rsidR="007B0141">
        <w:rPr>
          <w:sz w:val="22"/>
          <w:szCs w:val="22"/>
        </w:rPr>
        <w:t xml:space="preserve">. Under favourable conditions, </w:t>
      </w:r>
      <w:r w:rsidR="00F52A0E">
        <w:rPr>
          <w:sz w:val="22"/>
          <w:szCs w:val="22"/>
        </w:rPr>
        <w:t>solute</w:t>
      </w:r>
      <w:r w:rsidR="007B0141">
        <w:rPr>
          <w:sz w:val="22"/>
          <w:szCs w:val="22"/>
        </w:rPr>
        <w:t xml:space="preserve"> accumulation </w:t>
      </w:r>
      <w:r w:rsidR="00F52A0E">
        <w:rPr>
          <w:sz w:val="22"/>
          <w:szCs w:val="22"/>
        </w:rPr>
        <w:t>with</w:t>
      </w:r>
      <w:r w:rsidR="007B0141">
        <w:rPr>
          <w:sz w:val="22"/>
          <w:szCs w:val="22"/>
        </w:rPr>
        <w:t>in guard cells increase</w:t>
      </w:r>
      <w:r w:rsidR="00F52A0E">
        <w:rPr>
          <w:sz w:val="22"/>
          <w:szCs w:val="22"/>
        </w:rPr>
        <w:t xml:space="preserve"> their</w:t>
      </w:r>
      <w:r w:rsidR="007B0141">
        <w:rPr>
          <w:sz w:val="22"/>
          <w:szCs w:val="22"/>
        </w:rPr>
        <w:t xml:space="preserve"> osmotic potential and turgor pressure, </w:t>
      </w:r>
      <w:r w:rsidR="00F52A0E">
        <w:rPr>
          <w:sz w:val="22"/>
          <w:szCs w:val="22"/>
        </w:rPr>
        <w:t>leading to</w:t>
      </w:r>
      <w:r w:rsidR="007B0141">
        <w:rPr>
          <w:sz w:val="22"/>
          <w:szCs w:val="22"/>
        </w:rPr>
        <w:t xml:space="preserve"> stomatal opening. </w:t>
      </w:r>
      <w:r w:rsidR="00F52A0E">
        <w:rPr>
          <w:sz w:val="22"/>
          <w:szCs w:val="22"/>
        </w:rPr>
        <w:t xml:space="preserve">In contrast, stress conditions trigger solute efflux, reducing </w:t>
      </w:r>
      <w:r w:rsidR="007B0141">
        <w:rPr>
          <w:sz w:val="22"/>
          <w:szCs w:val="22"/>
        </w:rPr>
        <w:t>turgor</w:t>
      </w:r>
      <w:r w:rsidR="00F52A0E">
        <w:rPr>
          <w:sz w:val="22"/>
          <w:szCs w:val="22"/>
        </w:rPr>
        <w:t xml:space="preserve"> pressure</w:t>
      </w:r>
      <w:r w:rsidR="007B0141">
        <w:rPr>
          <w:sz w:val="22"/>
          <w:szCs w:val="22"/>
        </w:rPr>
        <w:t xml:space="preserve"> and </w:t>
      </w:r>
      <w:r w:rsidR="00F52A0E">
        <w:rPr>
          <w:sz w:val="22"/>
          <w:szCs w:val="22"/>
        </w:rPr>
        <w:t xml:space="preserve">promoting </w:t>
      </w:r>
      <w:r w:rsidR="007B0141">
        <w:rPr>
          <w:sz w:val="22"/>
          <w:szCs w:val="22"/>
        </w:rPr>
        <w:t xml:space="preserve">stomatal closure, </w:t>
      </w:r>
      <w:r w:rsidR="00F52A0E">
        <w:rPr>
          <w:sz w:val="22"/>
          <w:szCs w:val="22"/>
        </w:rPr>
        <w:t>thereby limiting water loss</w:t>
      </w:r>
      <w:r w:rsidR="007B0141">
        <w:rPr>
          <w:sz w:val="22"/>
          <w:szCs w:val="22"/>
        </w:rPr>
        <w:t xml:space="preserve">. </w:t>
      </w:r>
      <w:r>
        <w:rPr>
          <w:sz w:val="22"/>
          <w:szCs w:val="22"/>
        </w:rPr>
        <w:t xml:space="preserve"> </w:t>
      </w:r>
      <w:r w:rsidR="00F52A0E">
        <w:rPr>
          <w:sz w:val="22"/>
          <w:szCs w:val="22"/>
        </w:rPr>
        <w:t xml:space="preserve">In most </w:t>
      </w:r>
      <w:r w:rsidR="000D7251">
        <w:rPr>
          <w:sz w:val="22"/>
          <w:szCs w:val="22"/>
        </w:rPr>
        <w:t>plant families</w:t>
      </w:r>
      <w:r w:rsidR="00AF2A3C">
        <w:rPr>
          <w:sz w:val="22"/>
          <w:szCs w:val="22"/>
        </w:rPr>
        <w:t>,</w:t>
      </w:r>
      <w:r w:rsidR="000D7251">
        <w:rPr>
          <w:sz w:val="22"/>
          <w:szCs w:val="22"/>
        </w:rPr>
        <w:t xml:space="preserve"> stomata </w:t>
      </w:r>
      <w:r w:rsidR="00F52A0E">
        <w:rPr>
          <w:sz w:val="22"/>
          <w:szCs w:val="22"/>
        </w:rPr>
        <w:t xml:space="preserve">are formed by two </w:t>
      </w:r>
      <w:r w:rsidR="000D7251">
        <w:rPr>
          <w:sz w:val="22"/>
          <w:szCs w:val="22"/>
        </w:rPr>
        <w:t>kidney-shaped guard cells</w:t>
      </w:r>
      <w:r w:rsidR="00F52A0E">
        <w:rPr>
          <w:sz w:val="22"/>
          <w:szCs w:val="22"/>
        </w:rPr>
        <w:t xml:space="preserve">; however, </w:t>
      </w:r>
      <w:r w:rsidR="000D7251">
        <w:rPr>
          <w:sz w:val="22"/>
          <w:szCs w:val="22"/>
        </w:rPr>
        <w:t>grasses</w:t>
      </w:r>
      <w:r w:rsidR="00F52A0E">
        <w:rPr>
          <w:sz w:val="22"/>
          <w:szCs w:val="22"/>
        </w:rPr>
        <w:t xml:space="preserve"> possess a unique morphology characterized by </w:t>
      </w:r>
      <w:r w:rsidR="000D7251">
        <w:rPr>
          <w:sz w:val="22"/>
          <w:szCs w:val="22"/>
        </w:rPr>
        <w:t xml:space="preserve">dumbbell-shaped guard cells </w:t>
      </w:r>
      <w:r w:rsidR="00F52A0E">
        <w:rPr>
          <w:sz w:val="22"/>
          <w:szCs w:val="22"/>
        </w:rPr>
        <w:t>accompanied</w:t>
      </w:r>
      <w:r w:rsidR="000D7251">
        <w:rPr>
          <w:sz w:val="22"/>
          <w:szCs w:val="22"/>
        </w:rPr>
        <w:t xml:space="preserve"> by lateral subsidiary cells. </w:t>
      </w:r>
    </w:p>
    <w:p w14:paraId="21D0A754" w14:textId="77777777" w:rsidR="00F52A0E" w:rsidRDefault="00F52A0E" w:rsidP="00AC3F34">
      <w:pPr>
        <w:rPr>
          <w:sz w:val="22"/>
          <w:szCs w:val="22"/>
        </w:rPr>
      </w:pPr>
    </w:p>
    <w:p w14:paraId="1897D3AC" w14:textId="73B37149" w:rsidR="008743C8" w:rsidRDefault="00C93784" w:rsidP="00AC3F34">
      <w:pPr>
        <w:rPr>
          <w:sz w:val="22"/>
          <w:szCs w:val="22"/>
        </w:rPr>
      </w:pPr>
      <w:r>
        <w:rPr>
          <w:sz w:val="22"/>
          <w:szCs w:val="22"/>
        </w:rPr>
        <w:t xml:space="preserve">The inflation and deflation of guard cells is </w:t>
      </w:r>
      <w:r w:rsidR="00F52A0E">
        <w:rPr>
          <w:sz w:val="22"/>
          <w:szCs w:val="22"/>
        </w:rPr>
        <w:t>fundamentally</w:t>
      </w:r>
      <w:r>
        <w:rPr>
          <w:sz w:val="22"/>
          <w:szCs w:val="22"/>
        </w:rPr>
        <w:t xml:space="preserve"> a mechanical process </w:t>
      </w:r>
      <w:r w:rsidR="00C200D2">
        <w:rPr>
          <w:sz w:val="22"/>
          <w:szCs w:val="22"/>
        </w:rPr>
        <w:fldChar w:fldCharType="begin"/>
      </w:r>
      <w:r w:rsidR="00C200D2">
        <w:rPr>
          <w:sz w:val="22"/>
          <w:szCs w:val="22"/>
        </w:rPr>
        <w:instrText xml:space="preserve"> ADDIN ZOTERO_ITEM CSL_CITATION {"citationID":"Etkrgq6J","properties":{"formattedCitation":"(Woolfenden et al., 2018)","plainCitation":"(Woolfenden et al., 2018)","noteIndex":0},"citationItems":[{"id":3327,"uris":["http://zotero.org/users/299961/items/YAMUPUFF"],"itemData":{"id":3327,"type":"article-journal","container-title":"Trends in Plant Science","issue":"9","note":"publisher: Elsevier","page":"822–832","source":"Google Scholar","title":"Models and mechanisms of stomatal mechanics","volume":"23","author":[{"family":"Woolfenden","given":"Hugh C."},{"family":"Baillie","given":"Alice L."},{"family":"Gray","given":"Julie E."},{"family":"Hobbs","given":"Jamie K."},{"family":"Morris","given":"Richard J."},{"family":"Fleming","given":"Andrew J."}],"issued":{"date-parts":[["2018"]]}}}],"schema":"https://github.com/citation-style-language/schema/raw/master/csl-citation.json"} </w:instrText>
      </w:r>
      <w:r w:rsidR="00C200D2">
        <w:rPr>
          <w:sz w:val="22"/>
          <w:szCs w:val="22"/>
        </w:rPr>
        <w:fldChar w:fldCharType="separate"/>
      </w:r>
      <w:r w:rsidR="00C200D2">
        <w:rPr>
          <w:noProof/>
          <w:sz w:val="22"/>
          <w:szCs w:val="22"/>
        </w:rPr>
        <w:t>(Woolfenden et al., 2018)</w:t>
      </w:r>
      <w:r w:rsidR="00C200D2">
        <w:rPr>
          <w:sz w:val="22"/>
          <w:szCs w:val="22"/>
        </w:rPr>
        <w:fldChar w:fldCharType="end"/>
      </w:r>
      <w:r w:rsidR="00C200D2">
        <w:rPr>
          <w:sz w:val="22"/>
          <w:szCs w:val="22"/>
        </w:rPr>
        <w:t xml:space="preserve">. </w:t>
      </w:r>
      <w:r w:rsidR="00F52A0E">
        <w:rPr>
          <w:sz w:val="22"/>
          <w:szCs w:val="22"/>
        </w:rPr>
        <w:t>Consequently</w:t>
      </w:r>
      <w:r w:rsidR="00C200D2">
        <w:rPr>
          <w:sz w:val="22"/>
          <w:szCs w:val="22"/>
        </w:rPr>
        <w:t xml:space="preserve">, </w:t>
      </w:r>
      <w:r w:rsidR="00F52A0E">
        <w:rPr>
          <w:sz w:val="22"/>
          <w:szCs w:val="22"/>
        </w:rPr>
        <w:t>substantial</w:t>
      </w:r>
      <w:r w:rsidR="00C200D2">
        <w:rPr>
          <w:sz w:val="22"/>
          <w:szCs w:val="22"/>
        </w:rPr>
        <w:t xml:space="preserve"> research has </w:t>
      </w:r>
      <w:r w:rsidR="00F52A0E">
        <w:rPr>
          <w:sz w:val="22"/>
          <w:szCs w:val="22"/>
        </w:rPr>
        <w:t xml:space="preserve">focused on identifying the cell </w:t>
      </w:r>
      <w:r w:rsidR="00C200D2">
        <w:rPr>
          <w:sz w:val="22"/>
          <w:szCs w:val="22"/>
        </w:rPr>
        <w:t>wall properties and guard cell geometries</w:t>
      </w:r>
      <w:r w:rsidR="00F52A0E">
        <w:rPr>
          <w:sz w:val="22"/>
          <w:szCs w:val="22"/>
        </w:rPr>
        <w:t xml:space="preserve"> that most significantly influence stomatal efficiency</w:t>
      </w:r>
      <w:r w:rsidR="00C200D2">
        <w:rPr>
          <w:sz w:val="22"/>
          <w:szCs w:val="22"/>
        </w:rPr>
        <w:t xml:space="preserve">. </w:t>
      </w:r>
      <w:r w:rsidR="008743C8">
        <w:rPr>
          <w:sz w:val="22"/>
          <w:szCs w:val="22"/>
        </w:rPr>
        <w:t xml:space="preserve">Previous authors have highlighted different mechanisms as being of the greatest importance to stomatal opening. Early researchers highlighted the importance of the ventral wall being thicker than the dorsal wall, and the pressure difference between the guard and subsidiary (surrounding epidermal) cells of being the main drivers of stomatal opening (refs). </w:t>
      </w:r>
      <w:r w:rsidR="008743C8">
        <w:rPr>
          <w:sz w:val="22"/>
          <w:szCs w:val="22"/>
        </w:rPr>
        <w:fldChar w:fldCharType="begin"/>
      </w:r>
      <w:r w:rsidR="008743C8">
        <w:rPr>
          <w:sz w:val="22"/>
          <w:szCs w:val="22"/>
        </w:rPr>
        <w:instrText xml:space="preserve"> ADDIN ZOTERO_ITEM CSL_CITATION {"citationID":"Tj4Ys7o3","properties":{"formattedCitation":"(Aylor et al., 1973)","plainCitation":"(Aylor et al., 1973)","noteIndex":0},"citationItems":[{"id":3167,"uris":["http://zotero.org/groups/5587676/items/94N2JABG"],"itemData":{"id":3167,"type":"article-journal","abstract":"A model of stomatal movement due to changes in turgor is presented which systematically illustrates the role of certain anatomical features. During the expansion of paired guard cells, there are two physical constraints that cause the guard cells to bend and thus open the stomatal pore. The radial orientation of the micellae is shown to be the crucial feature which directly transmits the movement of the dorsal wall of the polar and central section to the stomatal slit. Furthermore, it is necessary that either the overall length of the entire stomatal apparatus or length of the common wall between the polar segments of the guard cells be constrained during the expansion of the guard cells. The model also shows that asymmetrically thickened guard cell walls are not necessary to cause bending of the guard cell. The ideas set forth in our model are consistent with the opening movements of both elliptical and grass-type stomata.","container-title":"American Journal of Botany","DOI":"10.1002/j.1537-2197.1973.tb10213.x","ISSN":"1537-2197","issue":"2","language":"en","license":"© 1973 Botanical Society of America","note":"_eprint: https://onlinelibrary.wiley.com/doi/pdf/10.1002/j.1537-2197.1973.tb10213.x","page":"163-171","source":"Wiley Online Library","title":"Stomatal Mechanics","volume":"60","author":[{"family":"Aylor","given":"Donald E."},{"family":"Parlange","given":"Jean-Yves"},{"family":"Krikorian","given":"A. D."}],"issued":{"date-parts":[["1973"]]}}}],"schema":"https://github.com/citation-style-language/schema/raw/master/csl-citation.json"} </w:instrText>
      </w:r>
      <w:r w:rsidR="008743C8">
        <w:rPr>
          <w:sz w:val="22"/>
          <w:szCs w:val="22"/>
        </w:rPr>
        <w:fldChar w:fldCharType="separate"/>
      </w:r>
      <w:r w:rsidR="008743C8">
        <w:rPr>
          <w:noProof/>
          <w:sz w:val="22"/>
          <w:szCs w:val="22"/>
        </w:rPr>
        <w:t>(Aylor et al., 1973)</w:t>
      </w:r>
      <w:r w:rsidR="008743C8">
        <w:rPr>
          <w:sz w:val="22"/>
          <w:szCs w:val="22"/>
        </w:rPr>
        <w:fldChar w:fldCharType="end"/>
      </w:r>
      <w:r w:rsidR="008743C8">
        <w:rPr>
          <w:sz w:val="22"/>
          <w:szCs w:val="22"/>
        </w:rPr>
        <w:t xml:space="preserve">, used balloons to simulate guard cell inflation and deflation, with masking tape to emulate the presence of radial stiffening from microfibrils, and / or ventral wall thickness. </w:t>
      </w:r>
      <w:r w:rsidR="00FE2449">
        <w:rPr>
          <w:sz w:val="22"/>
          <w:szCs w:val="22"/>
        </w:rPr>
        <w:t xml:space="preserve">They concluded that whilst ventral wall thickness is not essential for stomatal opening, radial stiffening and length constraints are. However, their model did not account for either the surrounding cells, nor allow for changes to the cross-sectional shape of the guard cells. </w:t>
      </w:r>
      <w:r w:rsidR="00FE2449">
        <w:rPr>
          <w:sz w:val="22"/>
          <w:szCs w:val="22"/>
        </w:rPr>
        <w:fldChar w:fldCharType="begin"/>
      </w:r>
      <w:r w:rsidR="00FE2449">
        <w:rPr>
          <w:sz w:val="22"/>
          <w:szCs w:val="22"/>
        </w:rPr>
        <w:instrText xml:space="preserve"> ADDIN ZOTERO_ITEM CSL_CITATION {"citationID":"zF3yhwRP","properties":{"formattedCitation":"(Cooke et al., 1976)","plainCitation":"(Cooke et al., 1976)","noteIndex":0},"citationItems":[{"id":3336,"uris":["http://zotero.org/users/299961/items/2CUHKV3B"],"itemData":{"id":3336,"type":"article-journal","container-title":"Transactions of the ASAE","issue":"6","note":"publisher: American Society of Agricultural and Biological Engineers","page":"1107–1121","source":"Google Scholar","title":"A finite element shell analysis of guard cell deformations","volume":"19","author":[{"family":"Cooke","given":"J. Robert"},{"family":"De Baerdemaeker","given":"Josse G."},{"family":"Rand","given":"Richard H."},{"family":"Mang","given":"Herbert A."}],"issued":{"date-parts":[["1976"]]}}}],"schema":"https://github.com/citation-style-language/schema/raw/master/csl-citation.json"} </w:instrText>
      </w:r>
      <w:r w:rsidR="00FE2449">
        <w:rPr>
          <w:sz w:val="22"/>
          <w:szCs w:val="22"/>
        </w:rPr>
        <w:fldChar w:fldCharType="separate"/>
      </w:r>
      <w:r w:rsidR="00FE2449">
        <w:rPr>
          <w:noProof/>
          <w:sz w:val="22"/>
          <w:szCs w:val="22"/>
        </w:rPr>
        <w:t>(Cooke et al., 1976)</w:t>
      </w:r>
      <w:r w:rsidR="00FE2449">
        <w:rPr>
          <w:sz w:val="22"/>
          <w:szCs w:val="22"/>
        </w:rPr>
        <w:fldChar w:fldCharType="end"/>
      </w:r>
      <w:r w:rsidR="00FE2449">
        <w:rPr>
          <w:sz w:val="22"/>
          <w:szCs w:val="22"/>
        </w:rPr>
        <w:t xml:space="preserve"> criticized previous stomatal models that used beam theory, pointing out that beam theory assumes one dimension being of </w:t>
      </w:r>
      <w:r w:rsidR="009C73E5">
        <w:rPr>
          <w:sz w:val="22"/>
          <w:szCs w:val="22"/>
        </w:rPr>
        <w:t xml:space="preserve">far </w:t>
      </w:r>
      <w:r w:rsidR="00FE2449">
        <w:rPr>
          <w:sz w:val="22"/>
          <w:szCs w:val="22"/>
        </w:rPr>
        <w:t xml:space="preserve">greater length than the others. They proposed that orthographic shell models should be used for stomatal </w:t>
      </w:r>
      <w:proofErr w:type="gramStart"/>
      <w:r w:rsidR="00FE2449">
        <w:rPr>
          <w:sz w:val="22"/>
          <w:szCs w:val="22"/>
        </w:rPr>
        <w:t>modelling, and</w:t>
      </w:r>
      <w:proofErr w:type="gramEnd"/>
      <w:r w:rsidR="00FE2449">
        <w:rPr>
          <w:sz w:val="22"/>
          <w:szCs w:val="22"/>
        </w:rPr>
        <w:t xml:space="preserve"> introduced a Finite Element Method (FEM) model, that allowed for influence from the surrounding cells, </w:t>
      </w:r>
      <w:r w:rsidR="009C73E5">
        <w:rPr>
          <w:sz w:val="22"/>
          <w:szCs w:val="22"/>
        </w:rPr>
        <w:t>along with</w:t>
      </w:r>
      <w:r w:rsidR="00FE2449">
        <w:rPr>
          <w:sz w:val="22"/>
          <w:szCs w:val="22"/>
        </w:rPr>
        <w:t xml:space="preserve"> changes to the cross-sectional shape. They also concluded that a thicker ventral wall wasn’t necessary, and that whilst</w:t>
      </w:r>
      <w:r w:rsidR="00E74005">
        <w:rPr>
          <w:sz w:val="22"/>
          <w:szCs w:val="22"/>
        </w:rPr>
        <w:t xml:space="preserve"> radial stiffening did play a role, it wasn’t in the way suggested by Aylor. Rather, radial stiffening enhanced the impact of the pressure difference between the guard cell and the subsidiary cells, resulting in cross-sectional shape changes that moved from oval when inflated, to a deformed oval shape, out of the plane of the leaf axis. </w:t>
      </w:r>
      <w:r w:rsidR="00232A7F">
        <w:rPr>
          <w:sz w:val="22"/>
          <w:szCs w:val="22"/>
        </w:rPr>
        <w:t xml:space="preserve">The importance of wall thickness was highlighted by </w:t>
      </w:r>
      <w:r w:rsidR="00232A7F">
        <w:rPr>
          <w:sz w:val="22"/>
          <w:szCs w:val="22"/>
        </w:rPr>
        <w:fldChar w:fldCharType="begin"/>
      </w:r>
      <w:r w:rsidR="00232A7F">
        <w:rPr>
          <w:sz w:val="22"/>
          <w:szCs w:val="22"/>
        </w:rPr>
        <w:instrText xml:space="preserve"> ADDIN ZOTERO_ITEM CSL_CITATION {"citationID":"60RtJmE3","properties":{"formattedCitation":"(Sharpe &amp; Wu, 1978)","plainCitation":"(Sharpe &amp; Wu, 1978)","noteIndex":0},"citationItems":[{"id":3338,"uris":["http://zotero.org/users/299961/items/2698PNN5"],"itemData":{"id":3338,"type":"article-journal","abstract":"Abstract.\n              The determination of guard cell lumen volume in relation to its geometric characteristic dimensions is presented. Stomatal movements can be divided into two stages:\n              Spannungsphase\n              and motorphase, with a transition point between them. During the\n              Spannungsphase\n              movement, the lumen volume increases as a result of the change in its geometric shape. At transition, the lumen volume is approximated by a portion of a circular tube with a rounded cross</w:instrText>
      </w:r>
      <w:r w:rsidR="00232A7F">
        <w:rPr>
          <w:rFonts w:ascii="Cambria Math" w:hAnsi="Cambria Math" w:cs="Cambria Math"/>
          <w:sz w:val="22"/>
          <w:szCs w:val="22"/>
        </w:rPr>
        <w:instrText>‐</w:instrText>
      </w:r>
      <w:r w:rsidR="00232A7F">
        <w:rPr>
          <w:sz w:val="22"/>
          <w:szCs w:val="22"/>
        </w:rPr>
        <w:instrText>section. The volume increase during the motorphase comes from three different sources: expansion by wall stretching, increasing inner cross</w:instrText>
      </w:r>
      <w:r w:rsidR="00232A7F">
        <w:rPr>
          <w:rFonts w:ascii="Cambria Math" w:hAnsi="Cambria Math" w:cs="Cambria Math"/>
          <w:sz w:val="22"/>
          <w:szCs w:val="22"/>
        </w:rPr>
        <w:instrText>‐</w:instrText>
      </w:r>
      <w:r w:rsidR="00232A7F">
        <w:rPr>
          <w:sz w:val="22"/>
          <w:szCs w:val="22"/>
        </w:rPr>
        <w:instrText>section of a guard cell by wall thinning, and polar expansion. The relationship between the aperture and the lumen volume is also established. The results set forth in this geometric model are essential to studies of the pressure interaction between a guard cell and its surrounding epidermal cells.","container-title":"Plant, Cell &amp; Environment","DOI":"10.1111/j.1365-3040.1978.tb02038.x","ISSN":"0140-7791, 1365-3040","issue":"4","journalAbbreviation":"Plant Cell &amp; Environment","language":"en","license":"http://onlinelibrary.wiley.com/termsAndConditions#vor","page":"259-268","source":"DOI.org (Crossref)","title":"Stomatal mechanics: volume changes during opening","title-short":"Stomatal mechanics","volume":"1","author":[{"family":"Sharpe","given":"Peter J. H."},{"family":"Wu","given":"Hsin</w:instrText>
      </w:r>
      <w:r w:rsidR="00232A7F">
        <w:rPr>
          <w:rFonts w:ascii="Cambria Math" w:hAnsi="Cambria Math" w:cs="Cambria Math"/>
          <w:sz w:val="22"/>
          <w:szCs w:val="22"/>
        </w:rPr>
        <w:instrText>‐</w:instrText>
      </w:r>
      <w:r w:rsidR="00232A7F">
        <w:rPr>
          <w:sz w:val="22"/>
          <w:szCs w:val="22"/>
        </w:rPr>
        <w:instrText xml:space="preserve">I"}],"issued":{"date-parts":[["1978",12]]}}}],"schema":"https://github.com/citation-style-language/schema/raw/master/csl-citation.json"} </w:instrText>
      </w:r>
      <w:r w:rsidR="00232A7F">
        <w:rPr>
          <w:sz w:val="22"/>
          <w:szCs w:val="22"/>
        </w:rPr>
        <w:fldChar w:fldCharType="separate"/>
      </w:r>
      <w:r w:rsidR="00232A7F">
        <w:rPr>
          <w:noProof/>
          <w:sz w:val="22"/>
          <w:szCs w:val="22"/>
        </w:rPr>
        <w:t>(Sharpe &amp; Wu, 1978)</w:t>
      </w:r>
      <w:r w:rsidR="00232A7F">
        <w:rPr>
          <w:sz w:val="22"/>
          <w:szCs w:val="22"/>
        </w:rPr>
        <w:fldChar w:fldCharType="end"/>
      </w:r>
      <w:r w:rsidR="00232A7F">
        <w:rPr>
          <w:sz w:val="22"/>
          <w:szCs w:val="22"/>
        </w:rPr>
        <w:t>, along with the difference in guard cell shape towards the poles of the stomata, and again, the influence of the cross sectional shape.</w:t>
      </w:r>
    </w:p>
    <w:p w14:paraId="6A44D9F0" w14:textId="77777777" w:rsidR="009C73E5" w:rsidRDefault="009C73E5" w:rsidP="00AC3F34">
      <w:pPr>
        <w:rPr>
          <w:sz w:val="22"/>
          <w:szCs w:val="22"/>
        </w:rPr>
      </w:pPr>
    </w:p>
    <w:p w14:paraId="68383383" w14:textId="22B6D0FF" w:rsidR="009C73E5" w:rsidRDefault="009C73E5" w:rsidP="00AC3F34">
      <w:pPr>
        <w:rPr>
          <w:sz w:val="22"/>
          <w:szCs w:val="22"/>
        </w:rPr>
      </w:pPr>
      <w:r>
        <w:rPr>
          <w:sz w:val="22"/>
          <w:szCs w:val="22"/>
        </w:rPr>
        <w:t xml:space="preserve">More recent studies have concluded that cell wall properties, rather than guard cell geometry, determine stomata function in kidney-shaped cells. Unlike the dumbbell-shaped guard cells found in grasses, where geometry has been shown to determine opening efficiency </w:t>
      </w:r>
      <w:r>
        <w:rPr>
          <w:sz w:val="22"/>
          <w:szCs w:val="22"/>
        </w:rPr>
        <w:fldChar w:fldCharType="begin"/>
      </w:r>
      <w:r>
        <w:rPr>
          <w:sz w:val="22"/>
          <w:szCs w:val="22"/>
        </w:rPr>
        <w:instrText xml:space="preserve"> ADDIN ZOTERO_ITEM CSL_CITATION {"citationID":"bs7l4qzz","properties":{"formattedCitation":"(Durney et al., 2023)","plainCitation":"(Durney et al., 2023)","noteIndex":0},"citationItems":[{"id":3179,"uris":["http://zotero.org/groups/5587676/items/WS7FWLM9"],"itemData":{"id":3179,"type":"article-journal","abstract":"Stomata are controllable micropores formed between two adjacent guard cells (GCs) that regulate gas ﬂow across the plant surface.1 Grasses, among the most successful organisms on the planet and the main food crops for humanity, have GCs ﬂanked by specialized lateral subsidiary cells (SCs).2–4 SCs improve performance by acting as a local pool of ions and metabolites to drive changes in turgor pressure within the GCs that open/close the stomatal pore.4–8 The 4-celled complex also involves distinctive changes in geometry, having dumbbell-shaped GCs compared with typical kidney-shaped stomata.2,4,9 However, the degree to which this distinctive geometry contributes to improved stomatal performance, and the underlying mechanism, remains unclear. To address this question, we created a ﬁnite element method (FEM) model of a grass stomatal complex that successfully captures experimentally observed pore opening/closure. Exploration of the model, including in silico and experimental mutant analyses, supports the importance of a reciprocal pressure system between GCs and SCs for effective stomatal function, with SCs functioning as springs to restrain lateral GC movement. Our results show that SCs are not essential but lead to a more responsive system. In addition, we show that GC wall anisotropy is not required for grass stomatal function (in contrast to kidney-shaped GCs10) but that a relatively thick GC rod region is needed to enhance pore opening. Our results demonstrate that a speciﬁc cellular geometry and associated mechanical properties are required for the effective functioning of grass stomata.","container-title":"Current Biology","DOI":"10.1016/j.cub.2023.05.051","ISSN":"09609822","issue":"13","journalAbbreviation":"Current Biology","language":"en","license":"All rights reserved","page":"2814-2822.e4","source":"DOI.org (Crossref)","title":"Grasses exploit geometry to achieve improved guard cell dynamics","volume":"33","author":[{"family":"Durney","given":"Clinton H."},{"family":"Wilson","given":"Matthew J."},{"family":"McGregor","given":"Shauni"},{"family":"Armand","given":"Jodie"},{"family":"Smith","given":"Richard S."},{"family":"Gray","given":"Julie E."},{"family":"Morris","given":"Richard J."},{"family":"Fleming","given":"Andrew J."}],"issued":{"date-parts":[["2023",7]]}}}],"schema":"https://github.com/citation-style-language/schema/raw/master/csl-citation.json"} </w:instrText>
      </w:r>
      <w:r>
        <w:rPr>
          <w:sz w:val="22"/>
          <w:szCs w:val="22"/>
        </w:rPr>
        <w:fldChar w:fldCharType="separate"/>
      </w:r>
      <w:r>
        <w:rPr>
          <w:noProof/>
          <w:sz w:val="22"/>
          <w:szCs w:val="22"/>
        </w:rPr>
        <w:t>(Durney et al., 2023)</w:t>
      </w:r>
      <w:r>
        <w:rPr>
          <w:sz w:val="22"/>
          <w:szCs w:val="22"/>
        </w:rPr>
        <w:fldChar w:fldCharType="end"/>
      </w:r>
      <w:r>
        <w:rPr>
          <w:sz w:val="22"/>
          <w:szCs w:val="22"/>
        </w:rPr>
        <w:t xml:space="preserve">, radial stiffening, and strain-stiffening was proposed to be the defining factor in kidney-shaped stomata </w:t>
      </w:r>
      <w:r>
        <w:rPr>
          <w:sz w:val="22"/>
          <w:szCs w:val="22"/>
        </w:rPr>
        <w:fldChar w:fldCharType="begin"/>
      </w:r>
      <w:r>
        <w:rPr>
          <w:sz w:val="22"/>
          <w:szCs w:val="22"/>
        </w:rPr>
        <w:instrText xml:space="preserve"> ADDIN ZOTERO_ITEM CSL_CITATION {"citationID":"tdkIb49k","properties":{"formattedCitation":"(Woolfenden et al., 2017)","plainCitation":"(Woolfenden et al., 2017)","noteIndex":0},"citationItems":[{"id":3330,"uris":["http://zotero.org/users/299961/items/9ZIL5MXS"],"itemData":{"id":3330,"type":"article-journal","abstract":"Summary\n            Guard cells dynamically adjust their shape in order to regulate photosynthetic gas exchange, respiration rates and defend against pathogen entry. Cell shape changes are determined by the interplay of cell wall material properties and turgor pressure. To investigate this relationship between turgor pressure, cell wall properties and cell shape, we focused on kidney</w:instrText>
      </w:r>
      <w:r>
        <w:rPr>
          <w:rFonts w:ascii="Cambria Math" w:hAnsi="Cambria Math" w:cs="Cambria Math"/>
          <w:sz w:val="22"/>
          <w:szCs w:val="22"/>
        </w:rPr>
        <w:instrText>‐</w:instrText>
      </w:r>
      <w:r>
        <w:rPr>
          <w:sz w:val="22"/>
          <w:szCs w:val="22"/>
        </w:rPr>
        <w:instrText>shaped stomata and developed a biomechanical model of a guard cell pair. Treating the cell wall as a composite of the pectin</w:instrText>
      </w:r>
      <w:r>
        <w:rPr>
          <w:rFonts w:ascii="Cambria Math" w:hAnsi="Cambria Math" w:cs="Cambria Math"/>
          <w:sz w:val="22"/>
          <w:szCs w:val="22"/>
        </w:rPr>
        <w:instrText>‐</w:instrText>
      </w:r>
      <w:r>
        <w:rPr>
          <w:sz w:val="22"/>
          <w:szCs w:val="22"/>
        </w:rPr>
        <w:instrText>rich cell wall matrix embedded with cellulose microfibrils, we show that strong, circumferentially oriented fibres are critical for opening. We find that the opening dynamics are dictated by the mechanical stress response of the cell wall matrix, and as the turgor rises, the pectinaceous matrix stiffens. We validate these predictions with stomatal opening experiments in selected Arabidopsis cell wall mutants. Thus, using a computational framework that combines a 3D biomechanical model with parameter optimization, we demonstrate how to exploit subtle shape changes to infer cell wall material properties. Our findings reveal that proper stomatal dynamics are built on two key properties of the cell wall, namely anisotropy in the form of hoop reinforcement and strain stiffening.\n          , \n            Significance Statement\n            We describe a computational approach for investigating guard cell dynamics, focusing on the link between turgor pressure, geometry and the material properties of the cell walls. Our results show that radially</w:instrText>
      </w:r>
      <w:r>
        <w:rPr>
          <w:rFonts w:ascii="Cambria Math" w:hAnsi="Cambria Math" w:cs="Cambria Math"/>
          <w:sz w:val="22"/>
          <w:szCs w:val="22"/>
        </w:rPr>
        <w:instrText>‐</w:instrText>
      </w:r>
      <w:r>
        <w:rPr>
          <w:sz w:val="22"/>
          <w:szCs w:val="22"/>
        </w:rPr>
        <w:instrText xml:space="preserve">arranged fibers are critical for stomatal opening and that the cell wall matrix stiffens as turgor rises.","container-title":"The Plant Journal","DOI":"10.1111/tpj.13640","ISSN":"0960-7412, 1365-313X","issue":"1","journalAbbreviation":"The Plant Journal","language":"en","page":"5-18","source":"DOI.org (Crossref)","title":"A computational approach for inferring the cell wall properties that govern guard cell dynamics","volume":"92","author":[{"family":"Woolfenden","given":"Hugh C."},{"family":"Bourdais","given":"Gildas"},{"family":"Kopischke","given":"Michaela"},{"family":"Miedes","given":"Eva"},{"family":"Molina","given":"Antonio"},{"family":"Robatzek","given":"Silke"},{"family":"Morris","given":"Richard J."}],"issued":{"date-parts":[["2017",10]]}}}],"schema":"https://github.com/citation-style-language/schema/raw/master/csl-citation.json"} </w:instrText>
      </w:r>
      <w:r>
        <w:rPr>
          <w:sz w:val="22"/>
          <w:szCs w:val="22"/>
        </w:rPr>
        <w:fldChar w:fldCharType="separate"/>
      </w:r>
      <w:r>
        <w:rPr>
          <w:noProof/>
          <w:sz w:val="22"/>
          <w:szCs w:val="22"/>
        </w:rPr>
        <w:t>(Woolfenden et al., 2017)</w:t>
      </w:r>
      <w:r>
        <w:rPr>
          <w:sz w:val="22"/>
          <w:szCs w:val="22"/>
        </w:rPr>
        <w:fldChar w:fldCharType="end"/>
      </w:r>
      <w:r>
        <w:rPr>
          <w:sz w:val="22"/>
          <w:szCs w:val="22"/>
        </w:rPr>
        <w:t xml:space="preserve">. Indeed, it was shown that without these constraints, these stomata would be unable to open at all – rather, inflation would close them. </w:t>
      </w:r>
      <w:r w:rsidR="00232A7F">
        <w:rPr>
          <w:sz w:val="22"/>
          <w:szCs w:val="22"/>
        </w:rPr>
        <w:t xml:space="preserve">The main mechanism for the opening of the stomata was concluded to be the elongation of the </w:t>
      </w:r>
      <w:r w:rsidR="00232A7F">
        <w:rPr>
          <w:sz w:val="22"/>
          <w:szCs w:val="22"/>
        </w:rPr>
        <w:lastRenderedPageBreak/>
        <w:t xml:space="preserve">guard cells </w:t>
      </w:r>
      <w:r w:rsidR="00232A7F">
        <w:rPr>
          <w:sz w:val="22"/>
          <w:szCs w:val="22"/>
        </w:rPr>
        <w:fldChar w:fldCharType="begin"/>
      </w:r>
      <w:r w:rsidR="00232A7F">
        <w:rPr>
          <w:sz w:val="22"/>
          <w:szCs w:val="22"/>
        </w:rPr>
        <w:instrText xml:space="preserve"> ADDIN ZOTERO_ITEM CSL_CITATION {"citationID":"wwUtzNwC","properties":{"formattedCitation":"(Meckel et al., 2007; Woolfenden et al., 2017)","plainCitation":"(Meckel et al., 2007; Woolfenden et al., 2017)","noteIndex":0},"citationItems":[{"id":3339,"uris":["http://zotero.org/users/299961/items/ATGGERXK"],"itemData":{"id":3339,"type":"article-journal","container-title":"Biophysical Journal","issue":"3","note":"publisher: Elsevier","page":"1072–1080","source":"Google Scholar","title":"Guard cells elongate: relationship of volume and surface area during stomatal movement","title-short":"Guard cells elongate","volume":"92","author":[{"family":"Meckel","given":"Tobias"},{"family":"Gall","given":"Lars"},{"family":"Semrau","given":"Stefan"},{"family":"Homann","given":"Ulrike"},{"family":"Thiel","given":"Gerhard"}],"issued":{"date-parts":[["2007"]]}}},{"id":3330,"uris":["http://zotero.org/users/299961/items/9ZIL5MXS"],"itemData":{"id":3330,"type":"article-journal","abstract":"Summary\n            Guard cells dynamically adjust their shape in order to regulate photosynthetic gas exchange, respiration rates and defend against pathogen entry. Cell shape changes are determined by the interplay of cell wall material properties and turgor pressure. To investigate this relationship between turgor pressure, cell wall properties and cell shape, we focused on kidney</w:instrText>
      </w:r>
      <w:r w:rsidR="00232A7F">
        <w:rPr>
          <w:rFonts w:ascii="Cambria Math" w:hAnsi="Cambria Math" w:cs="Cambria Math"/>
          <w:sz w:val="22"/>
          <w:szCs w:val="22"/>
        </w:rPr>
        <w:instrText>‐</w:instrText>
      </w:r>
      <w:r w:rsidR="00232A7F">
        <w:rPr>
          <w:sz w:val="22"/>
          <w:szCs w:val="22"/>
        </w:rPr>
        <w:instrText>shaped stomata and developed a biomechanical model of a guard cell pair. Treating the cell wall as a composite of the pectin</w:instrText>
      </w:r>
      <w:r w:rsidR="00232A7F">
        <w:rPr>
          <w:rFonts w:ascii="Cambria Math" w:hAnsi="Cambria Math" w:cs="Cambria Math"/>
          <w:sz w:val="22"/>
          <w:szCs w:val="22"/>
        </w:rPr>
        <w:instrText>‐</w:instrText>
      </w:r>
      <w:r w:rsidR="00232A7F">
        <w:rPr>
          <w:sz w:val="22"/>
          <w:szCs w:val="22"/>
        </w:rPr>
        <w:instrText>rich cell wall matrix embedded with cellulose microfibrils, we show that strong, circumferentially oriented fibres are critical for opening. We find that the opening dynamics are dictated by the mechanical stress response of the cell wall matrix, and as the turgor rises, the pectinaceous matrix stiffens. We validate these predictions with stomatal opening experiments in selected Arabidopsis cell wall mutants. Thus, using a computational framework that combines a 3D biomechanical model with parameter optimization, we demonstrate how to exploit subtle shape changes to infer cell wall material properties. Our findings reveal that proper stomatal dynamics are built on two key properties of the cell wall, namely anisotropy in the form of hoop reinforcement and strain stiffening.\n          , \n            Significance Statement\n            We describe a computational approach for investigating guard cell dynamics, focusing on the link between turgor pressure, geometry and the material properties of the cell walls. Our results show that radially</w:instrText>
      </w:r>
      <w:r w:rsidR="00232A7F">
        <w:rPr>
          <w:rFonts w:ascii="Cambria Math" w:hAnsi="Cambria Math" w:cs="Cambria Math"/>
          <w:sz w:val="22"/>
          <w:szCs w:val="22"/>
        </w:rPr>
        <w:instrText>‐</w:instrText>
      </w:r>
      <w:r w:rsidR="00232A7F">
        <w:rPr>
          <w:sz w:val="22"/>
          <w:szCs w:val="22"/>
        </w:rPr>
        <w:instrText xml:space="preserve">arranged fibers are critical for stomatal opening and that the cell wall matrix stiffens as turgor rises.","container-title":"The Plant Journal","DOI":"10.1111/tpj.13640","ISSN":"0960-7412, 1365-313X","issue":"1","journalAbbreviation":"The Plant Journal","language":"en","page":"5-18","source":"DOI.org (Crossref)","title":"A computational approach for inferring the cell wall properties that govern guard cell dynamics","volume":"92","author":[{"family":"Woolfenden","given":"Hugh C."},{"family":"Bourdais","given":"Gildas"},{"family":"Kopischke","given":"Michaela"},{"family":"Miedes","given":"Eva"},{"family":"Molina","given":"Antonio"},{"family":"Robatzek","given":"Silke"},{"family":"Morris","given":"Richard J."}],"issued":{"date-parts":[["2017",10]]}}}],"schema":"https://github.com/citation-style-language/schema/raw/master/csl-citation.json"} </w:instrText>
      </w:r>
      <w:r w:rsidR="00232A7F">
        <w:rPr>
          <w:sz w:val="22"/>
          <w:szCs w:val="22"/>
        </w:rPr>
        <w:fldChar w:fldCharType="separate"/>
      </w:r>
      <w:r w:rsidR="00232A7F">
        <w:rPr>
          <w:noProof/>
          <w:sz w:val="22"/>
          <w:szCs w:val="22"/>
        </w:rPr>
        <w:t>(Meckel et al., 2007; Woolfenden et al., 2017)</w:t>
      </w:r>
      <w:r w:rsidR="00232A7F">
        <w:rPr>
          <w:sz w:val="22"/>
          <w:szCs w:val="22"/>
        </w:rPr>
        <w:fldChar w:fldCharType="end"/>
      </w:r>
      <w:r w:rsidR="00232A7F">
        <w:rPr>
          <w:sz w:val="22"/>
          <w:szCs w:val="22"/>
        </w:rPr>
        <w:t xml:space="preserve">. This requires radial stiffening, in order to ensure the guard cells lengthen more than they expand, plus this effect can be increased by polar pinning </w:t>
      </w:r>
      <w:r>
        <w:rPr>
          <w:sz w:val="22"/>
          <w:szCs w:val="22"/>
        </w:rPr>
        <w:fldChar w:fldCharType="begin"/>
      </w:r>
      <w:r>
        <w:rPr>
          <w:sz w:val="22"/>
          <w:szCs w:val="22"/>
        </w:rPr>
        <w:instrText xml:space="preserve"> ADDIN ZOTERO_ITEM CSL_CITATION {"citationID":"WEXPTjfi","properties":{"formattedCitation":"(Carter et al., 2017)","plainCitation":"(Carter et al., 2017)","noteIndex":0},"citationItems":[{"id":3329,"uris":["http://zotero.org/users/299961/items/AMYV6PMG"],"itemData":{"id":3329,"type":"article-journal","container-title":"Current Biology","issue":"19","note":"publisher: Elsevier","page":"2974–2983","source":"Google Scholar","title":"Stomatal opening involves polar, not radial, stiffening of guard cells","volume":"27","author":[{"family":"Carter","given":"Ross"},{"family":"Woolfenden","given":"Hugh"},{"family":"Baillie","given":"Alice"},{"family":"Amsbury","given":"Sam"},{"family":"Carroll","given":"Sarah"},{"family":"Healicon","given":"Eleanor"},{"family":"Sovatzoglou","given":"Spyros"},{"family":"Braybrook","given":"Sioban"},{"family":"Gray","given":"Julie E."},{"family":"Hobbs","given":"Jamie"}],"issued":{"date-parts":[["2017"]]}}}],"schema":"https://github.com/citation-style-language/schema/raw/master/csl-citation.json"} </w:instrText>
      </w:r>
      <w:r>
        <w:rPr>
          <w:sz w:val="22"/>
          <w:szCs w:val="22"/>
        </w:rPr>
        <w:fldChar w:fldCharType="separate"/>
      </w:r>
      <w:r>
        <w:rPr>
          <w:noProof/>
          <w:sz w:val="22"/>
          <w:szCs w:val="22"/>
        </w:rPr>
        <w:t>(Carter et al., 2017)</w:t>
      </w:r>
      <w:r>
        <w:rPr>
          <w:sz w:val="22"/>
          <w:szCs w:val="22"/>
        </w:rPr>
        <w:fldChar w:fldCharType="end"/>
      </w:r>
      <w:r>
        <w:rPr>
          <w:sz w:val="22"/>
          <w:szCs w:val="22"/>
        </w:rPr>
        <w:t xml:space="preserve">. A full review of the mechanisms surrounding stomatal opening, and the models used to investigate them can be found in </w:t>
      </w:r>
      <w:r>
        <w:rPr>
          <w:sz w:val="22"/>
          <w:szCs w:val="22"/>
        </w:rPr>
        <w:fldChar w:fldCharType="begin"/>
      </w:r>
      <w:r>
        <w:rPr>
          <w:sz w:val="22"/>
          <w:szCs w:val="22"/>
        </w:rPr>
        <w:instrText xml:space="preserve"> ADDIN ZOTERO_ITEM CSL_CITATION {"citationID":"wvJc11hg","properties":{"formattedCitation":"(Woolfenden et al., 2018)","plainCitation":"(Woolfenden et al., 2018)","noteIndex":0},"citationItems":[{"id":3327,"uris":["http://zotero.org/users/299961/items/YAMUPUFF"],"itemData":{"id":3327,"type":"article-journal","container-title":"Trends in Plant Science","issue":"9","note":"publisher: Elsevier","page":"822–832","source":"Google Scholar","title":"Models and mechanisms of stomatal mechanics","volume":"23","author":[{"family":"Woolfenden","given":"Hugh C."},{"family":"Baillie","given":"Alice L."},{"family":"Gray","given":"Julie E."},{"family":"Hobbs","given":"Jamie K."},{"family":"Morris","given":"Richard J."},{"family":"Fleming","given":"Andrew J."}],"issued":{"date-parts":[["2018"]]}}}],"schema":"https://github.com/citation-style-language/schema/raw/master/csl-citation.json"} </w:instrText>
      </w:r>
      <w:r>
        <w:rPr>
          <w:sz w:val="22"/>
          <w:szCs w:val="22"/>
        </w:rPr>
        <w:fldChar w:fldCharType="separate"/>
      </w:r>
      <w:r>
        <w:rPr>
          <w:noProof/>
          <w:sz w:val="22"/>
          <w:szCs w:val="22"/>
        </w:rPr>
        <w:t>(Woolfenden et al., 2018)</w:t>
      </w:r>
      <w:r>
        <w:rPr>
          <w:sz w:val="22"/>
          <w:szCs w:val="22"/>
        </w:rPr>
        <w:fldChar w:fldCharType="end"/>
      </w:r>
      <w:r>
        <w:rPr>
          <w:sz w:val="22"/>
          <w:szCs w:val="22"/>
        </w:rPr>
        <w:t>.</w:t>
      </w:r>
    </w:p>
    <w:p w14:paraId="01FD84F5" w14:textId="77777777" w:rsidR="008743C8" w:rsidRDefault="008743C8" w:rsidP="00AC3F34">
      <w:pPr>
        <w:rPr>
          <w:sz w:val="22"/>
          <w:szCs w:val="22"/>
        </w:rPr>
      </w:pPr>
    </w:p>
    <w:p w14:paraId="46FCD18B" w14:textId="176C8D37" w:rsidR="00CD3BDD" w:rsidRPr="00AC3F34" w:rsidRDefault="00156D06" w:rsidP="00AC3F34">
      <w:pPr>
        <w:rPr>
          <w:sz w:val="22"/>
          <w:szCs w:val="22"/>
        </w:rPr>
      </w:pPr>
      <w:r>
        <w:rPr>
          <w:sz w:val="22"/>
          <w:szCs w:val="22"/>
        </w:rPr>
        <w:t xml:space="preserve">Here, we use meshes created from 3D confocal images of onion stomata to revisit </w:t>
      </w:r>
      <w:r w:rsidR="00232A7F">
        <w:rPr>
          <w:sz w:val="22"/>
          <w:szCs w:val="22"/>
        </w:rPr>
        <w:t>the influence of guard cell geometry on stomatal opening</w:t>
      </w:r>
      <w:r>
        <w:rPr>
          <w:sz w:val="22"/>
          <w:szCs w:val="22"/>
        </w:rPr>
        <w:t xml:space="preserve">. We show that taking account of realistic guard cell geometry allows for guard cell inflation to open the stomatal pores, even in the absence of constraints such as cell wall anisotropic stiffness, contrary to previous studies </w:t>
      </w:r>
      <w:r>
        <w:rPr>
          <w:sz w:val="22"/>
          <w:szCs w:val="22"/>
        </w:rPr>
        <w:fldChar w:fldCharType="begin"/>
      </w:r>
      <w:r>
        <w:rPr>
          <w:sz w:val="22"/>
          <w:szCs w:val="22"/>
        </w:rPr>
        <w:instrText xml:space="preserve"> ADDIN ZOTERO_ITEM CSL_CITATION {"citationID":"YXR2IiHn","properties":{"formattedCitation":"(Sharpe &amp; Wu, 1978; Woolfenden et al., 2017)","plainCitation":"(Sharpe &amp; Wu, 1978; Woolfenden et al., 2017)","noteIndex":0},"citationItems":[{"id":3338,"uris":["http://zotero.org/users/299961/items/2698PNN5"],"itemData":{"id":3338,"type":"article-journal","abstract":"Abstract.\n              The determination of guard cell lumen volume in relation to its geometric characteristic dimensions is presented. Stomatal movements can be divided into two stages:\n              Spannungsphase\n              and motorphase, with a transition point between them. During the\n              Spannungsphase\n              movement, the lumen volume increases as a result of the change in its geometric shape. At transition, the lumen volume is approximated by a portion of a circular tube with a rounded cross</w:instrText>
      </w:r>
      <w:r>
        <w:rPr>
          <w:rFonts w:ascii="Cambria Math" w:hAnsi="Cambria Math" w:cs="Cambria Math"/>
          <w:sz w:val="22"/>
          <w:szCs w:val="22"/>
        </w:rPr>
        <w:instrText>‐</w:instrText>
      </w:r>
      <w:r>
        <w:rPr>
          <w:sz w:val="22"/>
          <w:szCs w:val="22"/>
        </w:rPr>
        <w:instrText>section. The volume increase during the motorphase comes from three different sources: expansion by wall stretching, increasing inner cross</w:instrText>
      </w:r>
      <w:r>
        <w:rPr>
          <w:rFonts w:ascii="Cambria Math" w:hAnsi="Cambria Math" w:cs="Cambria Math"/>
          <w:sz w:val="22"/>
          <w:szCs w:val="22"/>
        </w:rPr>
        <w:instrText>‐</w:instrText>
      </w:r>
      <w:r>
        <w:rPr>
          <w:sz w:val="22"/>
          <w:szCs w:val="22"/>
        </w:rPr>
        <w:instrText>section of a guard cell by wall thinning, and polar expansion. The relationship between the aperture and the lumen volume is also established. The results set forth in this geometric model are essential to studies of the pressure interaction between a guard cell and its surrounding epidermal cells.","container-title":"Plant, Cell &amp; Environment","DOI":"10.1111/j.1365-3040.1978.tb02038.x","ISSN":"0140-7791, 1365-3040","issue":"4","journalAbbreviation":"Plant Cell &amp; Environment","language":"en","license":"http://onlinelibrary.wiley.com/termsAndConditions#vor","page":"259-268","source":"DOI.org (Crossref)","title":"Stomatal mechanics: volume changes during opening","title-short":"Stomatal mechanics","volume":"1","author":[{"family":"Sharpe","given":"Peter J. H."},{"family":"Wu","given":"Hsin</w:instrText>
      </w:r>
      <w:r>
        <w:rPr>
          <w:rFonts w:ascii="Cambria Math" w:hAnsi="Cambria Math" w:cs="Cambria Math"/>
          <w:sz w:val="22"/>
          <w:szCs w:val="22"/>
        </w:rPr>
        <w:instrText>‐</w:instrText>
      </w:r>
      <w:r>
        <w:rPr>
          <w:sz w:val="22"/>
          <w:szCs w:val="22"/>
        </w:rPr>
        <w:instrText>I"}],"issued":{"date-parts":[["1978",12]]}}},{"id":3330,"uris":["http://zotero.org/users/299961/items/9ZIL5MXS"],"itemData":{"id":3330,"type":"article-journal","abstract":"Summary\n            Guard cells dynamically adjust their shape in order to regulate photosynthetic gas exchange, respiration rates and defend against pathogen entry. Cell shape changes are determined by the interplay of cell wall material properties and turgor pressure. To investigate this relationship between turgor pressure, cell wall properties and cell shape, we focused on kidney</w:instrText>
      </w:r>
      <w:r>
        <w:rPr>
          <w:rFonts w:ascii="Cambria Math" w:hAnsi="Cambria Math" w:cs="Cambria Math"/>
          <w:sz w:val="22"/>
          <w:szCs w:val="22"/>
        </w:rPr>
        <w:instrText>‐</w:instrText>
      </w:r>
      <w:r>
        <w:rPr>
          <w:sz w:val="22"/>
          <w:szCs w:val="22"/>
        </w:rPr>
        <w:instrText>shaped stomata and developed a biomechanical model of a guard cell pair. Treating the cell wall as a composite of the pectin</w:instrText>
      </w:r>
      <w:r>
        <w:rPr>
          <w:rFonts w:ascii="Cambria Math" w:hAnsi="Cambria Math" w:cs="Cambria Math"/>
          <w:sz w:val="22"/>
          <w:szCs w:val="22"/>
        </w:rPr>
        <w:instrText>‐</w:instrText>
      </w:r>
      <w:r>
        <w:rPr>
          <w:sz w:val="22"/>
          <w:szCs w:val="22"/>
        </w:rPr>
        <w:instrText>rich cell wall matrix embedded with cellulose microfibrils, we show that strong, circumferentially oriented fibres are critical for opening. We find that the opening dynamics are dictated by the mechanical stress response of the cell wall matrix, and as the turgor rises, the pectinaceous matrix stiffens. We validate these predictions with stomatal opening experiments in selected Arabidopsis cell wall mutants. Thus, using a computational framework that combines a 3D biomechanical model with parameter optimization, we demonstrate how to exploit subtle shape changes to infer cell wall material properties. Our findings reveal that proper stomatal dynamics are built on two key properties of the cell wall, namely anisotropy in the form of hoop reinforcement and strain stiffening.\n          , \n            Significance Statement\n            We describe a computational approach for investigating guard cell dynamics, focusing on the link between turgor pressure, geometry and the material properties of the cell walls. Our results show that radially</w:instrText>
      </w:r>
      <w:r>
        <w:rPr>
          <w:rFonts w:ascii="Cambria Math" w:hAnsi="Cambria Math" w:cs="Cambria Math"/>
          <w:sz w:val="22"/>
          <w:szCs w:val="22"/>
        </w:rPr>
        <w:instrText>‐</w:instrText>
      </w:r>
      <w:r>
        <w:rPr>
          <w:sz w:val="22"/>
          <w:szCs w:val="22"/>
        </w:rPr>
        <w:instrText xml:space="preserve">arranged fibers are critical for stomatal opening and that the cell wall matrix stiffens as turgor rises.","container-title":"The Plant Journal","DOI":"10.1111/tpj.13640","ISSN":"0960-7412, 1365-313X","issue":"1","journalAbbreviation":"The Plant Journal","language":"en","page":"5-18","source":"DOI.org (Crossref)","title":"A computational approach for inferring the cell wall properties that govern guard cell dynamics","volume":"92","author":[{"family":"Woolfenden","given":"Hugh C."},{"family":"Bourdais","given":"Gildas"},{"family":"Kopischke","given":"Michaela"},{"family":"Miedes","given":"Eva"},{"family":"Molina","given":"Antonio"},{"family":"Robatzek","given":"Silke"},{"family":"Morris","given":"Richard J."}],"issued":{"date-parts":[["2017",10]]}}}],"schema":"https://github.com/citation-style-language/schema/raw/master/csl-citation.json"} </w:instrText>
      </w:r>
      <w:r>
        <w:rPr>
          <w:sz w:val="22"/>
          <w:szCs w:val="22"/>
        </w:rPr>
        <w:fldChar w:fldCharType="separate"/>
      </w:r>
      <w:r>
        <w:rPr>
          <w:noProof/>
          <w:sz w:val="22"/>
          <w:szCs w:val="22"/>
        </w:rPr>
        <w:t>(Sharpe &amp; Wu, 1978; Woolfenden et al., 2017)</w:t>
      </w:r>
      <w:r>
        <w:rPr>
          <w:sz w:val="22"/>
          <w:szCs w:val="22"/>
        </w:rPr>
        <w:fldChar w:fldCharType="end"/>
      </w:r>
      <w:r>
        <w:rPr>
          <w:sz w:val="22"/>
          <w:szCs w:val="22"/>
        </w:rPr>
        <w:t>. We choose onions for our study</w:t>
      </w:r>
      <w:r w:rsidR="001A7B5D">
        <w:rPr>
          <w:sz w:val="22"/>
          <w:szCs w:val="22"/>
        </w:rPr>
        <w:t xml:space="preserve"> because</w:t>
      </w:r>
      <w:r>
        <w:rPr>
          <w:sz w:val="22"/>
          <w:szCs w:val="22"/>
        </w:rPr>
        <w:t xml:space="preserve">, </w:t>
      </w:r>
      <w:r w:rsidR="001A7B5D">
        <w:rPr>
          <w:sz w:val="22"/>
          <w:szCs w:val="22"/>
        </w:rPr>
        <w:t>a</w:t>
      </w:r>
      <w:r w:rsidR="001A7B5D" w:rsidRPr="001A7B5D">
        <w:rPr>
          <w:sz w:val="22"/>
          <w:szCs w:val="22"/>
        </w:rPr>
        <w:t xml:space="preserve">s </w:t>
      </w:r>
      <w:r w:rsidR="001A7B5D">
        <w:rPr>
          <w:sz w:val="22"/>
          <w:szCs w:val="22"/>
        </w:rPr>
        <w:t xml:space="preserve">they are </w:t>
      </w:r>
      <w:r w:rsidR="001A7B5D" w:rsidRPr="001A7B5D">
        <w:rPr>
          <w:sz w:val="22"/>
          <w:szCs w:val="22"/>
        </w:rPr>
        <w:t>monocots like grasses, they share fundamental characteristics, despite belonging to different evolutionary lineages.</w:t>
      </w:r>
      <w:r w:rsidR="001A7B5D">
        <w:rPr>
          <w:sz w:val="22"/>
          <w:szCs w:val="22"/>
        </w:rPr>
        <w:t xml:space="preserve"> An overarching aim of our study is to determine the differences between the underlying mechanisms of kidney-shaped and dumbbell-shaped stomatal opening, and how their unique geometries contribute to these differences. We find that, as for the grass stomata, geometry plays an essential part in the opening of onion stomata, in particular, the cross-sectional aspect ratio, and the thinner walls at the poles. This leads to the intriguing hypothesis that the underlying mechanisms for the onion stomata could be the same as for the grass stomata, hinting at a possible evolutionary pathway between kidney-shaped and dumbbell-shaped guard cells.  </w:t>
      </w:r>
    </w:p>
    <w:p w14:paraId="1B9836BD" w14:textId="77777777" w:rsidR="00150B91" w:rsidRDefault="00150B91" w:rsidP="00AC3F34">
      <w:pPr>
        <w:rPr>
          <w:sz w:val="22"/>
          <w:szCs w:val="22"/>
        </w:rPr>
      </w:pPr>
    </w:p>
    <w:p w14:paraId="21BA9B82" w14:textId="5F9D4444" w:rsidR="00871610" w:rsidRDefault="00871610" w:rsidP="00AC3F34">
      <w:pPr>
        <w:rPr>
          <w:rFonts w:eastAsia="Times New Roman" w:cs="Segoe UI"/>
          <w:color w:val="222222"/>
          <w:kern w:val="0"/>
          <w:sz w:val="22"/>
          <w:szCs w:val="22"/>
          <w:lang w:eastAsia="en-GB"/>
          <w14:ligatures w14:val="none"/>
        </w:rPr>
      </w:pPr>
      <w:r w:rsidRPr="00AC3F34">
        <w:rPr>
          <w:rFonts w:eastAsia="Times New Roman" w:cs="Segoe UI"/>
          <w:color w:val="222222"/>
          <w:kern w:val="0"/>
          <w:sz w:val="22"/>
          <w:szCs w:val="22"/>
          <w:lang w:eastAsia="en-GB"/>
          <w14:ligatures w14:val="none"/>
        </w:rPr>
        <w:t>Results</w:t>
      </w:r>
    </w:p>
    <w:p w14:paraId="2F48F41E" w14:textId="77777777" w:rsidR="00D039CF" w:rsidRDefault="00D039CF" w:rsidP="00AC3F34">
      <w:pPr>
        <w:rPr>
          <w:rFonts w:eastAsia="Times New Roman" w:cs="Segoe UI"/>
          <w:color w:val="222222"/>
          <w:kern w:val="0"/>
          <w:sz w:val="22"/>
          <w:szCs w:val="22"/>
          <w:lang w:eastAsia="en-GB"/>
          <w14:ligatures w14:val="none"/>
        </w:rPr>
      </w:pPr>
    </w:p>
    <w:p w14:paraId="4826BAA1" w14:textId="77777777" w:rsidR="00D039CF" w:rsidRPr="000415DD" w:rsidRDefault="00D039CF" w:rsidP="00D039CF">
      <w:pPr>
        <w:rPr>
          <w:rFonts w:eastAsia="Times New Roman" w:cs="Segoe UI"/>
          <w:b/>
          <w:bCs/>
          <w:color w:val="222222"/>
          <w:kern w:val="0"/>
          <w:sz w:val="22"/>
          <w:szCs w:val="22"/>
          <w:lang w:eastAsia="en-GB"/>
          <w14:ligatures w14:val="none"/>
        </w:rPr>
      </w:pPr>
      <w:r>
        <w:rPr>
          <w:rFonts w:eastAsia="Times New Roman" w:cs="Segoe UI"/>
          <w:b/>
          <w:bCs/>
          <w:color w:val="222222"/>
          <w:kern w:val="0"/>
          <w:sz w:val="22"/>
          <w:szCs w:val="22"/>
          <w:lang w:eastAsia="en-GB"/>
          <w14:ligatures w14:val="none"/>
        </w:rPr>
        <w:t>Models using realistic stomatal geometry open without additional constraints</w:t>
      </w:r>
    </w:p>
    <w:p w14:paraId="0C1CCE65" w14:textId="77777777" w:rsidR="00D039CF" w:rsidRDefault="00D039CF" w:rsidP="00AC3F34">
      <w:pPr>
        <w:rPr>
          <w:rFonts w:eastAsia="Times New Roman" w:cs="Segoe UI"/>
          <w:color w:val="222222"/>
          <w:kern w:val="0"/>
          <w:sz w:val="22"/>
          <w:szCs w:val="22"/>
          <w:lang w:eastAsia="en-GB"/>
          <w14:ligatures w14:val="none"/>
        </w:rPr>
      </w:pPr>
    </w:p>
    <w:p w14:paraId="6FDC748B" w14:textId="416839DA" w:rsidR="001F0471" w:rsidRDefault="00970F53" w:rsidP="00AC3F34">
      <w:pPr>
        <w:rPr>
          <w:rFonts w:eastAsia="Times New Roman" w:cs="Segoe UI"/>
          <w:color w:val="222222"/>
          <w:kern w:val="0"/>
          <w:sz w:val="22"/>
          <w:szCs w:val="22"/>
          <w:lang w:eastAsia="en-GB"/>
          <w14:ligatures w14:val="none"/>
        </w:rPr>
      </w:pPr>
      <w:r>
        <w:rPr>
          <w:rFonts w:eastAsia="Times New Roman" w:cs="Segoe UI"/>
          <w:color w:val="222222"/>
          <w:kern w:val="0"/>
          <w:sz w:val="22"/>
          <w:szCs w:val="22"/>
          <w:lang w:eastAsia="en-GB"/>
          <w14:ligatures w14:val="none"/>
        </w:rPr>
        <w:t xml:space="preserve">Kidney shaped onion stomata were visualized via confocal lightly microscopy after staining. We then segmented the image stacks using </w:t>
      </w:r>
      <w:proofErr w:type="spellStart"/>
      <w:r>
        <w:rPr>
          <w:rFonts w:eastAsia="Times New Roman" w:cs="Segoe UI"/>
          <w:color w:val="222222"/>
          <w:kern w:val="0"/>
          <w:sz w:val="22"/>
          <w:szCs w:val="22"/>
          <w:lang w:eastAsia="en-GB"/>
          <w14:ligatures w14:val="none"/>
        </w:rPr>
        <w:t>MorphoGraphX</w:t>
      </w:r>
      <w:proofErr w:type="spellEnd"/>
      <w:r>
        <w:rPr>
          <w:rFonts w:eastAsia="Times New Roman" w:cs="Segoe UI"/>
          <w:color w:val="222222"/>
          <w:kern w:val="0"/>
          <w:sz w:val="22"/>
          <w:szCs w:val="22"/>
          <w:lang w:eastAsia="en-GB"/>
          <w14:ligatures w14:val="none"/>
        </w:rPr>
        <w:t xml:space="preserve"> to create 3D guard cell meshes. To investigate stomatal opening, we used a Finite Element Method (FEM) model to simulate an internal turgor pressure increase of 2MPa, using </w:t>
      </w:r>
      <w:proofErr w:type="spellStart"/>
      <w:r>
        <w:rPr>
          <w:rFonts w:eastAsia="Times New Roman" w:cs="Segoe UI"/>
          <w:color w:val="222222"/>
          <w:kern w:val="0"/>
          <w:sz w:val="22"/>
          <w:szCs w:val="22"/>
          <w:lang w:eastAsia="en-GB"/>
          <w14:ligatures w14:val="none"/>
        </w:rPr>
        <w:t>MorphoDynamX</w:t>
      </w:r>
      <w:proofErr w:type="spellEnd"/>
      <w:r>
        <w:rPr>
          <w:rFonts w:eastAsia="Times New Roman" w:cs="Segoe UI"/>
          <w:color w:val="222222"/>
          <w:kern w:val="0"/>
          <w:sz w:val="22"/>
          <w:szCs w:val="22"/>
          <w:lang w:eastAsia="en-GB"/>
          <w14:ligatures w14:val="none"/>
        </w:rPr>
        <w:t xml:space="preserve">. Previous studies have shown the necessity of characteristics such as radial stiffening, strain-stiffening and polar </w:t>
      </w:r>
      <w:proofErr w:type="gramStart"/>
      <w:r>
        <w:rPr>
          <w:rFonts w:eastAsia="Times New Roman" w:cs="Segoe UI"/>
          <w:color w:val="222222"/>
          <w:kern w:val="0"/>
          <w:sz w:val="22"/>
          <w:szCs w:val="22"/>
          <w:lang w:eastAsia="en-GB"/>
          <w14:ligatures w14:val="none"/>
        </w:rPr>
        <w:t xml:space="preserve">pinning </w:t>
      </w:r>
      <w:r w:rsidR="00124DDE">
        <w:rPr>
          <w:rFonts w:eastAsia="Times New Roman" w:cs="Segoe UI"/>
          <w:color w:val="222222"/>
          <w:kern w:val="0"/>
          <w:sz w:val="22"/>
          <w:szCs w:val="22"/>
          <w:lang w:eastAsia="en-GB"/>
          <w14:ligatures w14:val="none"/>
        </w:rPr>
        <w:t xml:space="preserve"> </w:t>
      </w:r>
      <w:r>
        <w:rPr>
          <w:rFonts w:eastAsia="Times New Roman" w:cs="Segoe UI"/>
          <w:color w:val="222222"/>
          <w:kern w:val="0"/>
          <w:sz w:val="22"/>
          <w:szCs w:val="22"/>
          <w:lang w:eastAsia="en-GB"/>
          <w14:ligatures w14:val="none"/>
        </w:rPr>
        <w:t>for</w:t>
      </w:r>
      <w:proofErr w:type="gramEnd"/>
      <w:r>
        <w:rPr>
          <w:rFonts w:eastAsia="Times New Roman" w:cs="Segoe UI"/>
          <w:color w:val="222222"/>
          <w:kern w:val="0"/>
          <w:sz w:val="22"/>
          <w:szCs w:val="22"/>
          <w:lang w:eastAsia="en-GB"/>
          <w14:ligatures w14:val="none"/>
        </w:rPr>
        <w:t xml:space="preserve"> stomatal opening, to</w:t>
      </w:r>
      <w:r w:rsidR="00A840E5">
        <w:rPr>
          <w:rFonts w:eastAsia="Times New Roman" w:cs="Segoe UI"/>
          <w:color w:val="222222"/>
          <w:kern w:val="0"/>
          <w:sz w:val="22"/>
          <w:szCs w:val="22"/>
          <w:lang w:eastAsia="en-GB"/>
          <w14:ligatures w14:val="none"/>
        </w:rPr>
        <w:t xml:space="preserve"> our surprise, the model was able to easily and robustly simulate pore opening without the need for any </w:t>
      </w:r>
      <w:r w:rsidR="00124DDE">
        <w:rPr>
          <w:rFonts w:eastAsia="Times New Roman" w:cs="Segoe UI"/>
          <w:color w:val="222222"/>
          <w:kern w:val="0"/>
          <w:sz w:val="22"/>
          <w:szCs w:val="22"/>
          <w:lang w:eastAsia="en-GB"/>
          <w14:ligatures w14:val="none"/>
        </w:rPr>
        <w:t>additional constraints</w:t>
      </w:r>
      <w:r w:rsidR="00A840E5">
        <w:rPr>
          <w:rFonts w:eastAsia="Times New Roman" w:cs="Segoe UI"/>
          <w:color w:val="222222"/>
          <w:kern w:val="0"/>
          <w:sz w:val="22"/>
          <w:szCs w:val="22"/>
          <w:lang w:eastAsia="en-GB"/>
          <w14:ligatures w14:val="none"/>
        </w:rPr>
        <w:t xml:space="preserve"> (Fig 1a). </w:t>
      </w:r>
      <w:r w:rsidR="00124DDE">
        <w:rPr>
          <w:rFonts w:eastAsia="Times New Roman" w:cs="Segoe UI"/>
          <w:color w:val="222222"/>
          <w:kern w:val="0"/>
          <w:sz w:val="22"/>
          <w:szCs w:val="22"/>
          <w:lang w:eastAsia="en-GB"/>
          <w14:ligatures w14:val="none"/>
        </w:rPr>
        <w:t>Moreover</w:t>
      </w:r>
      <w:r w:rsidR="001F0471">
        <w:rPr>
          <w:rFonts w:eastAsia="Times New Roman" w:cs="Segoe UI"/>
          <w:color w:val="222222"/>
          <w:kern w:val="0"/>
          <w:sz w:val="22"/>
          <w:szCs w:val="22"/>
          <w:lang w:eastAsia="en-GB"/>
          <w14:ligatures w14:val="none"/>
        </w:rPr>
        <w:t xml:space="preserve">, </w:t>
      </w:r>
      <w:r w:rsidR="00124DDE">
        <w:rPr>
          <w:rFonts w:eastAsia="Times New Roman" w:cs="Segoe UI"/>
          <w:color w:val="222222"/>
          <w:kern w:val="0"/>
          <w:sz w:val="22"/>
          <w:szCs w:val="22"/>
          <w:lang w:eastAsia="en-GB"/>
          <w14:ligatures w14:val="none"/>
        </w:rPr>
        <w:t>pore opening</w:t>
      </w:r>
      <w:r w:rsidR="001F0471">
        <w:rPr>
          <w:rFonts w:eastAsia="Times New Roman" w:cs="Segoe UI"/>
          <w:color w:val="222222"/>
          <w:kern w:val="0"/>
          <w:sz w:val="22"/>
          <w:szCs w:val="22"/>
          <w:lang w:eastAsia="en-GB"/>
          <w14:ligatures w14:val="none"/>
        </w:rPr>
        <w:t xml:space="preserve"> followed the pressure vs pore area curve, as seen in </w:t>
      </w:r>
      <w:r w:rsidR="003834FD">
        <w:rPr>
          <w:rFonts w:eastAsia="Times New Roman" w:cs="Segoe UI"/>
          <w:color w:val="222222"/>
          <w:kern w:val="0"/>
          <w:sz w:val="22"/>
          <w:szCs w:val="22"/>
          <w:lang w:eastAsia="en-GB"/>
          <w14:ligatures w14:val="none"/>
        </w:rPr>
        <w:fldChar w:fldCharType="begin"/>
      </w:r>
      <w:r w:rsidR="0096193C">
        <w:rPr>
          <w:rFonts w:eastAsia="Times New Roman" w:cs="Segoe UI"/>
          <w:color w:val="222222"/>
          <w:kern w:val="0"/>
          <w:sz w:val="22"/>
          <w:szCs w:val="22"/>
          <w:lang w:eastAsia="en-GB"/>
          <w14:ligatures w14:val="none"/>
        </w:rPr>
        <w:instrText xml:space="preserve"> ADDIN ZOTERO_ITEM CSL_CITATION {"citationID":"1NDgTtvU","properties":{"formattedCitation":"(Franks et al., 2001)","plainCitation":"(Franks et al., 2001)","noteIndex":0},"citationItems":[{"id":3375,"uris":["http://zotero.org/users/299961/items/Z78TJ3H8"],"itemData":{"id":3375,"type":"article-journal","container-title":"Plant physiology","issue":"4","note":"publisher: American Society of Plant Biologists","page":"1577–1584","source":"Google Scholar","title":"Guard cell volume and pressure measured concurrently by confocal microscopy and the cell pressure probe","volume":"125","author":[{"family":"Franks","given":"Peter J."},{"family":"Buckley","given":"Thomas N."},{"family":"Shope","given":"Joseph C."},{"family":"Mott","given":"Keith A."}],"issued":{"date-parts":[["2001"]]}}}],"schema":"https://github.com/citation-style-language/schema/raw/master/csl-citation.json"} </w:instrText>
      </w:r>
      <w:r w:rsidR="003834FD">
        <w:rPr>
          <w:rFonts w:eastAsia="Times New Roman" w:cs="Segoe UI"/>
          <w:color w:val="222222"/>
          <w:kern w:val="0"/>
          <w:sz w:val="22"/>
          <w:szCs w:val="22"/>
          <w:lang w:eastAsia="en-GB"/>
          <w14:ligatures w14:val="none"/>
        </w:rPr>
        <w:fldChar w:fldCharType="separate"/>
      </w:r>
      <w:r w:rsidR="0096193C">
        <w:rPr>
          <w:rFonts w:eastAsia="Times New Roman" w:cs="Segoe UI"/>
          <w:noProof/>
          <w:color w:val="222222"/>
          <w:kern w:val="0"/>
          <w:sz w:val="22"/>
          <w:szCs w:val="22"/>
          <w:lang w:eastAsia="en-GB"/>
          <w14:ligatures w14:val="none"/>
        </w:rPr>
        <w:t>(Franks et al., 2001)</w:t>
      </w:r>
      <w:r w:rsidR="003834FD">
        <w:rPr>
          <w:rFonts w:eastAsia="Times New Roman" w:cs="Segoe UI"/>
          <w:color w:val="222222"/>
          <w:kern w:val="0"/>
          <w:sz w:val="22"/>
          <w:szCs w:val="22"/>
          <w:lang w:eastAsia="en-GB"/>
          <w14:ligatures w14:val="none"/>
        </w:rPr>
        <w:fldChar w:fldCharType="end"/>
      </w:r>
      <w:r w:rsidR="001F0471">
        <w:rPr>
          <w:rFonts w:eastAsia="Times New Roman" w:cs="Segoe UI"/>
          <w:color w:val="222222"/>
          <w:kern w:val="0"/>
          <w:sz w:val="22"/>
          <w:szCs w:val="22"/>
          <w:lang w:eastAsia="en-GB"/>
          <w14:ligatures w14:val="none"/>
        </w:rPr>
        <w:t>.</w:t>
      </w:r>
      <w:r w:rsidR="0096193C">
        <w:rPr>
          <w:rFonts w:eastAsia="Times New Roman" w:cs="Segoe UI"/>
          <w:color w:val="222222"/>
          <w:kern w:val="0"/>
          <w:sz w:val="22"/>
          <w:szCs w:val="22"/>
          <w:lang w:eastAsia="en-GB"/>
          <w14:ligatures w14:val="none"/>
        </w:rPr>
        <w:t xml:space="preserve"> This non-linear relationship was previously thought to be a result of strain-stiffening, but here we see it </w:t>
      </w:r>
      <w:r w:rsidR="000B36D4">
        <w:rPr>
          <w:rFonts w:eastAsia="Times New Roman" w:cs="Segoe UI"/>
          <w:color w:val="222222"/>
          <w:kern w:val="0"/>
          <w:sz w:val="22"/>
          <w:szCs w:val="22"/>
          <w:lang w:eastAsia="en-GB"/>
          <w14:ligatures w14:val="none"/>
        </w:rPr>
        <w:t xml:space="preserve">using a mesh with </w:t>
      </w:r>
      <w:r w:rsidR="0096193C">
        <w:rPr>
          <w:rFonts w:eastAsia="Times New Roman" w:cs="Segoe UI"/>
          <w:color w:val="222222"/>
          <w:kern w:val="0"/>
          <w:sz w:val="22"/>
          <w:szCs w:val="22"/>
          <w:lang w:eastAsia="en-GB"/>
          <w14:ligatures w14:val="none"/>
        </w:rPr>
        <w:t>isotropic material</w:t>
      </w:r>
      <w:r w:rsidR="00A840E5">
        <w:rPr>
          <w:rFonts w:eastAsia="Times New Roman" w:cs="Segoe UI"/>
          <w:color w:val="222222"/>
          <w:kern w:val="0"/>
          <w:sz w:val="22"/>
          <w:szCs w:val="22"/>
          <w:lang w:eastAsia="en-GB"/>
          <w14:ligatures w14:val="none"/>
        </w:rPr>
        <w:t xml:space="preserve"> (Fig 1b)</w:t>
      </w:r>
      <w:r w:rsidR="0096193C">
        <w:rPr>
          <w:rFonts w:eastAsia="Times New Roman" w:cs="Segoe UI"/>
          <w:color w:val="222222"/>
          <w:kern w:val="0"/>
          <w:sz w:val="22"/>
          <w:szCs w:val="22"/>
          <w:lang w:eastAsia="en-GB"/>
          <w14:ligatures w14:val="none"/>
        </w:rPr>
        <w:t>.</w:t>
      </w:r>
      <w:r w:rsidR="00B878D6">
        <w:rPr>
          <w:rFonts w:eastAsia="Times New Roman" w:cs="Segoe UI"/>
          <w:color w:val="222222"/>
          <w:kern w:val="0"/>
          <w:sz w:val="22"/>
          <w:szCs w:val="22"/>
          <w:lang w:eastAsia="en-GB"/>
          <w14:ligatures w14:val="none"/>
        </w:rPr>
        <w:t xml:space="preserve"> </w:t>
      </w:r>
    </w:p>
    <w:p w14:paraId="1F485546" w14:textId="7F499512" w:rsidR="001F0471" w:rsidRDefault="001F0471" w:rsidP="00AC3F34">
      <w:pPr>
        <w:rPr>
          <w:rFonts w:eastAsia="Times New Roman" w:cs="Segoe UI"/>
          <w:color w:val="222222"/>
          <w:kern w:val="0"/>
          <w:sz w:val="22"/>
          <w:szCs w:val="22"/>
          <w:lang w:eastAsia="en-GB"/>
          <w14:ligatures w14:val="none"/>
        </w:rPr>
      </w:pPr>
    </w:p>
    <w:tbl>
      <w:tblPr>
        <w:tblStyle w:val="TableGrid"/>
        <w:tblW w:w="0" w:type="auto"/>
        <w:tblLook w:val="04A0" w:firstRow="1" w:lastRow="0" w:firstColumn="1" w:lastColumn="0" w:noHBand="0" w:noVBand="1"/>
      </w:tblPr>
      <w:tblGrid>
        <w:gridCol w:w="4531"/>
        <w:gridCol w:w="4485"/>
      </w:tblGrid>
      <w:tr w:rsidR="00A840E5" w14:paraId="4449E495" w14:textId="77777777">
        <w:tc>
          <w:tcPr>
            <w:tcW w:w="4508" w:type="dxa"/>
          </w:tcPr>
          <w:p w14:paraId="79A59490" w14:textId="79FB2359" w:rsidR="00A840E5" w:rsidRDefault="00A840E5" w:rsidP="00AC3F34">
            <w:pPr>
              <w:rPr>
                <w:rFonts w:eastAsia="Times New Roman" w:cs="Segoe UI"/>
                <w:color w:val="222222"/>
                <w:kern w:val="0"/>
                <w:sz w:val="22"/>
                <w:szCs w:val="22"/>
                <w:lang w:eastAsia="en-GB"/>
                <w14:ligatures w14:val="none"/>
              </w:rPr>
            </w:pPr>
            <w:r>
              <w:rPr>
                <w:rFonts w:eastAsia="Times New Roman" w:cs="Segoe UI"/>
                <w:noProof/>
                <w:color w:val="222222"/>
                <w:kern w:val="0"/>
                <w:sz w:val="22"/>
                <w:szCs w:val="22"/>
                <w:lang w:eastAsia="en-GB"/>
              </w:rPr>
              <w:drawing>
                <wp:inline distT="0" distB="0" distL="0" distR="0" wp14:anchorId="328817F3" wp14:editId="55F8EA65">
                  <wp:extent cx="2747594" cy="2060848"/>
                  <wp:effectExtent l="0" t="0" r="0" b="0"/>
                  <wp:docPr id="1322087720" name="Picture 1" descr="A graph with blue dots and 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087720" name="Picture 1" descr="A graph with blue dots and red lines&#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2828677" cy="2121665"/>
                          </a:xfrm>
                          <a:prstGeom prst="rect">
                            <a:avLst/>
                          </a:prstGeom>
                        </pic:spPr>
                      </pic:pic>
                    </a:graphicData>
                  </a:graphic>
                </wp:inline>
              </w:drawing>
            </w:r>
          </w:p>
        </w:tc>
        <w:tc>
          <w:tcPr>
            <w:tcW w:w="4508" w:type="dxa"/>
          </w:tcPr>
          <w:p w14:paraId="60414D93" w14:textId="0A38EEA5" w:rsidR="00A840E5" w:rsidRDefault="00A840E5" w:rsidP="00AC3F34">
            <w:pPr>
              <w:rPr>
                <w:rFonts w:eastAsia="Times New Roman" w:cs="Segoe UI"/>
                <w:color w:val="222222"/>
                <w:kern w:val="0"/>
                <w:sz w:val="22"/>
                <w:szCs w:val="22"/>
                <w:lang w:eastAsia="en-GB"/>
                <w14:ligatures w14:val="none"/>
              </w:rPr>
            </w:pPr>
            <w:r>
              <w:rPr>
                <w:rFonts w:eastAsia="Times New Roman" w:cs="Segoe UI"/>
                <w:noProof/>
                <w:color w:val="222222"/>
                <w:kern w:val="0"/>
                <w:sz w:val="22"/>
                <w:szCs w:val="22"/>
                <w:lang w:eastAsia="en-GB"/>
              </w:rPr>
              <w:drawing>
                <wp:inline distT="0" distB="0" distL="0" distR="0" wp14:anchorId="4527D93A" wp14:editId="58A1E5C7">
                  <wp:extent cx="2717074" cy="2037956"/>
                  <wp:effectExtent l="0" t="0" r="1270" b="0"/>
                  <wp:docPr id="298917435" name="Picture 2" descr="A graph with blu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917435" name="Picture 2" descr="A graph with blue dots&#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2739676" cy="2054908"/>
                          </a:xfrm>
                          <a:prstGeom prst="rect">
                            <a:avLst/>
                          </a:prstGeom>
                        </pic:spPr>
                      </pic:pic>
                    </a:graphicData>
                  </a:graphic>
                </wp:inline>
              </w:drawing>
            </w:r>
          </w:p>
        </w:tc>
      </w:tr>
    </w:tbl>
    <w:p w14:paraId="478F48B3" w14:textId="77777777" w:rsidR="001F0471" w:rsidRDefault="001F0471" w:rsidP="00AC3F34">
      <w:pPr>
        <w:rPr>
          <w:rFonts w:eastAsia="Times New Roman" w:cs="Segoe UI"/>
          <w:color w:val="222222"/>
          <w:kern w:val="0"/>
          <w:sz w:val="22"/>
          <w:szCs w:val="22"/>
          <w:lang w:eastAsia="en-GB"/>
          <w14:ligatures w14:val="none"/>
        </w:rPr>
      </w:pPr>
    </w:p>
    <w:p w14:paraId="184D1287" w14:textId="31BDC7AC" w:rsidR="003F6FC9" w:rsidRDefault="00A840E5" w:rsidP="00AC3F34">
      <w:pPr>
        <w:rPr>
          <w:rFonts w:eastAsia="Times New Roman" w:cs="Segoe UI"/>
          <w:color w:val="222222"/>
          <w:kern w:val="0"/>
          <w:sz w:val="22"/>
          <w:szCs w:val="22"/>
          <w:lang w:eastAsia="en-GB"/>
          <w14:ligatures w14:val="none"/>
        </w:rPr>
      </w:pPr>
      <w:r>
        <w:rPr>
          <w:rFonts w:eastAsia="Times New Roman" w:cs="Segoe UI"/>
          <w:color w:val="222222"/>
          <w:kern w:val="0"/>
          <w:sz w:val="22"/>
          <w:szCs w:val="22"/>
          <w:lang w:eastAsia="en-GB"/>
          <w14:ligatures w14:val="none"/>
        </w:rPr>
        <w:t xml:space="preserve">Figure 1. a) An FEM model run on meshes with realistic geometry, derived from confocal stack images, </w:t>
      </w:r>
      <w:proofErr w:type="gramStart"/>
      <w:r>
        <w:rPr>
          <w:rFonts w:eastAsia="Times New Roman" w:cs="Segoe UI"/>
          <w:color w:val="222222"/>
          <w:kern w:val="0"/>
          <w:sz w:val="22"/>
          <w:szCs w:val="22"/>
          <w:lang w:eastAsia="en-GB"/>
          <w14:ligatures w14:val="none"/>
        </w:rPr>
        <w:t>is able to</w:t>
      </w:r>
      <w:proofErr w:type="gramEnd"/>
      <w:r>
        <w:rPr>
          <w:rFonts w:eastAsia="Times New Roman" w:cs="Segoe UI"/>
          <w:color w:val="222222"/>
          <w:kern w:val="0"/>
          <w:sz w:val="22"/>
          <w:szCs w:val="22"/>
          <w:lang w:eastAsia="en-GB"/>
          <w14:ligatures w14:val="none"/>
        </w:rPr>
        <w:t xml:space="preserve"> open, without the need for constraints, as previously believed. a) The pressure vs pore area relationship is non-linear, without a requirement for strain-stiffening.</w:t>
      </w:r>
    </w:p>
    <w:p w14:paraId="17B29BED" w14:textId="77777777" w:rsidR="00A840E5" w:rsidRDefault="00A840E5" w:rsidP="00AC3F34">
      <w:pPr>
        <w:rPr>
          <w:rFonts w:eastAsia="Times New Roman" w:cs="Segoe UI"/>
          <w:color w:val="222222"/>
          <w:kern w:val="0"/>
          <w:sz w:val="22"/>
          <w:szCs w:val="22"/>
          <w:lang w:eastAsia="en-GB"/>
          <w14:ligatures w14:val="none"/>
        </w:rPr>
      </w:pPr>
    </w:p>
    <w:p w14:paraId="1C61E46D" w14:textId="41C9A9D0" w:rsidR="006D720F" w:rsidRDefault="00C52408" w:rsidP="00AC3F34">
      <w:pPr>
        <w:rPr>
          <w:rFonts w:eastAsia="Times New Roman" w:cs="Segoe UI"/>
          <w:color w:val="222222"/>
          <w:kern w:val="0"/>
          <w:sz w:val="22"/>
          <w:szCs w:val="22"/>
          <w:lang w:eastAsia="en-GB"/>
          <w14:ligatures w14:val="none"/>
        </w:rPr>
      </w:pPr>
      <w:proofErr w:type="gramStart"/>
      <w:r>
        <w:rPr>
          <w:rFonts w:eastAsia="Times New Roman" w:cs="Segoe UI"/>
          <w:color w:val="222222"/>
          <w:kern w:val="0"/>
          <w:sz w:val="22"/>
          <w:szCs w:val="22"/>
          <w:lang w:eastAsia="en-GB"/>
          <w14:ligatures w14:val="none"/>
        </w:rPr>
        <w:t>In order to</w:t>
      </w:r>
      <w:proofErr w:type="gramEnd"/>
      <w:r>
        <w:rPr>
          <w:rFonts w:eastAsia="Times New Roman" w:cs="Segoe UI"/>
          <w:color w:val="222222"/>
          <w:kern w:val="0"/>
          <w:sz w:val="22"/>
          <w:szCs w:val="22"/>
          <w:lang w:eastAsia="en-GB"/>
          <w14:ligatures w14:val="none"/>
        </w:rPr>
        <w:t xml:space="preserve"> understand which of the characteristics of the confocal derived meshes were important for stomatal opening, we</w:t>
      </w:r>
      <w:r w:rsidR="006D720F">
        <w:rPr>
          <w:rFonts w:eastAsia="Times New Roman" w:cs="Segoe UI"/>
          <w:color w:val="222222"/>
          <w:kern w:val="0"/>
          <w:sz w:val="22"/>
          <w:szCs w:val="22"/>
          <w:lang w:eastAsia="en-GB"/>
          <w14:ligatures w14:val="none"/>
        </w:rPr>
        <w:t xml:space="preserve"> developed simplified, idealised meshes, to which features from the confocal meshes could be added</w:t>
      </w:r>
      <w:r>
        <w:rPr>
          <w:rFonts w:eastAsia="Times New Roman" w:cs="Segoe UI"/>
          <w:color w:val="222222"/>
          <w:kern w:val="0"/>
          <w:sz w:val="22"/>
          <w:szCs w:val="22"/>
          <w:lang w:eastAsia="en-GB"/>
          <w14:ligatures w14:val="none"/>
        </w:rPr>
        <w:t xml:space="preserve">. We then tested the impact of these </w:t>
      </w:r>
      <w:r w:rsidR="006D720F">
        <w:rPr>
          <w:rFonts w:eastAsia="Times New Roman" w:cs="Segoe UI"/>
          <w:color w:val="222222"/>
          <w:kern w:val="0"/>
          <w:sz w:val="22"/>
          <w:szCs w:val="22"/>
          <w:lang w:eastAsia="en-GB"/>
          <w14:ligatures w14:val="none"/>
        </w:rPr>
        <w:t>via comparison with the behaviour of models using confocal meshes.</w:t>
      </w:r>
      <w:r w:rsidR="00385B44">
        <w:rPr>
          <w:rFonts w:eastAsia="Times New Roman" w:cs="Segoe UI"/>
          <w:color w:val="222222"/>
          <w:kern w:val="0"/>
          <w:sz w:val="22"/>
          <w:szCs w:val="22"/>
          <w:lang w:eastAsia="en-GB"/>
          <w14:ligatures w14:val="none"/>
        </w:rPr>
        <w:t xml:space="preserve"> We took as our starting point an approach similar to that used in </w:t>
      </w:r>
      <w:r w:rsidR="00385B44">
        <w:rPr>
          <w:rFonts w:eastAsia="Times New Roman" w:cs="Segoe UI"/>
          <w:color w:val="222222"/>
          <w:kern w:val="0"/>
          <w:sz w:val="22"/>
          <w:szCs w:val="22"/>
          <w:lang w:eastAsia="en-GB"/>
          <w14:ligatures w14:val="none"/>
        </w:rPr>
        <w:fldChar w:fldCharType="begin"/>
      </w:r>
      <w:r w:rsidR="00385B44">
        <w:rPr>
          <w:rFonts w:eastAsia="Times New Roman" w:cs="Segoe UI"/>
          <w:color w:val="222222"/>
          <w:kern w:val="0"/>
          <w:sz w:val="22"/>
          <w:szCs w:val="22"/>
          <w:lang w:eastAsia="en-GB"/>
          <w14:ligatures w14:val="none"/>
        </w:rPr>
        <w:instrText xml:space="preserve"> ADDIN ZOTERO_ITEM CSL_CITATION {"citationID":"2DYCxhgj","properties":{"formattedCitation":"(Carter et al., 2017; Woolfenden et al., 2017)","plainCitation":"(Carter et al., 2017; Woolfenden et al., 2017)","noteIndex":0},"citationItems":[{"id":3329,"uris":["http://zotero.org/users/299961/items/AMYV6PMG"],"itemData":{"id":3329,"type":"article-journal","container-title":"Current Biology","issue":"19","note":"publisher: Elsevier","page":"2974–2983","source":"Google Scholar","title":"Stomatal opening involves polar, not radial, stiffening of guard cells","volume":"27","author":[{"family":"Carter","given":"Ross"},{"family":"Woolfenden","given":"Hugh"},{"family":"Baillie","given":"Alice"},{"family":"Amsbury","given":"Sam"},{"family":"Carroll","given":"Sarah"},{"family":"Healicon","given":"Eleanor"},{"family":"Sovatzoglou","given":"Spyros"},{"family":"Braybrook","given":"Sioban"},{"family":"Gray","given":"Julie E."},{"family":"Hobbs","given":"Jamie"}],"issued":{"date-parts":[["2017"]]}}},{"id":3330,"uris":["http://zotero.org/users/299961/items/9ZIL5MXS"],"itemData":{"id":3330,"type":"article-journal","abstract":"Summary\n            Guard cells dynamically adjust their shape in order to regulate photosynthetic gas exchange, respiration rates and defend against pathogen entry. Cell shape changes are determined by the interplay of cell wall material properties and turgor pressure. To investigate this relationship between turgor pressure, cell wall properties and cell shape, we focused on kidney</w:instrText>
      </w:r>
      <w:r w:rsidR="00385B44">
        <w:rPr>
          <w:rFonts w:ascii="Cambria Math" w:eastAsia="Times New Roman" w:hAnsi="Cambria Math" w:cs="Cambria Math"/>
          <w:color w:val="222222"/>
          <w:kern w:val="0"/>
          <w:sz w:val="22"/>
          <w:szCs w:val="22"/>
          <w:lang w:eastAsia="en-GB"/>
          <w14:ligatures w14:val="none"/>
        </w:rPr>
        <w:instrText>‐</w:instrText>
      </w:r>
      <w:r w:rsidR="00385B44">
        <w:rPr>
          <w:rFonts w:eastAsia="Times New Roman" w:cs="Segoe UI"/>
          <w:color w:val="222222"/>
          <w:kern w:val="0"/>
          <w:sz w:val="22"/>
          <w:szCs w:val="22"/>
          <w:lang w:eastAsia="en-GB"/>
          <w14:ligatures w14:val="none"/>
        </w:rPr>
        <w:instrText>shaped stomata and developed a biomechanical model of a guard cell pair. Treating the cell wall as a composite of the pectin</w:instrText>
      </w:r>
      <w:r w:rsidR="00385B44">
        <w:rPr>
          <w:rFonts w:ascii="Cambria Math" w:eastAsia="Times New Roman" w:hAnsi="Cambria Math" w:cs="Cambria Math"/>
          <w:color w:val="222222"/>
          <w:kern w:val="0"/>
          <w:sz w:val="22"/>
          <w:szCs w:val="22"/>
          <w:lang w:eastAsia="en-GB"/>
          <w14:ligatures w14:val="none"/>
        </w:rPr>
        <w:instrText>‐</w:instrText>
      </w:r>
      <w:r w:rsidR="00385B44">
        <w:rPr>
          <w:rFonts w:eastAsia="Times New Roman" w:cs="Segoe UI"/>
          <w:color w:val="222222"/>
          <w:kern w:val="0"/>
          <w:sz w:val="22"/>
          <w:szCs w:val="22"/>
          <w:lang w:eastAsia="en-GB"/>
          <w14:ligatures w14:val="none"/>
        </w:rPr>
        <w:instrText>rich cell wall matrix embedded with cellulose microfibrils, we show that strong, circumferentially oriented fibres are critical for opening. We find that the opening dynamics are dictated by the mechanical stress response of the cell wall matrix, and as the turgor rises, the pectinaceous matrix stiffens. We validate these predictions with stomatal opening experiments in selected Arabidopsis cell wall mutants. Thus, using a computational framework that combines a 3D biomechanical model with parameter optimization, we demonstrate how to exploit subtle shape changes to infer cell wall material properties. Our findings reveal that proper stomatal dynamics are built on two key properties of the cell wall, namely anisotropy in the form of hoop reinforcement and strain stiffening.\n          , \n            Significance Statement\n            We describe a computational approach for investigating guard cell dynamics, focusing on the link between turgor pressure, geometry and the material properties of the cell walls. Our results show that radially</w:instrText>
      </w:r>
      <w:r w:rsidR="00385B44">
        <w:rPr>
          <w:rFonts w:ascii="Cambria Math" w:eastAsia="Times New Roman" w:hAnsi="Cambria Math" w:cs="Cambria Math"/>
          <w:color w:val="222222"/>
          <w:kern w:val="0"/>
          <w:sz w:val="22"/>
          <w:szCs w:val="22"/>
          <w:lang w:eastAsia="en-GB"/>
          <w14:ligatures w14:val="none"/>
        </w:rPr>
        <w:instrText>‐</w:instrText>
      </w:r>
      <w:r w:rsidR="00385B44">
        <w:rPr>
          <w:rFonts w:eastAsia="Times New Roman" w:cs="Segoe UI"/>
          <w:color w:val="222222"/>
          <w:kern w:val="0"/>
          <w:sz w:val="22"/>
          <w:szCs w:val="22"/>
          <w:lang w:eastAsia="en-GB"/>
          <w14:ligatures w14:val="none"/>
        </w:rPr>
        <w:instrText xml:space="preserve">arranged fibers are critical for stomatal opening and that the cell wall matrix stiffens as turgor rises.","container-title":"The Plant Journal","DOI":"10.1111/tpj.13640","ISSN":"0960-7412, 1365-313X","issue":"1","journalAbbreviation":"The Plant Journal","language":"en","page":"5-18","source":"DOI.org (Crossref)","title":"A computational approach for inferring the cell wall properties that govern guard cell dynamics","volume":"92","author":[{"family":"Woolfenden","given":"Hugh C."},{"family":"Bourdais","given":"Gildas"},{"family":"Kopischke","given":"Michaela"},{"family":"Miedes","given":"Eva"},{"family":"Molina","given":"Antonio"},{"family":"Robatzek","given":"Silke"},{"family":"Morris","given":"Richard J."}],"issued":{"date-parts":[["2017",10]]}}}],"schema":"https://github.com/citation-style-language/schema/raw/master/csl-citation.json"} </w:instrText>
      </w:r>
      <w:r w:rsidR="00385B44">
        <w:rPr>
          <w:rFonts w:eastAsia="Times New Roman" w:cs="Segoe UI"/>
          <w:color w:val="222222"/>
          <w:kern w:val="0"/>
          <w:sz w:val="22"/>
          <w:szCs w:val="22"/>
          <w:lang w:eastAsia="en-GB"/>
          <w14:ligatures w14:val="none"/>
        </w:rPr>
        <w:fldChar w:fldCharType="separate"/>
      </w:r>
      <w:r w:rsidR="00385B44">
        <w:rPr>
          <w:rFonts w:eastAsia="Times New Roman" w:cs="Segoe UI"/>
          <w:noProof/>
          <w:color w:val="222222"/>
          <w:kern w:val="0"/>
          <w:sz w:val="22"/>
          <w:szCs w:val="22"/>
          <w:lang w:eastAsia="en-GB"/>
          <w14:ligatures w14:val="none"/>
        </w:rPr>
        <w:t>(Carter et al., 2017; Woolfenden et al., 2017)</w:t>
      </w:r>
      <w:r w:rsidR="00385B44">
        <w:rPr>
          <w:rFonts w:eastAsia="Times New Roman" w:cs="Segoe UI"/>
          <w:color w:val="222222"/>
          <w:kern w:val="0"/>
          <w:sz w:val="22"/>
          <w:szCs w:val="22"/>
          <w:lang w:eastAsia="en-GB"/>
          <w14:ligatures w14:val="none"/>
        </w:rPr>
        <w:fldChar w:fldCharType="end"/>
      </w:r>
      <w:r w:rsidR="00385B44">
        <w:rPr>
          <w:rFonts w:eastAsia="Times New Roman" w:cs="Segoe UI"/>
          <w:color w:val="222222"/>
          <w:kern w:val="0"/>
          <w:sz w:val="22"/>
          <w:szCs w:val="22"/>
          <w:lang w:eastAsia="en-GB"/>
          <w14:ligatures w14:val="none"/>
        </w:rPr>
        <w:t xml:space="preserve">, of a </w:t>
      </w:r>
      <w:r w:rsidR="00B11772">
        <w:rPr>
          <w:rFonts w:eastAsia="Times New Roman" w:cs="Segoe UI"/>
          <w:color w:val="222222"/>
          <w:kern w:val="0"/>
          <w:sz w:val="22"/>
          <w:szCs w:val="22"/>
          <w:lang w:eastAsia="en-GB"/>
          <w14:ligatures w14:val="none"/>
        </w:rPr>
        <w:t>standard</w:t>
      </w:r>
      <w:r>
        <w:rPr>
          <w:rFonts w:eastAsia="Times New Roman" w:cs="Segoe UI"/>
          <w:color w:val="222222"/>
          <w:kern w:val="0"/>
          <w:sz w:val="22"/>
          <w:szCs w:val="22"/>
          <w:lang w:eastAsia="en-GB"/>
          <w14:ligatures w14:val="none"/>
        </w:rPr>
        <w:t xml:space="preserve"> </w:t>
      </w:r>
      <w:r w:rsidR="00385B44">
        <w:rPr>
          <w:rFonts w:eastAsia="Times New Roman" w:cs="Segoe UI"/>
          <w:color w:val="222222"/>
          <w:kern w:val="0"/>
          <w:sz w:val="22"/>
          <w:szCs w:val="22"/>
          <w:lang w:eastAsia="en-GB"/>
          <w14:ligatures w14:val="none"/>
        </w:rPr>
        <w:t xml:space="preserve">torus mesh. </w:t>
      </w:r>
      <w:r w:rsidR="00563F4B">
        <w:rPr>
          <w:rFonts w:eastAsia="Times New Roman" w:cs="Segoe UI"/>
          <w:color w:val="222222"/>
          <w:kern w:val="0"/>
          <w:sz w:val="22"/>
          <w:szCs w:val="22"/>
          <w:lang w:eastAsia="en-GB"/>
          <w14:ligatures w14:val="none"/>
        </w:rPr>
        <w:t xml:space="preserve">To enable comparison between the idealised and confocal derived meshes, we ensured consistency of pore area, pore length, stomatal length, and stomatal width. </w:t>
      </w:r>
    </w:p>
    <w:p w14:paraId="6B0E2B40" w14:textId="0E651865" w:rsidR="0055378C" w:rsidRDefault="00357C82" w:rsidP="00AC3F34">
      <w:pPr>
        <w:rPr>
          <w:rFonts w:eastAsia="Times New Roman" w:cs="Segoe UI"/>
          <w:color w:val="222222"/>
          <w:kern w:val="0"/>
          <w:sz w:val="22"/>
          <w:szCs w:val="22"/>
          <w:lang w:eastAsia="en-GB"/>
          <w14:ligatures w14:val="none"/>
        </w:rPr>
      </w:pPr>
      <w:r>
        <w:rPr>
          <w:rFonts w:eastAsia="Times New Roman" w:cs="Segoe UI"/>
          <w:noProof/>
          <w:color w:val="222222"/>
          <w:kern w:val="0"/>
          <w:sz w:val="22"/>
          <w:szCs w:val="22"/>
          <w:lang w:eastAsia="en-GB"/>
        </w:rPr>
        <w:drawing>
          <wp:inline distT="0" distB="0" distL="0" distR="0" wp14:anchorId="576581A7" wp14:editId="66642E2E">
            <wp:extent cx="4318000" cy="4318000"/>
            <wp:effectExtent l="0" t="0" r="0" b="0"/>
            <wp:docPr id="2046001690" name="Picture 2" descr="A group of objects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001690" name="Picture 2" descr="A group of objects on a black background&#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4318000" cy="4318000"/>
                    </a:xfrm>
                    <a:prstGeom prst="rect">
                      <a:avLst/>
                    </a:prstGeom>
                  </pic:spPr>
                </pic:pic>
              </a:graphicData>
            </a:graphic>
          </wp:inline>
        </w:drawing>
      </w:r>
    </w:p>
    <w:p w14:paraId="08309BFD" w14:textId="70846B5F" w:rsidR="0091540D" w:rsidRDefault="0091540D" w:rsidP="00AC3F34">
      <w:pPr>
        <w:rPr>
          <w:rFonts w:eastAsia="Times New Roman" w:cs="Segoe UI"/>
          <w:color w:val="222222"/>
          <w:kern w:val="0"/>
          <w:sz w:val="22"/>
          <w:szCs w:val="22"/>
          <w:lang w:eastAsia="en-GB"/>
          <w14:ligatures w14:val="none"/>
        </w:rPr>
      </w:pPr>
      <w:r>
        <w:rPr>
          <w:rFonts w:eastAsia="Times New Roman" w:cs="Segoe UI"/>
          <w:color w:val="222222"/>
          <w:kern w:val="0"/>
          <w:sz w:val="22"/>
          <w:szCs w:val="22"/>
          <w:lang w:eastAsia="en-GB"/>
          <w14:ligatures w14:val="none"/>
        </w:rPr>
        <w:t>Fig</w:t>
      </w:r>
      <w:r w:rsidR="006E4B4D">
        <w:rPr>
          <w:rFonts w:eastAsia="Times New Roman" w:cs="Segoe UI"/>
          <w:color w:val="222222"/>
          <w:kern w:val="0"/>
          <w:sz w:val="22"/>
          <w:szCs w:val="22"/>
          <w:lang w:eastAsia="en-GB"/>
          <w14:ligatures w14:val="none"/>
        </w:rPr>
        <w:t>ure 2</w:t>
      </w:r>
      <w:r>
        <w:rPr>
          <w:rFonts w:eastAsia="Times New Roman" w:cs="Segoe UI"/>
          <w:color w:val="222222"/>
          <w:kern w:val="0"/>
          <w:sz w:val="22"/>
          <w:szCs w:val="22"/>
          <w:lang w:eastAsia="en-GB"/>
          <w14:ligatures w14:val="none"/>
        </w:rPr>
        <w:t xml:space="preserve">: Simplified meshes can be used to test the impact of guard cell geometry on stomatal opening. Here, both the confocal image derived mesh (left), and the idealised mesh (right) have comparable lengths, widths, and pore areas. </w:t>
      </w:r>
    </w:p>
    <w:p w14:paraId="7469698E" w14:textId="77777777" w:rsidR="001035E8" w:rsidRDefault="001035E8" w:rsidP="00AC3F34">
      <w:pPr>
        <w:rPr>
          <w:rFonts w:eastAsia="Times New Roman" w:cs="Segoe UI"/>
          <w:color w:val="222222"/>
          <w:kern w:val="0"/>
          <w:sz w:val="22"/>
          <w:szCs w:val="22"/>
          <w:lang w:eastAsia="en-GB"/>
          <w14:ligatures w14:val="none"/>
        </w:rPr>
      </w:pPr>
    </w:p>
    <w:p w14:paraId="1D2F3608" w14:textId="10DEF6E3" w:rsidR="001035E8" w:rsidRDefault="001035E8" w:rsidP="00AC3F34">
      <w:pPr>
        <w:rPr>
          <w:rFonts w:eastAsia="Times New Roman" w:cs="Segoe UI"/>
          <w:color w:val="222222"/>
          <w:kern w:val="0"/>
          <w:sz w:val="22"/>
          <w:szCs w:val="22"/>
          <w:lang w:eastAsia="en-GB"/>
          <w14:ligatures w14:val="none"/>
        </w:rPr>
      </w:pPr>
      <w:r>
        <w:rPr>
          <w:rFonts w:eastAsia="Times New Roman" w:cs="Segoe UI"/>
          <w:noProof/>
          <w:color w:val="222222"/>
          <w:kern w:val="0"/>
          <w:sz w:val="22"/>
          <w:szCs w:val="22"/>
          <w:lang w:eastAsia="en-GB"/>
        </w:rPr>
        <w:lastRenderedPageBreak/>
        <w:drawing>
          <wp:inline distT="0" distB="0" distL="0" distR="0" wp14:anchorId="54B20C20" wp14:editId="06C02F2A">
            <wp:extent cx="5731510" cy="4298950"/>
            <wp:effectExtent l="0" t="0" r="0" b="6350"/>
            <wp:docPr id="390548204" name="Picture 4" descr="A graph with red and blu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548204" name="Picture 4" descr="A graph with red and blue dots&#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4298950"/>
                    </a:xfrm>
                    <a:prstGeom prst="rect">
                      <a:avLst/>
                    </a:prstGeom>
                  </pic:spPr>
                </pic:pic>
              </a:graphicData>
            </a:graphic>
          </wp:inline>
        </w:drawing>
      </w:r>
    </w:p>
    <w:p w14:paraId="4F008C6F" w14:textId="61E3E815" w:rsidR="001035E8" w:rsidRDefault="001035E8" w:rsidP="00AC3F34">
      <w:pPr>
        <w:rPr>
          <w:rFonts w:eastAsia="Times New Roman" w:cs="Segoe UI"/>
          <w:color w:val="222222"/>
          <w:kern w:val="0"/>
          <w:sz w:val="22"/>
          <w:szCs w:val="22"/>
          <w:lang w:eastAsia="en-GB"/>
          <w14:ligatures w14:val="none"/>
        </w:rPr>
      </w:pPr>
      <w:r>
        <w:rPr>
          <w:rFonts w:eastAsia="Times New Roman" w:cs="Segoe UI"/>
          <w:color w:val="222222"/>
          <w:kern w:val="0"/>
          <w:sz w:val="22"/>
          <w:szCs w:val="22"/>
          <w:lang w:eastAsia="en-GB"/>
          <w14:ligatures w14:val="none"/>
        </w:rPr>
        <w:t>Figure 3: FEM models run with idealised meshes show a reduction in pore area (closing), rather than opening when inflated.</w:t>
      </w:r>
      <w:r w:rsidR="00563F4B">
        <w:rPr>
          <w:rFonts w:eastAsia="Times New Roman" w:cs="Segoe UI"/>
          <w:color w:val="222222"/>
          <w:kern w:val="0"/>
          <w:sz w:val="22"/>
          <w:szCs w:val="22"/>
          <w:lang w:eastAsia="en-GB"/>
          <w14:ligatures w14:val="none"/>
        </w:rPr>
        <w:t xml:space="preserve"> Points above the red dashed line show simulations for which inflation has resulted in an increase in pore area</w:t>
      </w:r>
      <w:r w:rsidR="00E71121">
        <w:rPr>
          <w:rFonts w:eastAsia="Times New Roman" w:cs="Segoe UI"/>
          <w:color w:val="222222"/>
          <w:kern w:val="0"/>
          <w:sz w:val="22"/>
          <w:szCs w:val="22"/>
          <w:lang w:eastAsia="en-GB"/>
          <w14:ligatures w14:val="none"/>
        </w:rPr>
        <w:t xml:space="preserve"> (stomatal opening)</w:t>
      </w:r>
      <w:r w:rsidR="00563F4B">
        <w:rPr>
          <w:rFonts w:eastAsia="Times New Roman" w:cs="Segoe UI"/>
          <w:color w:val="222222"/>
          <w:kern w:val="0"/>
          <w:sz w:val="22"/>
          <w:szCs w:val="22"/>
          <w:lang w:eastAsia="en-GB"/>
          <w14:ligatures w14:val="none"/>
        </w:rPr>
        <w:t>, whereas points below the line represent a decrease in pore area with inflation</w:t>
      </w:r>
      <w:r w:rsidR="00E71121">
        <w:rPr>
          <w:rFonts w:eastAsia="Times New Roman" w:cs="Segoe UI"/>
          <w:color w:val="222222"/>
          <w:kern w:val="0"/>
          <w:sz w:val="22"/>
          <w:szCs w:val="22"/>
          <w:lang w:eastAsia="en-GB"/>
          <w14:ligatures w14:val="none"/>
        </w:rPr>
        <w:t xml:space="preserve"> (stomatal closing)</w:t>
      </w:r>
      <w:r w:rsidR="00563F4B">
        <w:rPr>
          <w:rFonts w:eastAsia="Times New Roman" w:cs="Segoe UI"/>
          <w:color w:val="222222"/>
          <w:kern w:val="0"/>
          <w:sz w:val="22"/>
          <w:szCs w:val="22"/>
          <w:lang w:eastAsia="en-GB"/>
          <w14:ligatures w14:val="none"/>
        </w:rPr>
        <w:t>.</w:t>
      </w:r>
    </w:p>
    <w:p w14:paraId="51D8DCDB" w14:textId="77777777" w:rsidR="009D74C2" w:rsidRDefault="009D74C2" w:rsidP="00AC3F34">
      <w:pPr>
        <w:rPr>
          <w:rFonts w:eastAsia="Times New Roman" w:cs="Segoe UI"/>
          <w:color w:val="222222"/>
          <w:kern w:val="0"/>
          <w:sz w:val="22"/>
          <w:szCs w:val="22"/>
          <w:lang w:eastAsia="en-GB"/>
          <w14:ligatures w14:val="none"/>
        </w:rPr>
      </w:pPr>
    </w:p>
    <w:p w14:paraId="4563E31B" w14:textId="6789A96D" w:rsidR="009D74C2" w:rsidRDefault="00E71121" w:rsidP="00AC3F34">
      <w:pPr>
        <w:rPr>
          <w:rFonts w:eastAsia="Times New Roman" w:cs="Segoe UI"/>
          <w:color w:val="222222"/>
          <w:kern w:val="0"/>
          <w:sz w:val="22"/>
          <w:szCs w:val="22"/>
          <w:lang w:eastAsia="en-GB"/>
          <w14:ligatures w14:val="none"/>
        </w:rPr>
      </w:pPr>
      <w:r>
        <w:rPr>
          <w:rFonts w:eastAsia="Times New Roman" w:cs="Segoe UI"/>
          <w:color w:val="222222"/>
          <w:kern w:val="0"/>
          <w:sz w:val="22"/>
          <w:szCs w:val="22"/>
          <w:lang w:eastAsia="en-GB"/>
          <w14:ligatures w14:val="none"/>
        </w:rPr>
        <w:t xml:space="preserve">As found in previous studies, the use of a standard torus results in stomatal closure on inflation. This </w:t>
      </w:r>
      <w:proofErr w:type="gramStart"/>
      <w:r>
        <w:rPr>
          <w:rFonts w:eastAsia="Times New Roman" w:cs="Segoe UI"/>
          <w:color w:val="222222"/>
          <w:kern w:val="0"/>
          <w:sz w:val="22"/>
          <w:szCs w:val="22"/>
          <w:lang w:eastAsia="en-GB"/>
          <w14:ligatures w14:val="none"/>
        </w:rPr>
        <w:t>is in contrast to</w:t>
      </w:r>
      <w:proofErr w:type="gramEnd"/>
      <w:r>
        <w:rPr>
          <w:rFonts w:eastAsia="Times New Roman" w:cs="Segoe UI"/>
          <w:color w:val="222222"/>
          <w:kern w:val="0"/>
          <w:sz w:val="22"/>
          <w:szCs w:val="22"/>
          <w:lang w:eastAsia="en-GB"/>
          <w14:ligatures w14:val="none"/>
        </w:rPr>
        <w:t xml:space="preserve"> the confocal derived meshes, which, in the main, showed stomatal opening with inflation. </w:t>
      </w:r>
      <w:r w:rsidR="00524541">
        <w:rPr>
          <w:rFonts w:eastAsia="Times New Roman" w:cs="Segoe UI"/>
          <w:color w:val="222222"/>
          <w:kern w:val="0"/>
          <w:sz w:val="22"/>
          <w:szCs w:val="22"/>
          <w:lang w:eastAsia="en-GB"/>
          <w14:ligatures w14:val="none"/>
        </w:rPr>
        <w:t xml:space="preserve">The only difference between these idealised meshes and the confocal derived meshes is in their geometry – all other material properties are kept the same – so we can conclude that these idealised meshes are not capturing the </w:t>
      </w:r>
      <w:r>
        <w:rPr>
          <w:rFonts w:eastAsia="Times New Roman" w:cs="Segoe UI"/>
          <w:color w:val="222222"/>
          <w:kern w:val="0"/>
          <w:sz w:val="22"/>
          <w:szCs w:val="22"/>
          <w:lang w:eastAsia="en-GB"/>
          <w14:ligatures w14:val="none"/>
        </w:rPr>
        <w:t xml:space="preserve">important </w:t>
      </w:r>
      <w:r w:rsidR="00524541">
        <w:rPr>
          <w:rFonts w:eastAsia="Times New Roman" w:cs="Segoe UI"/>
          <w:color w:val="222222"/>
          <w:kern w:val="0"/>
          <w:sz w:val="22"/>
          <w:szCs w:val="22"/>
          <w:lang w:eastAsia="en-GB"/>
          <w14:ligatures w14:val="none"/>
        </w:rPr>
        <w:t>geometr</w:t>
      </w:r>
      <w:r>
        <w:rPr>
          <w:rFonts w:eastAsia="Times New Roman" w:cs="Segoe UI"/>
          <w:color w:val="222222"/>
          <w:kern w:val="0"/>
          <w:sz w:val="22"/>
          <w:szCs w:val="22"/>
          <w:lang w:eastAsia="en-GB"/>
          <w14:ligatures w14:val="none"/>
        </w:rPr>
        <w:t>ical features</w:t>
      </w:r>
      <w:r w:rsidR="00524541">
        <w:rPr>
          <w:rFonts w:eastAsia="Times New Roman" w:cs="Segoe UI"/>
          <w:color w:val="222222"/>
          <w:kern w:val="0"/>
          <w:sz w:val="22"/>
          <w:szCs w:val="22"/>
          <w:lang w:eastAsia="en-GB"/>
          <w14:ligatures w14:val="none"/>
        </w:rPr>
        <w:t xml:space="preserve"> of the confocal derived meshes.</w:t>
      </w:r>
    </w:p>
    <w:p w14:paraId="51D54BD0" w14:textId="77777777" w:rsidR="000415DD" w:rsidRDefault="000415DD" w:rsidP="00AC3F34">
      <w:pPr>
        <w:rPr>
          <w:rFonts w:eastAsia="Times New Roman" w:cs="Segoe UI"/>
          <w:color w:val="222222"/>
          <w:kern w:val="0"/>
          <w:sz w:val="22"/>
          <w:szCs w:val="22"/>
          <w:lang w:eastAsia="en-GB"/>
          <w14:ligatures w14:val="none"/>
        </w:rPr>
      </w:pPr>
    </w:p>
    <w:p w14:paraId="32DF7BDF" w14:textId="45375031" w:rsidR="000415DD" w:rsidRPr="000415DD" w:rsidRDefault="000415DD" w:rsidP="00AC3F34">
      <w:pPr>
        <w:rPr>
          <w:rFonts w:eastAsia="Times New Roman" w:cs="Segoe UI"/>
          <w:b/>
          <w:bCs/>
          <w:color w:val="222222"/>
          <w:kern w:val="0"/>
          <w:sz w:val="22"/>
          <w:szCs w:val="22"/>
          <w:lang w:eastAsia="en-GB"/>
          <w14:ligatures w14:val="none"/>
        </w:rPr>
      </w:pPr>
      <w:r>
        <w:rPr>
          <w:rFonts w:eastAsia="Times New Roman" w:cs="Segoe UI"/>
          <w:b/>
          <w:bCs/>
          <w:color w:val="222222"/>
          <w:kern w:val="0"/>
          <w:sz w:val="22"/>
          <w:szCs w:val="22"/>
          <w:lang w:eastAsia="en-GB"/>
          <w14:ligatures w14:val="none"/>
        </w:rPr>
        <w:t>Cross-sectional aspect ratio drives geometry-derived stomatal opening</w:t>
      </w:r>
    </w:p>
    <w:p w14:paraId="5F84EEC0" w14:textId="75924C30" w:rsidR="00F7692A" w:rsidRDefault="00F7692A" w:rsidP="00AC3F34">
      <w:pPr>
        <w:rPr>
          <w:rFonts w:eastAsia="Times New Roman" w:cs="Segoe UI"/>
          <w:color w:val="222222"/>
          <w:kern w:val="0"/>
          <w:sz w:val="22"/>
          <w:szCs w:val="22"/>
          <w:lang w:eastAsia="en-GB"/>
          <w14:ligatures w14:val="none"/>
        </w:rPr>
      </w:pPr>
    </w:p>
    <w:p w14:paraId="567B6549" w14:textId="6D3F4428" w:rsidR="00D74A5D" w:rsidRDefault="00DA20B1" w:rsidP="00AC3F34">
      <w:pPr>
        <w:rPr>
          <w:rFonts w:eastAsia="Times New Roman" w:cs="Segoe UI"/>
          <w:color w:val="222222"/>
          <w:kern w:val="0"/>
          <w:sz w:val="22"/>
          <w:szCs w:val="22"/>
          <w:lang w:eastAsia="en-GB"/>
          <w14:ligatures w14:val="none"/>
        </w:rPr>
      </w:pPr>
      <w:r>
        <w:rPr>
          <w:rFonts w:eastAsia="Times New Roman" w:cs="Segoe UI"/>
          <w:color w:val="222222"/>
          <w:kern w:val="0"/>
          <w:sz w:val="22"/>
          <w:szCs w:val="22"/>
          <w:lang w:eastAsia="en-GB"/>
          <w14:ligatures w14:val="none"/>
        </w:rPr>
        <w:t xml:space="preserve">One important difference between a standard torus and the confocal meshes is in their cross sections. </w:t>
      </w:r>
      <w:r w:rsidR="00524541">
        <w:rPr>
          <w:rFonts w:eastAsia="Times New Roman" w:cs="Segoe UI"/>
          <w:color w:val="222222"/>
          <w:kern w:val="0"/>
          <w:sz w:val="22"/>
          <w:szCs w:val="22"/>
          <w:lang w:eastAsia="en-GB"/>
          <w14:ligatures w14:val="none"/>
        </w:rPr>
        <w:t xml:space="preserve">As observed in (refs), guard cells do not have a circular cross-section – rather they are more oval (Fig. 4). </w:t>
      </w:r>
      <w:r>
        <w:rPr>
          <w:rFonts w:eastAsia="Times New Roman" w:cs="Segoe UI"/>
          <w:color w:val="222222"/>
          <w:kern w:val="0"/>
          <w:sz w:val="22"/>
          <w:szCs w:val="22"/>
          <w:lang w:eastAsia="en-GB"/>
          <w14:ligatures w14:val="none"/>
        </w:rPr>
        <w:t xml:space="preserve">Cross sectional aspect ratio was hypothesized to be important for stomatal opening by (refs). </w:t>
      </w:r>
      <w:r w:rsidR="00524541">
        <w:rPr>
          <w:rFonts w:eastAsia="Times New Roman" w:cs="Segoe UI"/>
          <w:color w:val="222222"/>
          <w:kern w:val="0"/>
          <w:sz w:val="22"/>
          <w:szCs w:val="22"/>
          <w:lang w:eastAsia="en-GB"/>
          <w14:ligatures w14:val="none"/>
        </w:rPr>
        <w:t>We therefore added this feature to our idealised meshes, matching their cross-sectional aspect ratio, defined by the long axis / the short axis, to their corresponding confocal derived mesh.</w:t>
      </w:r>
    </w:p>
    <w:p w14:paraId="6D2F5A92" w14:textId="6EB76141" w:rsidR="00A95A50" w:rsidRDefault="00A95A50" w:rsidP="00A95A50">
      <w:pPr>
        <w:rPr>
          <w:rFonts w:eastAsia="Times New Roman" w:cs="Segoe UI"/>
          <w:color w:val="222222"/>
          <w:kern w:val="0"/>
          <w:sz w:val="22"/>
          <w:szCs w:val="22"/>
          <w:lang w:eastAsia="en-GB"/>
          <w14:ligatures w14:val="none"/>
        </w:rPr>
      </w:pPr>
    </w:p>
    <w:p w14:paraId="0E362A30" w14:textId="7D3341C5" w:rsidR="0051491E" w:rsidRDefault="0051491E" w:rsidP="00A95A50">
      <w:pPr>
        <w:rPr>
          <w:rFonts w:eastAsia="Times New Roman" w:cs="Segoe UI"/>
          <w:color w:val="222222"/>
          <w:kern w:val="0"/>
          <w:sz w:val="22"/>
          <w:szCs w:val="22"/>
          <w:lang w:eastAsia="en-GB"/>
          <w14:ligatures w14:val="none"/>
        </w:rPr>
      </w:pPr>
    </w:p>
    <w:tbl>
      <w:tblPr>
        <w:tblStyle w:val="TableGrid"/>
        <w:tblW w:w="0" w:type="auto"/>
        <w:tblLook w:val="04A0" w:firstRow="1" w:lastRow="0" w:firstColumn="1" w:lastColumn="0" w:noHBand="0" w:noVBand="1"/>
      </w:tblPr>
      <w:tblGrid>
        <w:gridCol w:w="4116"/>
        <w:gridCol w:w="4900"/>
      </w:tblGrid>
      <w:tr w:rsidR="008E4F51" w14:paraId="17297951" w14:textId="77777777" w:rsidTr="00876104">
        <w:tc>
          <w:tcPr>
            <w:tcW w:w="4248" w:type="dxa"/>
          </w:tcPr>
          <w:p w14:paraId="1815D8E2" w14:textId="01187F74" w:rsidR="0051491E" w:rsidRDefault="00876104" w:rsidP="00A95A50">
            <w:pPr>
              <w:rPr>
                <w:rFonts w:eastAsia="Times New Roman" w:cs="Segoe UI"/>
                <w:color w:val="222222"/>
                <w:kern w:val="0"/>
                <w:sz w:val="22"/>
                <w:szCs w:val="22"/>
                <w:lang w:eastAsia="en-GB"/>
                <w14:ligatures w14:val="none"/>
              </w:rPr>
            </w:pPr>
            <w:r>
              <w:rPr>
                <w:rFonts w:eastAsia="Times New Roman" w:cs="Segoe UI"/>
                <w:noProof/>
                <w:color w:val="222222"/>
                <w:kern w:val="0"/>
                <w:sz w:val="22"/>
                <w:szCs w:val="22"/>
                <w:lang w:eastAsia="en-GB"/>
              </w:rPr>
              <w:lastRenderedPageBreak/>
              <w:drawing>
                <wp:inline distT="0" distB="0" distL="0" distR="0" wp14:anchorId="23DE365F" wp14:editId="68DF24B6">
                  <wp:extent cx="2466051" cy="1646522"/>
                  <wp:effectExtent l="0" t="0" r="0" b="0"/>
                  <wp:docPr id="1784091038" name="Picture 3" descr="A close-up of a white and orange ob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091038" name="Picture 3" descr="A close-up of a white and orange object&#10;&#10;AI-generated content may be incorrect."/>
                          <pic:cNvPicPr/>
                        </pic:nvPicPr>
                        <pic:blipFill rotWithShape="1">
                          <a:blip r:embed="rId10" cstate="print">
                            <a:extLst>
                              <a:ext uri="{28A0092B-C50C-407E-A947-70E740481C1C}">
                                <a14:useLocalDpi xmlns:a14="http://schemas.microsoft.com/office/drawing/2010/main" val="0"/>
                              </a:ext>
                            </a:extLst>
                          </a:blip>
                          <a:srcRect l="12061" r="13053"/>
                          <a:stretch/>
                        </pic:blipFill>
                        <pic:spPr bwMode="auto">
                          <a:xfrm>
                            <a:off x="0" y="0"/>
                            <a:ext cx="2495095" cy="1665914"/>
                          </a:xfrm>
                          <a:prstGeom prst="rect">
                            <a:avLst/>
                          </a:prstGeom>
                          <a:ln>
                            <a:noFill/>
                          </a:ln>
                          <a:extLst>
                            <a:ext uri="{53640926-AAD7-44D8-BBD7-CCE9431645EC}">
                              <a14:shadowObscured xmlns:a14="http://schemas.microsoft.com/office/drawing/2010/main"/>
                            </a:ext>
                          </a:extLst>
                        </pic:spPr>
                      </pic:pic>
                    </a:graphicData>
                  </a:graphic>
                </wp:inline>
              </w:drawing>
            </w:r>
          </w:p>
        </w:tc>
        <w:tc>
          <w:tcPr>
            <w:tcW w:w="4768" w:type="dxa"/>
          </w:tcPr>
          <w:p w14:paraId="09940288" w14:textId="77777777" w:rsidR="0059764B" w:rsidRDefault="0059764B" w:rsidP="00A95A50">
            <w:pPr>
              <w:rPr>
                <w:rFonts w:eastAsia="Times New Roman" w:cs="Segoe UI"/>
                <w:color w:val="222222"/>
                <w:kern w:val="0"/>
                <w:sz w:val="22"/>
                <w:szCs w:val="22"/>
                <w:lang w:eastAsia="en-GB"/>
                <w14:ligatures w14:val="none"/>
              </w:rPr>
            </w:pPr>
          </w:p>
          <w:p w14:paraId="192E1006" w14:textId="49EEEF9D" w:rsidR="0051491E" w:rsidRDefault="00AD026D" w:rsidP="00A95A50">
            <w:pPr>
              <w:rPr>
                <w:rFonts w:eastAsia="Times New Roman" w:cs="Segoe UI"/>
                <w:color w:val="222222"/>
                <w:kern w:val="0"/>
                <w:sz w:val="22"/>
                <w:szCs w:val="22"/>
                <w:lang w:eastAsia="en-GB"/>
                <w14:ligatures w14:val="none"/>
              </w:rPr>
            </w:pPr>
            <w:r>
              <w:rPr>
                <w:rFonts w:eastAsia="Times New Roman" w:cs="Segoe UI"/>
                <w:noProof/>
                <w:color w:val="222222"/>
                <w:kern w:val="0"/>
                <w:sz w:val="22"/>
                <w:szCs w:val="22"/>
                <w:lang w:eastAsia="en-GB"/>
              </w:rPr>
              <w:drawing>
                <wp:inline distT="0" distB="0" distL="0" distR="0" wp14:anchorId="6E6B2F73" wp14:editId="5C38FE69">
                  <wp:extent cx="2974689" cy="2656655"/>
                  <wp:effectExtent l="0" t="0" r="0" b="0"/>
                  <wp:docPr id="542018613" name="Picture 14" descr="A group of different shap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018613" name="Picture 14" descr="A group of different shapes&#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032532" cy="2708314"/>
                          </a:xfrm>
                          <a:prstGeom prst="rect">
                            <a:avLst/>
                          </a:prstGeom>
                        </pic:spPr>
                      </pic:pic>
                    </a:graphicData>
                  </a:graphic>
                </wp:inline>
              </w:drawing>
            </w:r>
          </w:p>
        </w:tc>
      </w:tr>
      <w:tr w:rsidR="008E4F51" w14:paraId="624841A4" w14:textId="77777777" w:rsidTr="00876104">
        <w:tc>
          <w:tcPr>
            <w:tcW w:w="4248" w:type="dxa"/>
          </w:tcPr>
          <w:p w14:paraId="410389A4" w14:textId="4BE90FF5" w:rsidR="00D74A5D" w:rsidRDefault="00876104" w:rsidP="00A95A50">
            <w:pPr>
              <w:rPr>
                <w:rFonts w:eastAsia="Times New Roman" w:cs="Segoe UI"/>
                <w:noProof/>
                <w:color w:val="222222"/>
                <w:kern w:val="0"/>
                <w:sz w:val="22"/>
                <w:szCs w:val="22"/>
                <w:lang w:eastAsia="en-GB"/>
              </w:rPr>
            </w:pPr>
            <w:r>
              <w:rPr>
                <w:rFonts w:eastAsia="Times New Roman" w:cs="Segoe UI"/>
                <w:noProof/>
                <w:color w:val="222222"/>
                <w:kern w:val="0"/>
                <w:sz w:val="22"/>
                <w:szCs w:val="22"/>
                <w:lang w:eastAsia="en-GB"/>
              </w:rPr>
              <w:drawing>
                <wp:inline distT="0" distB="0" distL="0" distR="0" wp14:anchorId="09DF9083" wp14:editId="60B7AD28">
                  <wp:extent cx="1856048" cy="1547823"/>
                  <wp:effectExtent l="0" t="0" r="0" b="1905"/>
                  <wp:docPr id="526885924" name="Picture 8" descr="A circle with black lines and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885924" name="Picture 8" descr="A circle with black lines and white text&#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900388" cy="1584800"/>
                          </a:xfrm>
                          <a:prstGeom prst="rect">
                            <a:avLst/>
                          </a:prstGeom>
                        </pic:spPr>
                      </pic:pic>
                    </a:graphicData>
                  </a:graphic>
                </wp:inline>
              </w:drawing>
            </w:r>
          </w:p>
        </w:tc>
        <w:tc>
          <w:tcPr>
            <w:tcW w:w="4768" w:type="dxa"/>
          </w:tcPr>
          <w:p w14:paraId="3FC4218F" w14:textId="2A0C34D7" w:rsidR="00D74A5D" w:rsidRDefault="008E4F51" w:rsidP="00A95A50">
            <w:pPr>
              <w:rPr>
                <w:rFonts w:eastAsia="Times New Roman" w:cs="Segoe UI"/>
                <w:color w:val="222222"/>
                <w:kern w:val="0"/>
                <w:sz w:val="22"/>
                <w:szCs w:val="22"/>
                <w:lang w:eastAsia="en-GB"/>
                <w14:ligatures w14:val="none"/>
              </w:rPr>
            </w:pPr>
            <w:r>
              <w:rPr>
                <w:rFonts w:eastAsia="Times New Roman" w:cs="Segoe UI"/>
                <w:noProof/>
                <w:color w:val="222222"/>
                <w:kern w:val="0"/>
                <w:sz w:val="22"/>
                <w:szCs w:val="22"/>
                <w:lang w:eastAsia="en-GB"/>
              </w:rPr>
              <w:drawing>
                <wp:inline distT="0" distB="0" distL="0" distR="0" wp14:anchorId="3153E670" wp14:editId="706250BC">
                  <wp:extent cx="2328533" cy="2328533"/>
                  <wp:effectExtent l="0" t="0" r="0" b="0"/>
                  <wp:docPr id="973169490" name="Picture 6" descr="A diagram of a distribution of midpoi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169490" name="Picture 6" descr="A diagram of a distribution of midpoint&#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360418" cy="2360418"/>
                          </a:xfrm>
                          <a:prstGeom prst="rect">
                            <a:avLst/>
                          </a:prstGeom>
                        </pic:spPr>
                      </pic:pic>
                    </a:graphicData>
                  </a:graphic>
                </wp:inline>
              </w:drawing>
            </w:r>
          </w:p>
        </w:tc>
      </w:tr>
      <w:tr w:rsidR="008E4F51" w14:paraId="697159F0" w14:textId="77777777" w:rsidTr="00876104">
        <w:tc>
          <w:tcPr>
            <w:tcW w:w="4248" w:type="dxa"/>
          </w:tcPr>
          <w:p w14:paraId="393797B0" w14:textId="7716C271" w:rsidR="00211794" w:rsidRDefault="00876104" w:rsidP="00A95A50">
            <w:pPr>
              <w:rPr>
                <w:rFonts w:eastAsia="Times New Roman" w:cs="Segoe UI"/>
                <w:noProof/>
                <w:color w:val="222222"/>
                <w:kern w:val="0"/>
                <w:sz w:val="22"/>
                <w:szCs w:val="22"/>
                <w:lang w:eastAsia="en-GB"/>
              </w:rPr>
            </w:pPr>
            <w:r>
              <w:rPr>
                <w:rFonts w:eastAsia="Times New Roman" w:cs="Segoe UI"/>
                <w:noProof/>
                <w:color w:val="222222"/>
                <w:kern w:val="0"/>
                <w:sz w:val="22"/>
                <w:szCs w:val="22"/>
                <w:lang w:eastAsia="en-GB"/>
              </w:rPr>
              <w:drawing>
                <wp:inline distT="0" distB="0" distL="0" distR="0" wp14:anchorId="3F2E509A" wp14:editId="0A4767B5">
                  <wp:extent cx="2207491" cy="2207491"/>
                  <wp:effectExtent l="0" t="0" r="0" b="0"/>
                  <wp:docPr id="1020437909" name="Picture 6" descr="A screen shot of a cell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437909" name="Picture 6" descr="A screen shot of a cellphone&#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239616" cy="2239616"/>
                          </a:xfrm>
                          <a:prstGeom prst="rect">
                            <a:avLst/>
                          </a:prstGeom>
                        </pic:spPr>
                      </pic:pic>
                    </a:graphicData>
                  </a:graphic>
                </wp:inline>
              </w:drawing>
            </w:r>
          </w:p>
        </w:tc>
        <w:tc>
          <w:tcPr>
            <w:tcW w:w="4768" w:type="dxa"/>
          </w:tcPr>
          <w:p w14:paraId="24C30A5D" w14:textId="46E486BD" w:rsidR="00211794" w:rsidRDefault="008E4F51" w:rsidP="00A95A50">
            <w:pPr>
              <w:rPr>
                <w:rFonts w:eastAsia="Times New Roman" w:cs="Segoe UI"/>
                <w:noProof/>
                <w:color w:val="222222"/>
                <w:kern w:val="0"/>
                <w:sz w:val="22"/>
                <w:szCs w:val="22"/>
                <w:lang w:eastAsia="en-GB"/>
              </w:rPr>
            </w:pPr>
            <w:r>
              <w:rPr>
                <w:rFonts w:eastAsia="Times New Roman" w:cs="Segoe UI"/>
                <w:noProof/>
                <w:color w:val="222222"/>
                <w:kern w:val="0"/>
                <w:sz w:val="22"/>
                <w:szCs w:val="22"/>
                <w:lang w:eastAsia="en-GB"/>
              </w:rPr>
              <w:drawing>
                <wp:inline distT="0" distB="0" distL="0" distR="0" wp14:anchorId="4811EBF5" wp14:editId="5874CC76">
                  <wp:extent cx="2501660" cy="2501660"/>
                  <wp:effectExtent l="0" t="0" r="635" b="635"/>
                  <wp:docPr id="324595696" name="Picture 7" descr="A diagram of a scribble circ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595696" name="Picture 7" descr="A diagram of a scribble circle&#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523081" cy="2523081"/>
                          </a:xfrm>
                          <a:prstGeom prst="rect">
                            <a:avLst/>
                          </a:prstGeom>
                        </pic:spPr>
                      </pic:pic>
                    </a:graphicData>
                  </a:graphic>
                </wp:inline>
              </w:drawing>
            </w:r>
          </w:p>
        </w:tc>
      </w:tr>
    </w:tbl>
    <w:p w14:paraId="1DD4F24A" w14:textId="0993537E" w:rsidR="0051491E" w:rsidRDefault="0051491E" w:rsidP="00A95A50">
      <w:pPr>
        <w:rPr>
          <w:rFonts w:eastAsia="Times New Roman" w:cs="Segoe UI"/>
          <w:color w:val="222222"/>
          <w:kern w:val="0"/>
          <w:sz w:val="22"/>
          <w:szCs w:val="22"/>
          <w:lang w:eastAsia="en-GB"/>
          <w14:ligatures w14:val="none"/>
        </w:rPr>
      </w:pPr>
    </w:p>
    <w:p w14:paraId="60639F19" w14:textId="5B9639D7" w:rsidR="00D74A5D" w:rsidRDefault="00D74A5D" w:rsidP="00A95A50">
      <w:pPr>
        <w:rPr>
          <w:rFonts w:eastAsia="Times New Roman" w:cs="Segoe UI"/>
          <w:color w:val="222222"/>
          <w:kern w:val="0"/>
          <w:sz w:val="22"/>
          <w:szCs w:val="22"/>
          <w:lang w:eastAsia="en-GB"/>
          <w14:ligatures w14:val="none"/>
        </w:rPr>
      </w:pPr>
      <w:r>
        <w:rPr>
          <w:rFonts w:eastAsia="Times New Roman" w:cs="Segoe UI"/>
          <w:color w:val="222222"/>
          <w:kern w:val="0"/>
          <w:sz w:val="22"/>
          <w:szCs w:val="22"/>
          <w:lang w:eastAsia="en-GB"/>
          <w14:ligatures w14:val="none"/>
        </w:rPr>
        <w:t>Fig</w:t>
      </w:r>
      <w:r w:rsidR="00524541">
        <w:rPr>
          <w:rFonts w:eastAsia="Times New Roman" w:cs="Segoe UI"/>
          <w:color w:val="222222"/>
          <w:kern w:val="0"/>
          <w:sz w:val="22"/>
          <w:szCs w:val="22"/>
          <w:lang w:eastAsia="en-GB"/>
          <w14:ligatures w14:val="none"/>
        </w:rPr>
        <w:t>ure 4</w:t>
      </w:r>
      <w:r>
        <w:rPr>
          <w:rFonts w:eastAsia="Times New Roman" w:cs="Segoe UI"/>
          <w:color w:val="222222"/>
          <w:kern w:val="0"/>
          <w:sz w:val="22"/>
          <w:szCs w:val="22"/>
          <w:lang w:eastAsia="en-GB"/>
          <w14:ligatures w14:val="none"/>
        </w:rPr>
        <w:t>: Onion guard cells have oval cross sections at their midpoint.</w:t>
      </w:r>
      <w:r w:rsidR="00D122B8">
        <w:rPr>
          <w:rFonts w:eastAsia="Times New Roman" w:cs="Segoe UI"/>
          <w:color w:val="222222"/>
          <w:kern w:val="0"/>
          <w:sz w:val="22"/>
          <w:szCs w:val="22"/>
          <w:lang w:eastAsia="en-GB"/>
          <w14:ligatures w14:val="none"/>
        </w:rPr>
        <w:t xml:space="preserve"> </w:t>
      </w:r>
    </w:p>
    <w:p w14:paraId="1C3254EC" w14:textId="77777777" w:rsidR="006E4B4D" w:rsidRDefault="006E4B4D" w:rsidP="00A95A50">
      <w:pPr>
        <w:rPr>
          <w:rFonts w:eastAsia="Times New Roman" w:cs="Segoe UI"/>
          <w:color w:val="222222"/>
          <w:kern w:val="0"/>
          <w:sz w:val="22"/>
          <w:szCs w:val="22"/>
          <w:lang w:eastAsia="en-GB"/>
          <w14:ligatures w14:val="none"/>
        </w:rPr>
      </w:pPr>
    </w:p>
    <w:p w14:paraId="2AB79A90" w14:textId="48960A3E" w:rsidR="006E4B4D" w:rsidRDefault="006E4B4D" w:rsidP="00A95A50">
      <w:pPr>
        <w:rPr>
          <w:rFonts w:eastAsia="Times New Roman" w:cs="Segoe UI"/>
          <w:color w:val="222222"/>
          <w:kern w:val="0"/>
          <w:sz w:val="22"/>
          <w:szCs w:val="22"/>
          <w:lang w:eastAsia="en-GB"/>
          <w14:ligatures w14:val="none"/>
        </w:rPr>
      </w:pPr>
      <w:r>
        <w:rPr>
          <w:rFonts w:eastAsia="Times New Roman" w:cs="Segoe UI"/>
          <w:noProof/>
          <w:color w:val="222222"/>
          <w:kern w:val="0"/>
          <w:sz w:val="22"/>
          <w:szCs w:val="22"/>
          <w:lang w:eastAsia="en-GB"/>
        </w:rPr>
        <w:lastRenderedPageBreak/>
        <w:drawing>
          <wp:inline distT="0" distB="0" distL="0" distR="0" wp14:anchorId="1DFECE69" wp14:editId="3C1199D5">
            <wp:extent cx="5731510" cy="4298950"/>
            <wp:effectExtent l="0" t="0" r="0" b="6350"/>
            <wp:docPr id="147982878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828788" name="Picture 1479828788"/>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31510" cy="4298950"/>
                    </a:xfrm>
                    <a:prstGeom prst="rect">
                      <a:avLst/>
                    </a:prstGeom>
                  </pic:spPr>
                </pic:pic>
              </a:graphicData>
            </a:graphic>
          </wp:inline>
        </w:drawing>
      </w:r>
    </w:p>
    <w:p w14:paraId="6404696B" w14:textId="2E7863A3" w:rsidR="00D122B8" w:rsidRDefault="00524541" w:rsidP="00A95A50">
      <w:pPr>
        <w:rPr>
          <w:rFonts w:eastAsia="Times New Roman" w:cs="Segoe UI"/>
          <w:color w:val="222222"/>
          <w:kern w:val="0"/>
          <w:sz w:val="22"/>
          <w:szCs w:val="22"/>
          <w:lang w:eastAsia="en-GB"/>
          <w14:ligatures w14:val="none"/>
        </w:rPr>
      </w:pPr>
      <w:r>
        <w:rPr>
          <w:rFonts w:eastAsia="Times New Roman" w:cs="Segoe UI"/>
          <w:color w:val="222222"/>
          <w:kern w:val="0"/>
          <w:sz w:val="22"/>
          <w:szCs w:val="22"/>
          <w:lang w:eastAsia="en-GB"/>
          <w14:ligatures w14:val="none"/>
        </w:rPr>
        <w:t>Figure 5: Introducing the correct aspect ratio allows the idealised meshes to open.</w:t>
      </w:r>
    </w:p>
    <w:p w14:paraId="7CFB3F6C" w14:textId="19C3419B" w:rsidR="00A32568" w:rsidRDefault="00A32568" w:rsidP="00A95A50">
      <w:pPr>
        <w:rPr>
          <w:rFonts w:eastAsia="Times New Roman" w:cs="Segoe UI"/>
          <w:color w:val="222222"/>
          <w:kern w:val="0"/>
          <w:sz w:val="22"/>
          <w:szCs w:val="22"/>
          <w:lang w:eastAsia="en-GB"/>
          <w14:ligatures w14:val="none"/>
        </w:rPr>
      </w:pPr>
    </w:p>
    <w:p w14:paraId="5F58CC35" w14:textId="1645FC61" w:rsidR="005A1D2E" w:rsidRDefault="00DA20B1" w:rsidP="00A95A50">
      <w:pPr>
        <w:rPr>
          <w:rFonts w:eastAsia="Times New Roman" w:cs="Segoe UI"/>
          <w:color w:val="222222"/>
          <w:kern w:val="0"/>
          <w:sz w:val="22"/>
          <w:szCs w:val="22"/>
          <w:lang w:eastAsia="en-GB"/>
          <w14:ligatures w14:val="none"/>
        </w:rPr>
      </w:pPr>
      <w:r>
        <w:rPr>
          <w:rFonts w:eastAsia="Times New Roman" w:cs="Segoe UI"/>
          <w:color w:val="222222"/>
          <w:kern w:val="0"/>
          <w:sz w:val="22"/>
          <w:szCs w:val="22"/>
          <w:lang w:eastAsia="en-GB"/>
          <w14:ligatures w14:val="none"/>
        </w:rPr>
        <w:t xml:space="preserve">Changing the </w:t>
      </w:r>
      <w:proofErr w:type="gramStart"/>
      <w:r>
        <w:rPr>
          <w:rFonts w:eastAsia="Times New Roman" w:cs="Segoe UI"/>
          <w:color w:val="222222"/>
          <w:kern w:val="0"/>
          <w:sz w:val="22"/>
          <w:szCs w:val="22"/>
          <w:lang w:eastAsia="en-GB"/>
          <w14:ligatures w14:val="none"/>
        </w:rPr>
        <w:t>cross sectional</w:t>
      </w:r>
      <w:proofErr w:type="gramEnd"/>
      <w:r>
        <w:rPr>
          <w:rFonts w:eastAsia="Times New Roman" w:cs="Segoe UI"/>
          <w:color w:val="222222"/>
          <w:kern w:val="0"/>
          <w:sz w:val="22"/>
          <w:szCs w:val="22"/>
          <w:lang w:eastAsia="en-GB"/>
          <w14:ligatures w14:val="none"/>
        </w:rPr>
        <w:t xml:space="preserve"> aspect ratio had a significant impact on the simulations, resulting in nearly </w:t>
      </w:r>
      <w:proofErr w:type="gramStart"/>
      <w:r>
        <w:rPr>
          <w:rFonts w:eastAsia="Times New Roman" w:cs="Segoe UI"/>
          <w:color w:val="222222"/>
          <w:kern w:val="0"/>
          <w:sz w:val="22"/>
          <w:szCs w:val="22"/>
          <w:lang w:eastAsia="en-GB"/>
          <w14:ligatures w14:val="none"/>
        </w:rPr>
        <w:t>all of</w:t>
      </w:r>
      <w:proofErr w:type="gramEnd"/>
      <w:r>
        <w:rPr>
          <w:rFonts w:eastAsia="Times New Roman" w:cs="Segoe UI"/>
          <w:color w:val="222222"/>
          <w:kern w:val="0"/>
          <w:sz w:val="22"/>
          <w:szCs w:val="22"/>
          <w:lang w:eastAsia="en-GB"/>
          <w14:ligatures w14:val="none"/>
        </w:rPr>
        <w:t xml:space="preserve"> the models using idealised meshes showing stomatal opening on inflation (Fig. 5). This shows that, in contrast to previous hypotheses, features such as radial stiffening and pore pinning are not essential </w:t>
      </w:r>
      <w:proofErr w:type="gramStart"/>
      <w:r>
        <w:rPr>
          <w:rFonts w:eastAsia="Times New Roman" w:cs="Segoe UI"/>
          <w:color w:val="222222"/>
          <w:kern w:val="0"/>
          <w:sz w:val="22"/>
          <w:szCs w:val="22"/>
          <w:lang w:eastAsia="en-GB"/>
          <w14:ligatures w14:val="none"/>
        </w:rPr>
        <w:t>in order for</w:t>
      </w:r>
      <w:proofErr w:type="gramEnd"/>
      <w:r>
        <w:rPr>
          <w:rFonts w:eastAsia="Times New Roman" w:cs="Segoe UI"/>
          <w:color w:val="222222"/>
          <w:kern w:val="0"/>
          <w:sz w:val="22"/>
          <w:szCs w:val="22"/>
          <w:lang w:eastAsia="en-GB"/>
          <w14:ligatures w14:val="none"/>
        </w:rPr>
        <w:t xml:space="preserve"> stomata to open.</w:t>
      </w:r>
      <w:r w:rsidR="000B5FCF">
        <w:rPr>
          <w:rFonts w:eastAsia="Times New Roman" w:cs="Segoe UI"/>
          <w:color w:val="222222"/>
          <w:kern w:val="0"/>
          <w:sz w:val="22"/>
          <w:szCs w:val="22"/>
          <w:lang w:eastAsia="en-GB"/>
          <w14:ligatures w14:val="none"/>
        </w:rPr>
        <w:t xml:space="preserve"> </w:t>
      </w:r>
      <w:r>
        <w:rPr>
          <w:rFonts w:eastAsia="Times New Roman" w:cs="Segoe UI"/>
          <w:color w:val="222222"/>
          <w:kern w:val="0"/>
          <w:sz w:val="22"/>
          <w:szCs w:val="22"/>
          <w:lang w:eastAsia="en-GB"/>
          <w14:ligatures w14:val="none"/>
        </w:rPr>
        <w:t xml:space="preserve">As with the dumbbell-shaped grass stomata, guard cell geometry plays a significant role in stomatal opening </w:t>
      </w:r>
      <w:r w:rsidR="00D372B7">
        <w:rPr>
          <w:rFonts w:eastAsia="Times New Roman" w:cs="Segoe UI"/>
          <w:color w:val="222222"/>
          <w:kern w:val="0"/>
          <w:sz w:val="22"/>
          <w:szCs w:val="22"/>
          <w:lang w:eastAsia="en-GB"/>
          <w14:ligatures w14:val="none"/>
        </w:rPr>
        <w:fldChar w:fldCharType="begin"/>
      </w:r>
      <w:r w:rsidR="00D372B7">
        <w:rPr>
          <w:rFonts w:eastAsia="Times New Roman" w:cs="Segoe UI"/>
          <w:color w:val="222222"/>
          <w:kern w:val="0"/>
          <w:sz w:val="22"/>
          <w:szCs w:val="22"/>
          <w:lang w:eastAsia="en-GB"/>
          <w14:ligatures w14:val="none"/>
        </w:rPr>
        <w:instrText xml:space="preserve"> ADDIN ZOTERO_ITEM CSL_CITATION {"citationID":"CQZNzDfB","properties":{"formattedCitation":"(Durney et al., 2023)","plainCitation":"(Durney et al., 2023)","noteIndex":0},"citationItems":[{"id":3179,"uris":["http://zotero.org/groups/5587676/items/WS7FWLM9"],"itemData":{"id":3179,"type":"article-journal","abstract":"Stomata are controllable micropores formed between two adjacent guard cells (GCs) that regulate gas ﬂow across the plant surface.1 Grasses, among the most successful organisms on the planet and the main food crops for humanity, have GCs ﬂanked by specialized lateral subsidiary cells (SCs).2–4 SCs improve performance by acting as a local pool of ions and metabolites to drive changes in turgor pressure within the GCs that open/close the stomatal pore.4–8 The 4-celled complex also involves distinctive changes in geometry, having dumbbell-shaped GCs compared with typical kidney-shaped stomata.2,4,9 However, the degree to which this distinctive geometry contributes to improved stomatal performance, and the underlying mechanism, remains unclear. To address this question, we created a ﬁnite element method (FEM) model of a grass stomatal complex that successfully captures experimentally observed pore opening/closure. Exploration of the model, including in silico and experimental mutant analyses, supports the importance of a reciprocal pressure system between GCs and SCs for effective stomatal function, with SCs functioning as springs to restrain lateral GC movement. Our results show that SCs are not essential but lead to a more responsive system. In addition, we show that GC wall anisotropy is not required for grass stomatal function (in contrast to kidney-shaped GCs10) but that a relatively thick GC rod region is needed to enhance pore opening. Our results demonstrate that a speciﬁc cellular geometry and associated mechanical properties are required for the effective functioning of grass stomata.","container-title":"Current Biology","DOI":"10.1016/j.cub.2023.05.051","ISSN":"09609822","issue":"13","journalAbbreviation":"Current Biology","language":"en","license":"All rights reserved","page":"2814-2822.e4","source":"DOI.org (Crossref)","title":"Grasses exploit geometry to achieve improved guard cell dynamics","volume":"33","author":[{"family":"Durney","given":"Clinton H."},{"family":"Wilson","given":"Matthew J."},{"family":"McGregor","given":"Shauni"},{"family":"Armand","given":"Jodie"},{"family":"Smith","given":"Richard S."},{"family":"Gray","given":"Julie E."},{"family":"Morris","given":"Richard J."},{"family":"Fleming","given":"Andrew J."}],"issued":{"date-parts":[["2023",7]]}}}],"schema":"https://github.com/citation-style-language/schema/raw/master/csl-citation.json"} </w:instrText>
      </w:r>
      <w:r w:rsidR="00D372B7">
        <w:rPr>
          <w:rFonts w:eastAsia="Times New Roman" w:cs="Segoe UI"/>
          <w:color w:val="222222"/>
          <w:kern w:val="0"/>
          <w:sz w:val="22"/>
          <w:szCs w:val="22"/>
          <w:lang w:eastAsia="en-GB"/>
          <w14:ligatures w14:val="none"/>
        </w:rPr>
        <w:fldChar w:fldCharType="separate"/>
      </w:r>
      <w:r w:rsidR="00D372B7">
        <w:rPr>
          <w:rFonts w:eastAsia="Times New Roman" w:cs="Segoe UI"/>
          <w:noProof/>
          <w:color w:val="222222"/>
          <w:kern w:val="0"/>
          <w:sz w:val="22"/>
          <w:szCs w:val="22"/>
          <w:lang w:eastAsia="en-GB"/>
          <w14:ligatures w14:val="none"/>
        </w:rPr>
        <w:t>(Durney et al., 2023)</w:t>
      </w:r>
      <w:r w:rsidR="00D372B7">
        <w:rPr>
          <w:rFonts w:eastAsia="Times New Roman" w:cs="Segoe UI"/>
          <w:color w:val="222222"/>
          <w:kern w:val="0"/>
          <w:sz w:val="22"/>
          <w:szCs w:val="22"/>
          <w:lang w:eastAsia="en-GB"/>
          <w14:ligatures w14:val="none"/>
        </w:rPr>
        <w:fldChar w:fldCharType="end"/>
      </w:r>
      <w:r w:rsidR="00D372B7">
        <w:rPr>
          <w:rFonts w:eastAsia="Times New Roman" w:cs="Segoe UI"/>
          <w:color w:val="222222"/>
          <w:kern w:val="0"/>
          <w:sz w:val="22"/>
          <w:szCs w:val="22"/>
          <w:lang w:eastAsia="en-GB"/>
          <w14:ligatures w14:val="none"/>
        </w:rPr>
        <w:t xml:space="preserve">. </w:t>
      </w:r>
      <w:r w:rsidR="005A1D2E">
        <w:rPr>
          <w:rFonts w:eastAsia="Times New Roman" w:cs="Segoe UI"/>
          <w:color w:val="222222"/>
          <w:kern w:val="0"/>
          <w:sz w:val="22"/>
          <w:szCs w:val="22"/>
          <w:lang w:eastAsia="en-GB"/>
          <w14:ligatures w14:val="none"/>
        </w:rPr>
        <w:t>Whilst this does not mean that radial stiffening and pore pinning play no role in stomatal opening,</w:t>
      </w:r>
      <w:r w:rsidR="00D372B7">
        <w:rPr>
          <w:rFonts w:eastAsia="Times New Roman" w:cs="Segoe UI"/>
          <w:color w:val="222222"/>
          <w:kern w:val="0"/>
          <w:sz w:val="22"/>
          <w:szCs w:val="22"/>
          <w:lang w:eastAsia="en-GB"/>
          <w14:ligatures w14:val="none"/>
        </w:rPr>
        <w:t xml:space="preserve"> it does demonstrate that these are not essential</w:t>
      </w:r>
      <w:r w:rsidR="005A1D2E">
        <w:rPr>
          <w:rFonts w:eastAsia="Times New Roman" w:cs="Segoe UI"/>
          <w:color w:val="222222"/>
          <w:kern w:val="0"/>
          <w:sz w:val="22"/>
          <w:szCs w:val="22"/>
          <w:lang w:eastAsia="en-GB"/>
          <w14:ligatures w14:val="none"/>
        </w:rPr>
        <w:t>.</w:t>
      </w:r>
    </w:p>
    <w:p w14:paraId="3B782950" w14:textId="77777777" w:rsidR="000415DD" w:rsidRDefault="000415DD" w:rsidP="00A95A50">
      <w:pPr>
        <w:rPr>
          <w:rFonts w:eastAsia="Times New Roman" w:cs="Segoe UI"/>
          <w:color w:val="222222"/>
          <w:kern w:val="0"/>
          <w:sz w:val="22"/>
          <w:szCs w:val="22"/>
          <w:lang w:eastAsia="en-GB"/>
          <w14:ligatures w14:val="none"/>
        </w:rPr>
      </w:pPr>
    </w:p>
    <w:p w14:paraId="211DA406" w14:textId="251210A2" w:rsidR="000415DD" w:rsidRPr="000415DD" w:rsidRDefault="000415DD" w:rsidP="00A95A50">
      <w:pPr>
        <w:rPr>
          <w:rFonts w:eastAsia="Times New Roman" w:cs="Segoe UI"/>
          <w:b/>
          <w:bCs/>
          <w:color w:val="222222"/>
          <w:kern w:val="0"/>
          <w:sz w:val="22"/>
          <w:szCs w:val="22"/>
          <w:lang w:eastAsia="en-GB"/>
          <w14:ligatures w14:val="none"/>
        </w:rPr>
      </w:pPr>
      <w:r w:rsidRPr="000415DD">
        <w:rPr>
          <w:rFonts w:eastAsia="Times New Roman" w:cs="Segoe UI"/>
          <w:b/>
          <w:bCs/>
          <w:color w:val="222222"/>
          <w:kern w:val="0"/>
          <w:sz w:val="22"/>
          <w:szCs w:val="22"/>
          <w:lang w:eastAsia="en-GB"/>
          <w14:ligatures w14:val="none"/>
        </w:rPr>
        <w:t>Cross-sectional aspect ratio varies between tip and midpoint</w:t>
      </w:r>
    </w:p>
    <w:p w14:paraId="4123A7CF" w14:textId="77777777" w:rsidR="004C4AB5" w:rsidRDefault="004C4AB5" w:rsidP="00A95A50">
      <w:pPr>
        <w:rPr>
          <w:rFonts w:eastAsia="Times New Roman" w:cs="Segoe UI"/>
          <w:color w:val="222222"/>
          <w:kern w:val="0"/>
          <w:sz w:val="22"/>
          <w:szCs w:val="22"/>
          <w:lang w:eastAsia="en-GB"/>
          <w14:ligatures w14:val="none"/>
        </w:rPr>
      </w:pPr>
    </w:p>
    <w:p w14:paraId="59E3181A" w14:textId="7424F5C2" w:rsidR="004C4AB5" w:rsidRDefault="00493E8C" w:rsidP="00057600">
      <w:pPr>
        <w:rPr>
          <w:rFonts w:eastAsia="Times New Roman" w:cs="Segoe UI"/>
          <w:color w:val="222222"/>
          <w:kern w:val="0"/>
          <w:sz w:val="22"/>
          <w:szCs w:val="22"/>
          <w:lang w:eastAsia="en-GB"/>
          <w14:ligatures w14:val="none"/>
        </w:rPr>
      </w:pPr>
      <w:r>
        <w:rPr>
          <w:rFonts w:eastAsia="Times New Roman" w:cs="Segoe UI"/>
          <w:color w:val="222222"/>
          <w:kern w:val="0"/>
          <w:sz w:val="22"/>
          <w:szCs w:val="22"/>
          <w:lang w:eastAsia="en-GB"/>
          <w14:ligatures w14:val="none"/>
        </w:rPr>
        <w:t>For our meshes, we took the cross-sectional aspect ratio from the midpoint of the guard cell. However</w:t>
      </w:r>
      <w:r w:rsidR="00057600">
        <w:rPr>
          <w:rFonts w:eastAsia="Times New Roman" w:cs="Segoe UI"/>
          <w:color w:val="222222"/>
          <w:kern w:val="0"/>
          <w:sz w:val="22"/>
          <w:szCs w:val="22"/>
          <w:lang w:eastAsia="en-GB"/>
          <w14:ligatures w14:val="none"/>
        </w:rPr>
        <w:t xml:space="preserve">, </w:t>
      </w:r>
      <w:r w:rsidR="004C4AB5">
        <w:rPr>
          <w:rFonts w:eastAsia="Times New Roman" w:cs="Segoe UI"/>
          <w:color w:val="222222"/>
          <w:kern w:val="0"/>
          <w:sz w:val="22"/>
          <w:szCs w:val="22"/>
          <w:lang w:eastAsia="en-GB"/>
          <w14:ligatures w14:val="none"/>
        </w:rPr>
        <w:t>whilst the cross-sectional aspect ratio</w:t>
      </w:r>
      <w:r w:rsidR="00724331">
        <w:rPr>
          <w:rFonts w:eastAsia="Times New Roman" w:cs="Segoe UI"/>
          <w:color w:val="222222"/>
          <w:kern w:val="0"/>
          <w:sz w:val="22"/>
          <w:szCs w:val="22"/>
          <w:lang w:eastAsia="en-GB"/>
          <w14:ligatures w14:val="none"/>
        </w:rPr>
        <w:t>s</w:t>
      </w:r>
      <w:r w:rsidR="004C4AB5">
        <w:rPr>
          <w:rFonts w:eastAsia="Times New Roman" w:cs="Segoe UI"/>
          <w:color w:val="222222"/>
          <w:kern w:val="0"/>
          <w:sz w:val="22"/>
          <w:szCs w:val="22"/>
          <w:lang w:eastAsia="en-GB"/>
          <w14:ligatures w14:val="none"/>
        </w:rPr>
        <w:t xml:space="preserve"> at the midpoint of the onion guard cells are oval, towards the tips, this cross section becomes more circular.</w:t>
      </w:r>
      <w:r>
        <w:rPr>
          <w:rFonts w:eastAsia="Times New Roman" w:cs="Segoe UI"/>
          <w:color w:val="222222"/>
          <w:kern w:val="0"/>
          <w:sz w:val="22"/>
          <w:szCs w:val="22"/>
          <w:lang w:eastAsia="en-GB"/>
          <w14:ligatures w14:val="none"/>
        </w:rPr>
        <w:t xml:space="preserve"> </w:t>
      </w:r>
    </w:p>
    <w:tbl>
      <w:tblPr>
        <w:tblStyle w:val="TableGrid"/>
        <w:tblW w:w="0" w:type="auto"/>
        <w:tblLook w:val="04A0" w:firstRow="1" w:lastRow="0" w:firstColumn="1" w:lastColumn="0" w:noHBand="0" w:noVBand="1"/>
      </w:tblPr>
      <w:tblGrid>
        <w:gridCol w:w="4522"/>
        <w:gridCol w:w="4494"/>
      </w:tblGrid>
      <w:tr w:rsidR="00977B51" w14:paraId="0661F73D" w14:textId="77777777" w:rsidTr="008E4F51">
        <w:tc>
          <w:tcPr>
            <w:tcW w:w="4508" w:type="dxa"/>
          </w:tcPr>
          <w:p w14:paraId="4A10324F" w14:textId="202B1D70" w:rsidR="008E4F51" w:rsidRDefault="008E4F51" w:rsidP="00A95A50">
            <w:pPr>
              <w:rPr>
                <w:rFonts w:eastAsia="Times New Roman" w:cs="Segoe UI"/>
                <w:color w:val="222222"/>
                <w:kern w:val="0"/>
                <w:sz w:val="22"/>
                <w:szCs w:val="22"/>
                <w:lang w:eastAsia="en-GB"/>
                <w14:ligatures w14:val="none"/>
              </w:rPr>
            </w:pPr>
            <w:r>
              <w:rPr>
                <w:rFonts w:eastAsia="Times New Roman" w:cs="Segoe UI"/>
                <w:noProof/>
                <w:color w:val="222222"/>
                <w:kern w:val="0"/>
                <w:sz w:val="22"/>
                <w:szCs w:val="22"/>
                <w:lang w:eastAsia="en-GB"/>
              </w:rPr>
              <w:lastRenderedPageBreak/>
              <w:drawing>
                <wp:inline distT="0" distB="0" distL="0" distR="0" wp14:anchorId="3115162C" wp14:editId="79C6BE05">
                  <wp:extent cx="2367419" cy="2367419"/>
                  <wp:effectExtent l="0" t="0" r="0" b="0"/>
                  <wp:docPr id="1813544533" name="Picture 8" descr="A diagram of a triangle with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544533" name="Picture 8" descr="A diagram of a triangle with colored lines&#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380202" cy="2380202"/>
                          </a:xfrm>
                          <a:prstGeom prst="rect">
                            <a:avLst/>
                          </a:prstGeom>
                        </pic:spPr>
                      </pic:pic>
                    </a:graphicData>
                  </a:graphic>
                </wp:inline>
              </w:drawing>
            </w:r>
          </w:p>
        </w:tc>
        <w:tc>
          <w:tcPr>
            <w:tcW w:w="4508" w:type="dxa"/>
          </w:tcPr>
          <w:p w14:paraId="6A66D764" w14:textId="323C421F" w:rsidR="008E4F51" w:rsidRDefault="008E4F51" w:rsidP="00A95A50">
            <w:pPr>
              <w:rPr>
                <w:rFonts w:eastAsia="Times New Roman" w:cs="Segoe UI"/>
                <w:color w:val="222222"/>
                <w:kern w:val="0"/>
                <w:sz w:val="22"/>
                <w:szCs w:val="22"/>
                <w:lang w:eastAsia="en-GB"/>
                <w14:ligatures w14:val="none"/>
              </w:rPr>
            </w:pPr>
            <w:r>
              <w:rPr>
                <w:rFonts w:eastAsia="Times New Roman" w:cs="Segoe UI"/>
                <w:noProof/>
                <w:color w:val="222222"/>
                <w:kern w:val="0"/>
                <w:sz w:val="22"/>
                <w:szCs w:val="22"/>
                <w:lang w:eastAsia="en-GB"/>
              </w:rPr>
              <w:drawing>
                <wp:inline distT="0" distB="0" distL="0" distR="0" wp14:anchorId="4CC173C8" wp14:editId="7DE101DE">
                  <wp:extent cx="2456714" cy="2456714"/>
                  <wp:effectExtent l="0" t="0" r="0" b="0"/>
                  <wp:docPr id="1035193114" name="Picture 9" descr="A diagram of a distribution of tip aspect rati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193114" name="Picture 9" descr="A diagram of a distribution of tip aspect ratio&#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498707" cy="2498707"/>
                          </a:xfrm>
                          <a:prstGeom prst="rect">
                            <a:avLst/>
                          </a:prstGeom>
                        </pic:spPr>
                      </pic:pic>
                    </a:graphicData>
                  </a:graphic>
                </wp:inline>
              </w:drawing>
            </w:r>
          </w:p>
        </w:tc>
      </w:tr>
      <w:tr w:rsidR="00977B51" w14:paraId="5016E9DD" w14:textId="77777777" w:rsidTr="008E4F51">
        <w:tc>
          <w:tcPr>
            <w:tcW w:w="4508" w:type="dxa"/>
          </w:tcPr>
          <w:p w14:paraId="7756A5D1" w14:textId="3B9CBEF5" w:rsidR="008E4F51" w:rsidRDefault="00B61850" w:rsidP="00A95A50">
            <w:pPr>
              <w:rPr>
                <w:rFonts w:eastAsia="Times New Roman" w:cs="Segoe UI"/>
                <w:color w:val="222222"/>
                <w:kern w:val="0"/>
                <w:sz w:val="22"/>
                <w:szCs w:val="22"/>
                <w:lang w:eastAsia="en-GB"/>
                <w14:ligatures w14:val="none"/>
              </w:rPr>
            </w:pPr>
            <w:r>
              <w:rPr>
                <w:rFonts w:eastAsia="Times New Roman" w:cs="Segoe UI"/>
                <w:noProof/>
                <w:color w:val="222222"/>
                <w:kern w:val="0"/>
                <w:sz w:val="22"/>
                <w:szCs w:val="22"/>
                <w:lang w:eastAsia="en-GB"/>
              </w:rPr>
              <w:drawing>
                <wp:inline distT="0" distB="0" distL="0" distR="0" wp14:anchorId="07568490" wp14:editId="48F51986">
                  <wp:extent cx="2746493" cy="2220685"/>
                  <wp:effectExtent l="0" t="0" r="0" b="1905"/>
                  <wp:docPr id="1999549893" name="Picture 10" descr="A diagram of a brai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549893" name="Picture 10" descr="A diagram of a brain&#10;&#10;AI-generated content may b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764167" cy="2234975"/>
                          </a:xfrm>
                          <a:prstGeom prst="rect">
                            <a:avLst/>
                          </a:prstGeom>
                        </pic:spPr>
                      </pic:pic>
                    </a:graphicData>
                  </a:graphic>
                </wp:inline>
              </w:drawing>
            </w:r>
          </w:p>
        </w:tc>
        <w:tc>
          <w:tcPr>
            <w:tcW w:w="4508" w:type="dxa"/>
          </w:tcPr>
          <w:p w14:paraId="522427C7" w14:textId="77777777" w:rsidR="008E4F51" w:rsidRDefault="008E4F51" w:rsidP="00A95A50">
            <w:pPr>
              <w:rPr>
                <w:rFonts w:eastAsia="Times New Roman" w:cs="Segoe UI"/>
                <w:color w:val="222222"/>
                <w:kern w:val="0"/>
                <w:sz w:val="22"/>
                <w:szCs w:val="22"/>
                <w:lang w:eastAsia="en-GB"/>
                <w14:ligatures w14:val="none"/>
              </w:rPr>
            </w:pPr>
          </w:p>
        </w:tc>
      </w:tr>
      <w:tr w:rsidR="00977B51" w14:paraId="18D47DA2" w14:textId="77777777" w:rsidTr="008E4F51">
        <w:tc>
          <w:tcPr>
            <w:tcW w:w="4508" w:type="dxa"/>
          </w:tcPr>
          <w:p w14:paraId="683D0C96" w14:textId="2F9DF6C7" w:rsidR="00977B51" w:rsidRDefault="00977B51" w:rsidP="00A95A50">
            <w:pPr>
              <w:rPr>
                <w:rFonts w:eastAsia="Times New Roman" w:cs="Segoe UI"/>
                <w:noProof/>
                <w:color w:val="222222"/>
                <w:kern w:val="0"/>
                <w:sz w:val="22"/>
                <w:szCs w:val="22"/>
                <w:lang w:eastAsia="en-GB"/>
              </w:rPr>
            </w:pPr>
            <w:r>
              <w:rPr>
                <w:rFonts w:eastAsia="Times New Roman" w:cs="Segoe UI"/>
                <w:noProof/>
                <w:color w:val="222222"/>
                <w:kern w:val="0"/>
                <w:sz w:val="22"/>
                <w:szCs w:val="22"/>
                <w:lang w:eastAsia="en-GB"/>
              </w:rPr>
              <w:drawing>
                <wp:inline distT="0" distB="0" distL="0" distR="0" wp14:anchorId="5A110064" wp14:editId="121785A1">
                  <wp:extent cx="2679632" cy="1339816"/>
                  <wp:effectExtent l="0" t="0" r="0" b="0"/>
                  <wp:docPr id="2143114176" name="Picture 11" descr="A close-up of a computer generated im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114176" name="Picture 11" descr="A close-up of a computer generated image&#10;&#10;AI-generated content may be incorrect."/>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741638" cy="1370819"/>
                          </a:xfrm>
                          <a:prstGeom prst="rect">
                            <a:avLst/>
                          </a:prstGeom>
                        </pic:spPr>
                      </pic:pic>
                    </a:graphicData>
                  </a:graphic>
                </wp:inline>
              </w:drawing>
            </w:r>
          </w:p>
        </w:tc>
        <w:tc>
          <w:tcPr>
            <w:tcW w:w="4508" w:type="dxa"/>
          </w:tcPr>
          <w:p w14:paraId="0918D5F3" w14:textId="310B7664" w:rsidR="00977B51" w:rsidRDefault="00977B51" w:rsidP="00A95A50">
            <w:pPr>
              <w:rPr>
                <w:rFonts w:eastAsia="Times New Roman" w:cs="Segoe UI"/>
                <w:color w:val="222222"/>
                <w:kern w:val="0"/>
                <w:sz w:val="22"/>
                <w:szCs w:val="22"/>
                <w:lang w:eastAsia="en-GB"/>
                <w14:ligatures w14:val="none"/>
              </w:rPr>
            </w:pPr>
            <w:r>
              <w:rPr>
                <w:rFonts w:eastAsia="Times New Roman" w:cs="Segoe UI"/>
                <w:noProof/>
                <w:color w:val="222222"/>
                <w:kern w:val="0"/>
                <w:sz w:val="22"/>
                <w:szCs w:val="22"/>
                <w:lang w:eastAsia="en-GB"/>
              </w:rPr>
              <w:drawing>
                <wp:inline distT="0" distB="0" distL="0" distR="0" wp14:anchorId="1FC9B25F" wp14:editId="5A9E9DC5">
                  <wp:extent cx="2729148" cy="1364574"/>
                  <wp:effectExtent l="0" t="0" r="0" b="0"/>
                  <wp:docPr id="1817541275" name="Picture 12" descr="A close-up of a white ob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541275" name="Picture 12" descr="A close-up of a white object&#10;&#10;AI-generated content may be incorrect."/>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774118" cy="1387059"/>
                          </a:xfrm>
                          <a:prstGeom prst="rect">
                            <a:avLst/>
                          </a:prstGeom>
                        </pic:spPr>
                      </pic:pic>
                    </a:graphicData>
                  </a:graphic>
                </wp:inline>
              </w:drawing>
            </w:r>
          </w:p>
        </w:tc>
      </w:tr>
    </w:tbl>
    <w:p w14:paraId="353DB378" w14:textId="1365E410" w:rsidR="00E7413B" w:rsidRDefault="00E7413B" w:rsidP="00A95A50">
      <w:pPr>
        <w:rPr>
          <w:rFonts w:eastAsia="Times New Roman" w:cs="Segoe UI"/>
          <w:color w:val="222222"/>
          <w:kern w:val="0"/>
          <w:sz w:val="22"/>
          <w:szCs w:val="22"/>
          <w:lang w:eastAsia="en-GB"/>
          <w14:ligatures w14:val="none"/>
        </w:rPr>
      </w:pPr>
    </w:p>
    <w:p w14:paraId="03C7EB38" w14:textId="03BEA214" w:rsidR="00977B51" w:rsidRDefault="0059764B" w:rsidP="00A95A50">
      <w:pPr>
        <w:rPr>
          <w:rFonts w:eastAsia="Times New Roman" w:cs="Segoe UI"/>
          <w:color w:val="222222"/>
          <w:kern w:val="0"/>
          <w:sz w:val="22"/>
          <w:szCs w:val="22"/>
          <w:lang w:eastAsia="en-GB"/>
          <w14:ligatures w14:val="none"/>
        </w:rPr>
      </w:pPr>
      <w:r>
        <w:rPr>
          <w:rFonts w:eastAsia="Times New Roman" w:cs="Segoe UI"/>
          <w:noProof/>
          <w:color w:val="222222"/>
          <w:kern w:val="0"/>
          <w:sz w:val="22"/>
          <w:szCs w:val="22"/>
          <w:lang w:eastAsia="en-GB"/>
        </w:rPr>
        <mc:AlternateContent>
          <mc:Choice Requires="wpi">
            <w:drawing>
              <wp:anchor distT="0" distB="0" distL="114300" distR="114300" simplePos="0" relativeHeight="251662336" behindDoc="0" locked="0" layoutInCell="1" allowOverlap="1" wp14:anchorId="4997F8EA" wp14:editId="3F532B46">
                <wp:simplePos x="0" y="0"/>
                <wp:positionH relativeFrom="column">
                  <wp:posOffset>548747</wp:posOffset>
                </wp:positionH>
                <wp:positionV relativeFrom="paragraph">
                  <wp:posOffset>131155</wp:posOffset>
                </wp:positionV>
                <wp:extent cx="1080" cy="2880"/>
                <wp:effectExtent l="38100" t="38100" r="37465" b="35560"/>
                <wp:wrapNone/>
                <wp:docPr id="1778951555" name="Ink 21"/>
                <wp:cNvGraphicFramePr/>
                <a:graphic xmlns:a="http://schemas.openxmlformats.org/drawingml/2006/main">
                  <a:graphicData uri="http://schemas.microsoft.com/office/word/2010/wordprocessingInk">
                    <w14:contentPart bwMode="auto" r:id="rId22">
                      <w14:nvContentPartPr>
                        <w14:cNvContentPartPr/>
                      </w14:nvContentPartPr>
                      <w14:xfrm>
                        <a:off x="0" y="0"/>
                        <a:ext cx="1080" cy="2880"/>
                      </w14:xfrm>
                    </w14:contentPart>
                  </a:graphicData>
                </a:graphic>
              </wp:anchor>
            </w:drawing>
          </mc:Choice>
          <mc:Fallback>
            <w:pict>
              <v:shapetype w14:anchorId="08279103"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21" o:spid="_x0000_s1026" type="#_x0000_t75" style="position:absolute;margin-left:42.5pt;margin-top:9.65pt;width:1.5pt;height:1.65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">
                <v:imagedata r:id="rId23" o:title=""/>
              </v:shape>
            </w:pict>
          </mc:Fallback>
        </mc:AlternateContent>
      </w:r>
      <w:r w:rsidR="00E7413B">
        <w:rPr>
          <w:rFonts w:eastAsia="Times New Roman" w:cs="Segoe UI"/>
          <w:color w:val="222222"/>
          <w:kern w:val="0"/>
          <w:sz w:val="22"/>
          <w:szCs w:val="22"/>
          <w:lang w:eastAsia="en-GB"/>
          <w14:ligatures w14:val="none"/>
        </w:rPr>
        <w:t xml:space="preserve">Fig </w:t>
      </w:r>
      <w:r w:rsidR="00493E8C">
        <w:rPr>
          <w:rFonts w:eastAsia="Times New Roman" w:cs="Segoe UI"/>
          <w:color w:val="222222"/>
          <w:kern w:val="0"/>
          <w:sz w:val="22"/>
          <w:szCs w:val="22"/>
          <w:lang w:eastAsia="en-GB"/>
          <w14:ligatures w14:val="none"/>
        </w:rPr>
        <w:t>6</w:t>
      </w:r>
      <w:r w:rsidR="00E7413B">
        <w:rPr>
          <w:rFonts w:eastAsia="Times New Roman" w:cs="Segoe UI"/>
          <w:color w:val="222222"/>
          <w:kern w:val="0"/>
          <w:sz w:val="22"/>
          <w:szCs w:val="22"/>
          <w:lang w:eastAsia="en-GB"/>
          <w14:ligatures w14:val="none"/>
        </w:rPr>
        <w:t xml:space="preserve">: </w:t>
      </w:r>
      <w:r w:rsidR="00977B51">
        <w:rPr>
          <w:rFonts w:eastAsia="Times New Roman" w:cs="Segoe UI"/>
          <w:color w:val="222222"/>
          <w:kern w:val="0"/>
          <w:sz w:val="22"/>
          <w:szCs w:val="22"/>
          <w:lang w:eastAsia="en-GB"/>
          <w14:ligatures w14:val="none"/>
        </w:rPr>
        <w:t xml:space="preserve">The onion guard cells cross section near the tip is distinct from that near the midpoints. The aspect ratio is closer to circular, and there is a distinct “bulge” near the upper side of the stomata. </w:t>
      </w:r>
    </w:p>
    <w:p w14:paraId="7B372B1E" w14:textId="77777777" w:rsidR="00977B51" w:rsidRDefault="00977B51" w:rsidP="00A95A50">
      <w:pPr>
        <w:rPr>
          <w:rFonts w:eastAsia="Times New Roman" w:cs="Segoe UI"/>
          <w:color w:val="222222"/>
          <w:kern w:val="0"/>
          <w:sz w:val="22"/>
          <w:szCs w:val="22"/>
          <w:lang w:eastAsia="en-GB"/>
          <w14:ligatures w14:val="none"/>
        </w:rPr>
      </w:pPr>
    </w:p>
    <w:p w14:paraId="493AA150" w14:textId="529C058F" w:rsidR="00057600" w:rsidRDefault="00057600" w:rsidP="00A95A50">
      <w:pPr>
        <w:rPr>
          <w:rFonts w:eastAsia="Times New Roman" w:cs="Segoe UI"/>
          <w:color w:val="222222"/>
          <w:kern w:val="0"/>
          <w:sz w:val="22"/>
          <w:szCs w:val="22"/>
          <w:lang w:eastAsia="en-GB"/>
          <w14:ligatures w14:val="none"/>
        </w:rPr>
      </w:pPr>
      <w:proofErr w:type="gramStart"/>
      <w:r>
        <w:rPr>
          <w:rFonts w:eastAsia="Times New Roman" w:cs="Segoe UI"/>
          <w:color w:val="222222"/>
          <w:kern w:val="0"/>
          <w:sz w:val="22"/>
          <w:szCs w:val="22"/>
          <w:lang w:eastAsia="en-GB"/>
          <w14:ligatures w14:val="none"/>
        </w:rPr>
        <w:t>In order to</w:t>
      </w:r>
      <w:proofErr w:type="gramEnd"/>
      <w:r>
        <w:rPr>
          <w:rFonts w:eastAsia="Times New Roman" w:cs="Segoe UI"/>
          <w:color w:val="222222"/>
          <w:kern w:val="0"/>
          <w:sz w:val="22"/>
          <w:szCs w:val="22"/>
          <w:lang w:eastAsia="en-GB"/>
          <w14:ligatures w14:val="none"/>
        </w:rPr>
        <w:t xml:space="preserve"> determine how and where this transition from elliptical to circular occurs, we took regular cross-sections along the guard cells, between the tip and the midpoint. </w:t>
      </w:r>
      <w:proofErr w:type="gramStart"/>
      <w:r>
        <w:rPr>
          <w:rFonts w:eastAsia="Times New Roman" w:cs="Segoe UI"/>
          <w:color w:val="222222"/>
          <w:kern w:val="0"/>
          <w:sz w:val="22"/>
          <w:szCs w:val="22"/>
          <w:lang w:eastAsia="en-GB"/>
          <w14:ligatures w14:val="none"/>
        </w:rPr>
        <w:t>In order to</w:t>
      </w:r>
      <w:proofErr w:type="gramEnd"/>
      <w:r>
        <w:rPr>
          <w:rFonts w:eastAsia="Times New Roman" w:cs="Segoe UI"/>
          <w:color w:val="222222"/>
          <w:kern w:val="0"/>
          <w:sz w:val="22"/>
          <w:szCs w:val="22"/>
          <w:lang w:eastAsia="en-GB"/>
          <w14:ligatures w14:val="none"/>
        </w:rPr>
        <w:t xml:space="preserve"> smooth out irregularities in the guard cell shapes that could be due to imaging </w:t>
      </w:r>
      <w:proofErr w:type="gramStart"/>
      <w:r>
        <w:rPr>
          <w:rFonts w:eastAsia="Times New Roman" w:cs="Segoe UI"/>
          <w:color w:val="222222"/>
          <w:kern w:val="0"/>
          <w:sz w:val="22"/>
          <w:szCs w:val="22"/>
          <w:lang w:eastAsia="en-GB"/>
          <w14:ligatures w14:val="none"/>
        </w:rPr>
        <w:t>artifacts, and</w:t>
      </w:r>
      <w:proofErr w:type="gramEnd"/>
      <w:r>
        <w:rPr>
          <w:rFonts w:eastAsia="Times New Roman" w:cs="Segoe UI"/>
          <w:color w:val="222222"/>
          <w:kern w:val="0"/>
          <w:sz w:val="22"/>
          <w:szCs w:val="22"/>
          <w:lang w:eastAsia="en-GB"/>
          <w14:ligatures w14:val="none"/>
        </w:rPr>
        <w:t xml:space="preserve"> would not be well described by a simple aspect ratio, we fit an ellipse to each cross section and measured its aspect ratio</w:t>
      </w:r>
      <w:r w:rsidR="003B6615">
        <w:rPr>
          <w:rFonts w:eastAsia="Times New Roman" w:cs="Segoe UI"/>
          <w:color w:val="222222"/>
          <w:kern w:val="0"/>
          <w:sz w:val="22"/>
          <w:szCs w:val="22"/>
          <w:lang w:eastAsia="en-GB"/>
          <w14:ligatures w14:val="none"/>
        </w:rPr>
        <w:t xml:space="preserve"> (see supplementary for full description)</w:t>
      </w:r>
      <w:r>
        <w:rPr>
          <w:rFonts w:eastAsia="Times New Roman" w:cs="Segoe UI"/>
          <w:color w:val="222222"/>
          <w:kern w:val="0"/>
          <w:sz w:val="22"/>
          <w:szCs w:val="22"/>
          <w:lang w:eastAsia="en-GB"/>
          <w14:ligatures w14:val="none"/>
        </w:rPr>
        <w:t xml:space="preserve">. </w:t>
      </w:r>
    </w:p>
    <w:p w14:paraId="0BD87FD5" w14:textId="77777777" w:rsidR="00057600" w:rsidRDefault="00057600" w:rsidP="00A95A50">
      <w:pPr>
        <w:rPr>
          <w:rFonts w:eastAsia="Times New Roman" w:cs="Segoe UI"/>
          <w:color w:val="222222"/>
          <w:kern w:val="0"/>
          <w:sz w:val="22"/>
          <w:szCs w:val="22"/>
          <w:lang w:eastAsia="en-GB"/>
          <w14:ligatures w14:val="none"/>
        </w:rPr>
      </w:pPr>
    </w:p>
    <w:p w14:paraId="7E0E7ACC" w14:textId="05A9A78A" w:rsidR="00057600" w:rsidRDefault="003B6615" w:rsidP="00A95A50">
      <w:pPr>
        <w:rPr>
          <w:rFonts w:eastAsia="Times New Roman" w:cs="Segoe UI"/>
          <w:color w:val="222222"/>
          <w:kern w:val="0"/>
          <w:sz w:val="22"/>
          <w:szCs w:val="22"/>
          <w:lang w:eastAsia="en-GB"/>
          <w14:ligatures w14:val="none"/>
        </w:rPr>
      </w:pPr>
      <w:r>
        <w:rPr>
          <w:rFonts w:eastAsia="Times New Roman" w:cs="Segoe UI"/>
          <w:noProof/>
          <w:color w:val="222222"/>
          <w:kern w:val="0"/>
          <w:sz w:val="22"/>
          <w:szCs w:val="22"/>
          <w:lang w:eastAsia="en-GB"/>
        </w:rPr>
        <w:lastRenderedPageBreak/>
        <w:drawing>
          <wp:inline distT="0" distB="0" distL="0" distR="0" wp14:anchorId="588D1646" wp14:editId="468E1D95">
            <wp:extent cx="5731510" cy="3820795"/>
            <wp:effectExtent l="0" t="0" r="0" b="1905"/>
            <wp:docPr id="843546734" name="Picture 1" descr="A graph with lines an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546734" name="Picture 1" descr="A graph with lines and dots&#10;&#10;AI-generated content may be incorrect."/>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inline>
        </w:drawing>
      </w:r>
    </w:p>
    <w:p w14:paraId="414C7D49" w14:textId="77CF00CF" w:rsidR="003B6615" w:rsidRDefault="003B6615" w:rsidP="00A95A50">
      <w:pPr>
        <w:rPr>
          <w:rFonts w:eastAsia="Times New Roman" w:cs="Segoe UI"/>
          <w:color w:val="222222"/>
          <w:kern w:val="0"/>
          <w:sz w:val="22"/>
          <w:szCs w:val="22"/>
          <w:lang w:eastAsia="en-GB"/>
          <w14:ligatures w14:val="none"/>
        </w:rPr>
      </w:pPr>
      <w:r>
        <w:rPr>
          <w:rFonts w:eastAsia="Times New Roman" w:cs="Segoe UI"/>
          <w:color w:val="222222"/>
          <w:kern w:val="0"/>
          <w:sz w:val="22"/>
          <w:szCs w:val="22"/>
          <w:lang w:eastAsia="en-GB"/>
          <w14:ligatures w14:val="none"/>
        </w:rPr>
        <w:t xml:space="preserve">The median of the curves following the aspect ratio between the midpoint and the tip suggests that this aspect ratio decreases linearly, until it reaches ~80% of the distance between the midpoint and tip. After this, it remains constant, at its lowest aspect ratio. We implemented this into variable cross-sectional aspect ratio into our idealised mesh (IM_V). </w:t>
      </w:r>
    </w:p>
    <w:p w14:paraId="1E064579" w14:textId="77777777" w:rsidR="00057600" w:rsidRDefault="00057600" w:rsidP="00A95A50">
      <w:pPr>
        <w:rPr>
          <w:rFonts w:eastAsia="Times New Roman" w:cs="Segoe UI"/>
          <w:color w:val="222222"/>
          <w:kern w:val="0"/>
          <w:sz w:val="22"/>
          <w:szCs w:val="22"/>
          <w:lang w:eastAsia="en-GB"/>
          <w14:ligatures w14:val="none"/>
        </w:rPr>
      </w:pPr>
    </w:p>
    <w:p w14:paraId="5A0AAA0A" w14:textId="0C89D03C" w:rsidR="00057600" w:rsidRDefault="00977B51" w:rsidP="00A95A50">
      <w:pPr>
        <w:rPr>
          <w:rFonts w:eastAsia="Times New Roman" w:cs="Segoe UI"/>
          <w:color w:val="222222"/>
          <w:kern w:val="0"/>
          <w:sz w:val="22"/>
          <w:szCs w:val="22"/>
          <w:lang w:eastAsia="en-GB"/>
          <w14:ligatures w14:val="none"/>
        </w:rPr>
      </w:pPr>
      <w:r>
        <w:rPr>
          <w:rFonts w:eastAsia="Times New Roman" w:cs="Segoe UI"/>
          <w:color w:val="222222"/>
          <w:kern w:val="0"/>
          <w:sz w:val="22"/>
          <w:szCs w:val="22"/>
          <w:lang w:eastAsia="en-GB"/>
          <w14:ligatures w14:val="none"/>
        </w:rPr>
        <w:t xml:space="preserve"> </w:t>
      </w:r>
    </w:p>
    <w:p w14:paraId="3EA80A78" w14:textId="0012531A" w:rsidR="00E7413B" w:rsidRDefault="00E7413B" w:rsidP="00A95A50">
      <w:pPr>
        <w:rPr>
          <w:rFonts w:eastAsia="Times New Roman" w:cs="Segoe UI"/>
          <w:color w:val="222222"/>
          <w:kern w:val="0"/>
          <w:sz w:val="22"/>
          <w:szCs w:val="22"/>
          <w:lang w:eastAsia="en-GB"/>
          <w14:ligatures w14:val="none"/>
        </w:rPr>
      </w:pPr>
      <w:r>
        <w:rPr>
          <w:rFonts w:eastAsia="Times New Roman" w:cs="Segoe UI"/>
          <w:color w:val="222222"/>
          <w:kern w:val="0"/>
          <w:sz w:val="22"/>
          <w:szCs w:val="22"/>
          <w:lang w:eastAsia="en-GB"/>
          <w14:ligatures w14:val="none"/>
        </w:rPr>
        <w:t>Onion guard cell cross-section aspect ratio becomes circular towards the tips of the cells. We added this characteristic to the idealised mesh</w:t>
      </w:r>
      <w:r w:rsidR="00056B75">
        <w:rPr>
          <w:rFonts w:eastAsia="Times New Roman" w:cs="Segoe UI"/>
          <w:color w:val="222222"/>
          <w:kern w:val="0"/>
          <w:sz w:val="22"/>
          <w:szCs w:val="22"/>
          <w:lang w:eastAsia="en-GB"/>
          <w14:ligatures w14:val="none"/>
        </w:rPr>
        <w:t>, by varying th</w:t>
      </w:r>
      <w:r w:rsidR="00485728">
        <w:rPr>
          <w:rFonts w:eastAsia="Times New Roman" w:cs="Segoe UI"/>
          <w:color w:val="222222"/>
          <w:kern w:val="0"/>
          <w:sz w:val="22"/>
          <w:szCs w:val="22"/>
          <w:lang w:eastAsia="en-GB"/>
          <w14:ligatures w14:val="none"/>
        </w:rPr>
        <w:t>e cross-sectional aspect ratio towards the tip, whilst maintaining constant cross-sectional area throughout the guard cell. The cross-sectional aspect ratio changes from an ellipsoid at the midpoint, to circular at the tip. This creates a bulge at the tips, whilst preserving the overall volume of the guard cell.</w:t>
      </w:r>
    </w:p>
    <w:p w14:paraId="4B3B4D78" w14:textId="77777777" w:rsidR="00485728" w:rsidRDefault="00485728" w:rsidP="00A95A50">
      <w:pPr>
        <w:rPr>
          <w:rFonts w:eastAsia="Times New Roman" w:cs="Segoe UI"/>
          <w:color w:val="222222"/>
          <w:kern w:val="0"/>
          <w:sz w:val="22"/>
          <w:szCs w:val="22"/>
          <w:lang w:eastAsia="en-GB"/>
          <w14:ligatures w14:val="none"/>
        </w:rPr>
      </w:pPr>
    </w:p>
    <w:p w14:paraId="55010DE0" w14:textId="77777777" w:rsidR="00485728" w:rsidRDefault="00485728" w:rsidP="00A95A50">
      <w:pPr>
        <w:rPr>
          <w:rFonts w:eastAsia="Times New Roman" w:cs="Segoe UI"/>
          <w:color w:val="222222"/>
          <w:kern w:val="0"/>
          <w:sz w:val="22"/>
          <w:szCs w:val="22"/>
          <w:lang w:eastAsia="en-GB"/>
          <w14:ligatures w14:val="none"/>
        </w:rPr>
      </w:pPr>
    </w:p>
    <w:p w14:paraId="301EB52A" w14:textId="77777777" w:rsidR="00E7413B" w:rsidRDefault="00E7413B" w:rsidP="00A95A50">
      <w:pPr>
        <w:rPr>
          <w:rFonts w:eastAsia="Times New Roman" w:cs="Segoe UI"/>
          <w:color w:val="222222"/>
          <w:kern w:val="0"/>
          <w:sz w:val="22"/>
          <w:szCs w:val="22"/>
          <w:lang w:eastAsia="en-GB"/>
          <w14:ligatures w14:val="none"/>
        </w:rPr>
      </w:pPr>
    </w:p>
    <w:p w14:paraId="4631EAE9" w14:textId="49364540" w:rsidR="00E7413B" w:rsidRDefault="00E7413B" w:rsidP="00A95A50">
      <w:pPr>
        <w:rPr>
          <w:rFonts w:eastAsia="Times New Roman" w:cs="Segoe UI"/>
          <w:color w:val="222222"/>
          <w:kern w:val="0"/>
          <w:sz w:val="22"/>
          <w:szCs w:val="22"/>
          <w:lang w:eastAsia="en-GB"/>
          <w14:ligatures w14:val="none"/>
        </w:rPr>
      </w:pPr>
      <w:r>
        <w:rPr>
          <w:rFonts w:eastAsia="Times New Roman" w:cs="Segoe UI"/>
          <w:color w:val="222222"/>
          <w:kern w:val="0"/>
          <w:sz w:val="22"/>
          <w:szCs w:val="22"/>
          <w:lang w:eastAsia="en-GB"/>
          <w14:ligatures w14:val="none"/>
        </w:rPr>
        <w:t>The cross section in the idealised mesh now transitioned from oval at the midpoint, to circular at the tips, with the transition taking place close to the tips, and the cross-sectional area being maintained throughout. When this mesh was used with the FEM model, the pore area increased to 59.2 um</w:t>
      </w:r>
      <w:r>
        <w:rPr>
          <w:rFonts w:eastAsia="Times New Roman" w:cs="Segoe UI"/>
          <w:color w:val="222222"/>
          <w:kern w:val="0"/>
          <w:sz w:val="22"/>
          <w:szCs w:val="22"/>
          <w:vertAlign w:val="superscript"/>
          <w:lang w:eastAsia="en-GB"/>
          <w14:ligatures w14:val="none"/>
        </w:rPr>
        <w:t>2</w:t>
      </w:r>
      <w:r>
        <w:rPr>
          <w:rFonts w:eastAsia="Times New Roman" w:cs="Segoe UI"/>
          <w:color w:val="222222"/>
          <w:kern w:val="0"/>
          <w:sz w:val="22"/>
          <w:szCs w:val="22"/>
          <w:lang w:eastAsia="en-GB"/>
          <w14:ligatures w14:val="none"/>
        </w:rPr>
        <w:t>, upon inflation to 2MPa. This simplified shape was therefore able to capture similar pore opening to the confocal image derived mesh.</w:t>
      </w:r>
    </w:p>
    <w:p w14:paraId="0569006E" w14:textId="77777777" w:rsidR="00EC0930" w:rsidRDefault="00EC0930" w:rsidP="00A95A50">
      <w:pPr>
        <w:rPr>
          <w:rFonts w:eastAsia="Times New Roman" w:cs="Segoe UI"/>
          <w:color w:val="222222"/>
          <w:kern w:val="0"/>
          <w:sz w:val="22"/>
          <w:szCs w:val="22"/>
          <w:lang w:eastAsia="en-GB"/>
          <w14:ligatures w14:val="none"/>
        </w:rPr>
      </w:pPr>
    </w:p>
    <w:p w14:paraId="0B2F76EB" w14:textId="6700256B" w:rsidR="000E57D8" w:rsidRPr="00AC3F34" w:rsidRDefault="000E57D8">
      <w:pPr>
        <w:rPr>
          <w:sz w:val="22"/>
          <w:szCs w:val="22"/>
        </w:rPr>
      </w:pPr>
    </w:p>
    <w:p w14:paraId="002C4228" w14:textId="77777777" w:rsidR="000E57D8" w:rsidRPr="00AC3F34" w:rsidRDefault="000E57D8">
      <w:pPr>
        <w:rPr>
          <w:sz w:val="22"/>
          <w:szCs w:val="22"/>
        </w:rPr>
      </w:pPr>
    </w:p>
    <w:p w14:paraId="0EA6A245" w14:textId="162271FF" w:rsidR="000E57D8" w:rsidRPr="00AC3F34" w:rsidRDefault="000E57D8">
      <w:pPr>
        <w:rPr>
          <w:sz w:val="22"/>
          <w:szCs w:val="22"/>
        </w:rPr>
      </w:pPr>
    </w:p>
    <w:p w14:paraId="3F5DAE2C" w14:textId="77777777" w:rsidR="00C91BE7" w:rsidRPr="00AC3F34" w:rsidRDefault="00C91BE7">
      <w:pPr>
        <w:rPr>
          <w:sz w:val="22"/>
          <w:szCs w:val="22"/>
        </w:rPr>
      </w:pPr>
    </w:p>
    <w:p w14:paraId="0F87A105" w14:textId="4971AED6" w:rsidR="00C91BE7" w:rsidRDefault="00C91BE7"/>
    <w:p w14:paraId="1597582F" w14:textId="2146DFC2" w:rsidR="00C6524F" w:rsidRDefault="00C6524F"/>
    <w:p w14:paraId="374D3EFD" w14:textId="77777777" w:rsidR="00683A16" w:rsidRDefault="00683A16"/>
    <w:p w14:paraId="384BCFB1" w14:textId="384BD05B" w:rsidR="00683A16" w:rsidRDefault="00683A16"/>
    <w:p w14:paraId="401215E2" w14:textId="6A66D612" w:rsidR="00683A16" w:rsidRDefault="001A00FE">
      <w:r>
        <w:t>Discussion</w:t>
      </w:r>
    </w:p>
    <w:p w14:paraId="284F838B" w14:textId="77777777" w:rsidR="00162145" w:rsidRDefault="00162145"/>
    <w:p w14:paraId="0BC7D781" w14:textId="2BB12A9E" w:rsidR="00162145" w:rsidRDefault="00162145">
      <w:r>
        <w:t>Previous models of kidney-shaped stomata, such as can be found in onion, have highlighted the importance of anisotropic stiffness for their opening. Here, we show that significant stomatal opening can be seen in isotropic kidney-shaped stomatal models, if important geometrical features are correctly capture</w:t>
      </w:r>
      <w:r w:rsidR="00B56B88">
        <w:t>d</w:t>
      </w:r>
      <w:r>
        <w:t>. The most important of these is the oval cross section, with opening being increased with the additional of circular cross section near the tips, resulting in bulbous guard cell ends. Through careful integration of confocal microscopy with FEM modelling, we have demonstrate</w:t>
      </w:r>
      <w:r w:rsidR="00B56F7F">
        <w:t>d</w:t>
      </w:r>
      <w:r>
        <w:t xml:space="preserve"> the importance of geometry for kidney-shaped stomatal opening. </w:t>
      </w:r>
    </w:p>
    <w:p w14:paraId="69A5D9ED" w14:textId="77777777" w:rsidR="00B56F7F" w:rsidRDefault="00B56F7F"/>
    <w:p w14:paraId="793E61D7" w14:textId="20F96B1B" w:rsidR="00B56F7F" w:rsidRDefault="00B56F7F">
      <w:r w:rsidRPr="00B56F7F">
        <w:t xml:space="preserve">The importance of the cross-sectional aspect ratio is an example of what has previous been described as the “air-mattress effect” </w:t>
      </w:r>
      <w:r w:rsidRPr="00B56F7F">
        <w:fldChar w:fldCharType="begin"/>
      </w:r>
      <w:r w:rsidRPr="00B56F7F">
        <w:instrText xml:space="preserve"> ADDIN ZOTERO_ITEM CSL_CITATION {"citationID":"mC3MTNmn","properties":{"formattedCitation":"(Hofhuis et al., 2016)","plainCitation":"(Hofhuis et al., 2016)","noteIndex":0},"citationItems":[{"id":3373,"uris":["http://zotero.org/users/299961/items/VC7I9K24"],"itemData":{"id":3373,"type":"article-journal","container-title":"Cell","issue":"1","note":"publisher: Elsevier","page":"222–233","source":"Google Scholar","title":"Morphomechanical innovation drives explosive seed dispersal","volume":"166","author":[{"family":"Hofhuis","given":"Hugo"},{"family":"Moulton","given":"Derek"},{"family":"Lessinnes","given":"Thomas"},{"family":"Routier-Kierzkowska","given":"Anne-Lise"},{"family":"Bomphrey","given":"Richard J."},{"family":"Mosca","given":"Gabriella"},{"family":"Reinhardt","given":"Hagen"},{"family":"Sarchet","given":"Penny"},{"family":"Gan","given":"Xiangchao"},{"family":"Tsiantis","given":"Miltos"}],"issued":{"date-parts":[["2016"]]}}}],"schema":"https://github.com/citation-style-language/schema/raw/master/csl-citation.json"} </w:instrText>
      </w:r>
      <w:r w:rsidRPr="00B56F7F">
        <w:fldChar w:fldCharType="separate"/>
      </w:r>
      <w:r w:rsidRPr="00B56F7F">
        <w:t>(Hofhuis et al., 2016)</w:t>
      </w:r>
      <w:r w:rsidRPr="00B56F7F">
        <w:fldChar w:fldCharType="end"/>
      </w:r>
      <w:r w:rsidRPr="00B56F7F">
        <w:t xml:space="preserve">. This is where expansion in </w:t>
      </w:r>
      <w:proofErr w:type="gramStart"/>
      <w:r w:rsidRPr="00B56F7F">
        <w:t>one dimension</w:t>
      </w:r>
      <w:proofErr w:type="gramEnd"/>
      <w:r w:rsidRPr="00B56F7F">
        <w:t xml:space="preserve"> results in a corresponding decrease in another. So, as the guard cells inflate, their cross-section moves from elliptical to circular, resulting in an increase in height, and a decrease in width. This width decrease confers a natural opening of the pore area. </w:t>
      </w:r>
    </w:p>
    <w:p w14:paraId="344958A1" w14:textId="77777777" w:rsidR="00162145" w:rsidRDefault="00162145"/>
    <w:p w14:paraId="5029B293" w14:textId="57FFA65D" w:rsidR="00162145" w:rsidRDefault="00162145">
      <w:r>
        <w:t xml:space="preserve">Interestingly, our conclusions align well with historic observations and predictions of the link between stomatal shape and function. The importance of the cross-sectional geometry was highlighted by </w:t>
      </w:r>
      <w:r w:rsidRPr="00162145">
        <w:t>(Cooke et al., 1976)</w:t>
      </w:r>
      <w:r>
        <w:t xml:space="preserve">, who used an FEM to show that initial configurations of cross-sections that were circular would rely on the cell wall stretching, rather than the shape changing, as the turgor pressure increased. </w:t>
      </w:r>
      <w:r w:rsidR="00B56F7F">
        <w:t>However, this model relied upon the influence of neighbouring cells, and here we show that this effect can occur independently of the surrounding tissue. The next step would be to see how the surrounding tissue affects the stomatal opening.</w:t>
      </w:r>
    </w:p>
    <w:p w14:paraId="1E7895BA" w14:textId="77777777" w:rsidR="00B56F7F" w:rsidRDefault="00B56F7F"/>
    <w:p w14:paraId="71F50E3E" w14:textId="4E2F3095" w:rsidR="00162145" w:rsidRDefault="00B56F7F">
      <w:r>
        <w:t xml:space="preserve">We also observed how the cross-sectional aspect ratio changes along the guard cell, becoming more circular at its tips. This is an interesting observation, particularly when viewed </w:t>
      </w:r>
      <w:proofErr w:type="gramStart"/>
      <w:r>
        <w:t>in light of</w:t>
      </w:r>
      <w:proofErr w:type="gramEnd"/>
      <w:r>
        <w:t xml:space="preserve"> the greater volume expansion at guard cell tips observed by </w:t>
      </w:r>
      <w:proofErr w:type="spellStart"/>
      <w:r w:rsidR="00162145" w:rsidRPr="00162145">
        <w:t>Tliirdiy</w:t>
      </w:r>
      <w:proofErr w:type="spellEnd"/>
      <w:r w:rsidR="00162145" w:rsidRPr="00162145">
        <w:t xml:space="preserve">, </w:t>
      </w:r>
      <w:proofErr w:type="spellStart"/>
      <w:r w:rsidR="00162145" w:rsidRPr="00162145">
        <w:t>Rasehke</w:t>
      </w:r>
      <w:proofErr w:type="spellEnd"/>
      <w:r w:rsidR="00162145" w:rsidRPr="00162145">
        <w:t xml:space="preserve"> &amp; Dickerson (1973)</w:t>
      </w:r>
      <w:r>
        <w:t xml:space="preserve">. They proposed that this expansion was due to </w:t>
      </w:r>
      <w:r w:rsidR="00162145">
        <w:t xml:space="preserve">the walls near the polar regions of the guard cell </w:t>
      </w:r>
      <w:r>
        <w:t>being</w:t>
      </w:r>
      <w:r w:rsidR="00162145">
        <w:t xml:space="preserve"> relatively thin, and therefore </w:t>
      </w:r>
      <w:r>
        <w:t xml:space="preserve">able to </w:t>
      </w:r>
      <w:r w:rsidR="00162145">
        <w:t>expand proportionally more than the rest of the cell. Here, we were not looking at the cell wall thickness, although it</w:t>
      </w:r>
      <w:r w:rsidR="00724331">
        <w:t xml:space="preserve"> is possible that the increased bulging at the ends of the onion guard cells could be due to thinner walls at these locations. Future studies could focus on how variability in wall thickness affects stomatal opening. </w:t>
      </w:r>
    </w:p>
    <w:p w14:paraId="1E62D920" w14:textId="77777777" w:rsidR="00724331" w:rsidRDefault="00724331"/>
    <w:p w14:paraId="47A3E945" w14:textId="456A5BEC" w:rsidR="00724331" w:rsidRDefault="00724331">
      <w:r>
        <w:t>It is important to stress, however, that these results do not preclude the presence of anisotropic stiffness in guard cells. Evidence suggests that the microfibrils are oriented in a direction that would result in circumferential stiffness (refs), and previous studies have suggested that the guard cells lengthen when the turgor pressure increases (Meckel, refs).</w:t>
      </w:r>
      <w:r w:rsidR="00B56F7F">
        <w:t xml:space="preserve"> Such lengthening would only be achievable if radial stiffening were present to prevent, or reduce, expansion in the radial direction. </w:t>
      </w:r>
    </w:p>
    <w:p w14:paraId="4F71E42D" w14:textId="77777777" w:rsidR="00724331" w:rsidRDefault="00724331"/>
    <w:p w14:paraId="5C60863D" w14:textId="7E0ABD9B" w:rsidR="00B56F7F" w:rsidRPr="00B56F7F" w:rsidRDefault="00B56F7F" w:rsidP="00B56F7F">
      <w:r w:rsidRPr="00B56F7F">
        <w:t xml:space="preserve">One interesting conclusion from this study is how the choice and assumptions of each previous model has influenced its findings. Models assuming guard cells with a circular cross-section </w:t>
      </w:r>
      <w:r w:rsidR="00232A7F" w:rsidRPr="00B56F7F">
        <w:fldChar w:fldCharType="begin"/>
      </w:r>
      <w:r w:rsidR="00232A7F" w:rsidRPr="00B56F7F">
        <w:instrText xml:space="preserve"> ADDIN ZOTERO_ITEM CSL_CITATION {"citationID":"wlJ4Kyx2","properties":{"formattedCitation":"(Aylor et al., 1973; Woolfenden et al., 2018)","plainCitation":"(Aylor et al., 1973; Woolfenden et al., 2018)","noteIndex":0},"citationItems":[{"id":3167,"uris":["http://zotero.org/groups/5587676/items/94N2JABG"],"itemData":{"id":3167,"type":"article-journal","abstract":"A model of stomatal movement due to changes in turgor is presented which systematically illustrates the role of certain anatomical features. During the expansion of paired guard cells, there are two physical constraints that cause the guard cells to bend and thus open the stomatal pore. The radial orientation of the micellae is shown to be the crucial feature which directly transmits the movement of the dorsal wall of the polar and central section to the stomatal slit. Furthermore, it is necessary that either the overall length of the entire stomatal apparatus or length of the common wall between the polar segments of the guard cells be constrained during the expansion of the guard cells. The model also shows that asymmetrically thickened guard cell walls are not necessary to cause bending of the guard cell. The ideas set forth in our model are consistent with the opening movements of both elliptical and grass-type stomata.","container-title":"American Journal of Botany","DOI":"10.1002/j.1537-2197.1973.tb10213.x","ISSN":"1537-2197","issue":"2","language":"en","license":"© 1973 Botanical Society of America","note":"_eprint: https://onlinelibrary.wiley.com/doi/pdf/10.1002/j.1537-2197.1973.tb10213.x","page":"163-171","source":"Wiley Online Library","title":"Stomatal Mechanics","volume":"60","author":[{"family":"Aylor","given":"Donald E."},{"family":"Parlange","given":"Jean-Yves"},{"family":"Krikorian","given":"A. D."}],"issued":{"date-parts":[["1973"]]}}},{"id":3327,"uris":["http://zotero.org/users/299961/items/YAMUPUFF"],"itemData":{"id":3327,"type":"article-journal","container-title":"Trends in Plant Science","issue":"9","note":"publisher: Elsevier","page":"822–832","source":"Google Scholar","title":"Models and mechanisms of stomatal mechanics","volume":"23","author":[{"family":"Woolfenden","given":"Hugh C."},{"family":"Baillie","given":"Alice L."},{"family":"Gray","given":"Julie E."},{"family":"Hobbs","given":"Jamie K."},{"family":"Morris","given":"Richard J."},{"family":"Fleming","given":"Andrew J."}],"issued":{"date-parts":[["2018"]]}}}],"schema":"https://github.com/citation-style-language/schema/raw/master/csl-citation.json"} </w:instrText>
      </w:r>
      <w:r w:rsidR="00232A7F" w:rsidRPr="00B56F7F">
        <w:fldChar w:fldCharType="separate"/>
      </w:r>
      <w:r w:rsidR="00232A7F" w:rsidRPr="00B56F7F">
        <w:rPr>
          <w:noProof/>
        </w:rPr>
        <w:t>(Aylor et al., 1973; Woolfenden et al., 2018)</w:t>
      </w:r>
      <w:r w:rsidR="00232A7F" w:rsidRPr="00B56F7F">
        <w:fldChar w:fldCharType="end"/>
      </w:r>
      <w:r w:rsidRPr="00B56F7F">
        <w:t xml:space="preserve">, </w:t>
      </w:r>
      <w:r w:rsidR="00232A7F" w:rsidRPr="00B56F7F">
        <w:t xml:space="preserve"> conclude that radial stiffening and length constraints are essential for pore opening. Models that take into </w:t>
      </w:r>
      <w:r w:rsidR="00232A7F" w:rsidRPr="00B56F7F">
        <w:lastRenderedPageBreak/>
        <w:t>account the influence of surrounding cells (</w:t>
      </w:r>
      <w:r w:rsidR="00232A7F" w:rsidRPr="00B56F7F">
        <w:fldChar w:fldCharType="begin"/>
      </w:r>
      <w:r w:rsidR="00232A7F" w:rsidRPr="00B56F7F">
        <w:instrText xml:space="preserve"> ADDIN ZOTERO_ITEM CSL_CITATION {"citationID":"qfgcc5cn","properties":{"formattedCitation":"(Cooke et al., 1976)","plainCitation":"(Cooke et al., 1976)","noteIndex":0},"citationItems":[{"id":3336,"uris":["http://zotero.org/users/299961/items/2CUHKV3B"],"itemData":{"id":3336,"type":"article-journal","container-title":"Transactions of the ASAE","issue":"6","note":"publisher: American Society of Agricultural and Biological Engineers","page":"1107–1121","source":"Google Scholar","title":"A finite element shell analysis of guard cell deformations","volume":"19","author":[{"family":"Cooke","given":"J. Robert"},{"family":"De Baerdemaeker","given":"Josse G."},{"family":"Rand","given":"Richard H."},{"family":"Mang","given":"Herbert A."}],"issued":{"date-parts":[["1976"]]}}}],"schema":"https://github.com/citation-style-language/schema/raw/master/csl-citation.json"} </w:instrText>
      </w:r>
      <w:r w:rsidR="00232A7F" w:rsidRPr="00B56F7F">
        <w:fldChar w:fldCharType="separate"/>
      </w:r>
      <w:r w:rsidR="00232A7F" w:rsidRPr="00B56F7F">
        <w:rPr>
          <w:noProof/>
        </w:rPr>
        <w:t>Cooke et al., 1976)</w:t>
      </w:r>
      <w:r w:rsidR="00232A7F" w:rsidRPr="00B56F7F">
        <w:fldChar w:fldCharType="end"/>
      </w:r>
      <w:r w:rsidR="00232A7F" w:rsidRPr="00B56F7F">
        <w:t xml:space="preserve">, strongly highlight the role played by the pressure difference between the guard cells and the surrounding epidermal cells. Models that allow for changes to the cross-sectional shape, and wall thickness and stretching </w:t>
      </w:r>
      <w:r w:rsidR="00232A7F" w:rsidRPr="00B56F7F">
        <w:fldChar w:fldCharType="begin"/>
      </w:r>
      <w:r w:rsidR="00232A7F" w:rsidRPr="00B56F7F">
        <w:instrText xml:space="preserve"> ADDIN ZOTERO_ITEM CSL_CITATION {"citationID":"GlrD43Un","properties":{"formattedCitation":"(Sharpe &amp; Wu, 1978)","plainCitation":"(Sharpe &amp; Wu, 1978)","noteIndex":0},"citationItems":[{"id":3338,"uris":["http://zotero.org/users/299961/items/2698PNN5"],"itemData":{"id":3338,"type":"article-journal","abstract":"Abstract.\n              The determination of guard cell lumen volume in relation to its geometric characteristic dimensions is presented. Stomatal movements can be divided into two stages:\n              Spannungsphase\n              and motorphase, with a transition point between them. During the\n              Spannungsphase\n              movement, the lumen volume increases as a result of the change in its geometric shape. At transition, the lumen volume is approximated by a portion of a circular tube with a rounded cross</w:instrText>
      </w:r>
      <w:r w:rsidR="00232A7F" w:rsidRPr="00B56F7F">
        <w:rPr>
          <w:rFonts w:ascii="Cambria Math" w:hAnsi="Cambria Math" w:cs="Cambria Math"/>
        </w:rPr>
        <w:instrText>‐</w:instrText>
      </w:r>
      <w:r w:rsidR="00232A7F" w:rsidRPr="00B56F7F">
        <w:instrText>section. The volume increase during the motorphase comes from three different sources: expansion by wall stretching, increasing inner cross</w:instrText>
      </w:r>
      <w:r w:rsidR="00232A7F" w:rsidRPr="00B56F7F">
        <w:rPr>
          <w:rFonts w:ascii="Cambria Math" w:hAnsi="Cambria Math" w:cs="Cambria Math"/>
        </w:rPr>
        <w:instrText>‐</w:instrText>
      </w:r>
      <w:r w:rsidR="00232A7F" w:rsidRPr="00B56F7F">
        <w:instrText>section of a guard cell by wall thinning, and polar expansion. The relationship between the aperture and the lumen volume is also established. The results set forth in this geometric model are essential to studies of the pressure interaction between a guard cell and its surrounding epidermal cells.","container-title":"Plant, Cell &amp; Environment","DOI":"10.1111/j.1365-3040.1978.tb02038.x","ISSN":"0140-7791, 1365-3040","issue":"4","journalAbbreviation":"Plant Cell &amp; Environment","language":"en","license":"http://onlinelibrary.wiley.com/termsAndConditions#vor","page":"259-268","source":"DOI.org (Crossref)","title":"Stomatal mechanics: volume changes during opening","title-short":"Stomatal mechanics","volume":"1","author":[{"family":"Sharpe","given":"Peter J. H."},{"family":"Wu","given":"Hsin</w:instrText>
      </w:r>
      <w:r w:rsidR="00232A7F" w:rsidRPr="00B56F7F">
        <w:rPr>
          <w:rFonts w:ascii="Cambria Math" w:hAnsi="Cambria Math" w:cs="Cambria Math"/>
        </w:rPr>
        <w:instrText>‐</w:instrText>
      </w:r>
      <w:r w:rsidR="00232A7F" w:rsidRPr="00B56F7F">
        <w:instrText xml:space="preserve">I"}],"issued":{"date-parts":[["1978",12]]}}}],"schema":"https://github.com/citation-style-language/schema/raw/master/csl-citation.json"} </w:instrText>
      </w:r>
      <w:r w:rsidR="00232A7F" w:rsidRPr="00B56F7F">
        <w:fldChar w:fldCharType="separate"/>
      </w:r>
      <w:r w:rsidR="00232A7F" w:rsidRPr="00B56F7F">
        <w:rPr>
          <w:noProof/>
        </w:rPr>
        <w:t>(Sharpe &amp; Wu, 1978)</w:t>
      </w:r>
      <w:r w:rsidR="00232A7F" w:rsidRPr="00B56F7F">
        <w:fldChar w:fldCharType="end"/>
      </w:r>
      <w:r w:rsidR="00232A7F" w:rsidRPr="00B56F7F">
        <w:t xml:space="preserve"> highlight the important role played by cell wall properties, and the volume changes caused by these. </w:t>
      </w:r>
    </w:p>
    <w:p w14:paraId="124332A3" w14:textId="77777777" w:rsidR="00D372B7" w:rsidRPr="00B56F7F" w:rsidRDefault="00D372B7" w:rsidP="00232A7F"/>
    <w:p w14:paraId="2DE2C63E" w14:textId="77777777" w:rsidR="005E61D6" w:rsidRPr="00AC3F34" w:rsidRDefault="005E61D6" w:rsidP="005E61D6">
      <w:pPr>
        <w:rPr>
          <w:sz w:val="22"/>
          <w:szCs w:val="22"/>
        </w:rPr>
      </w:pPr>
    </w:p>
    <w:p w14:paraId="6C96BFA9" w14:textId="77777777" w:rsidR="009840E4" w:rsidRPr="009840E4" w:rsidRDefault="009840E4" w:rsidP="009840E4">
      <w:pPr>
        <w:pStyle w:val="Bibliography"/>
        <w:rPr>
          <w:rFonts w:ascii="Aptos"/>
          <w:sz w:val="22"/>
        </w:rPr>
      </w:pPr>
      <w:r>
        <w:rPr>
          <w:sz w:val="22"/>
          <w:szCs w:val="22"/>
        </w:rPr>
        <w:fldChar w:fldCharType="begin"/>
      </w:r>
      <w:r>
        <w:rPr>
          <w:sz w:val="22"/>
          <w:szCs w:val="22"/>
        </w:rPr>
        <w:instrText xml:space="preserve"> ADDIN ZOTERO_BIBL {"uncited":[],"omitted":[],"custom":[]} CSL_BIBLIOGRAPHY </w:instrText>
      </w:r>
      <w:r>
        <w:rPr>
          <w:sz w:val="22"/>
          <w:szCs w:val="22"/>
        </w:rPr>
        <w:fldChar w:fldCharType="separate"/>
      </w:r>
      <w:r w:rsidRPr="009840E4">
        <w:rPr>
          <w:rFonts w:ascii="Aptos"/>
          <w:sz w:val="22"/>
        </w:rPr>
        <w:t xml:space="preserve">Aylor, D. E., Parlange, J.-Y., &amp; Krikorian, A. D. (1973). Stomatal Mechanics. </w:t>
      </w:r>
      <w:r w:rsidRPr="009840E4">
        <w:rPr>
          <w:rFonts w:ascii="Aptos"/>
          <w:i/>
          <w:iCs/>
          <w:sz w:val="22"/>
        </w:rPr>
        <w:t>American Journal of Botany</w:t>
      </w:r>
      <w:r w:rsidRPr="009840E4">
        <w:rPr>
          <w:rFonts w:ascii="Aptos"/>
          <w:sz w:val="22"/>
        </w:rPr>
        <w:t xml:space="preserve">, </w:t>
      </w:r>
      <w:r w:rsidRPr="009840E4">
        <w:rPr>
          <w:rFonts w:ascii="Aptos"/>
          <w:i/>
          <w:iCs/>
          <w:sz w:val="22"/>
        </w:rPr>
        <w:t>60</w:t>
      </w:r>
      <w:r w:rsidRPr="009840E4">
        <w:rPr>
          <w:rFonts w:ascii="Aptos"/>
          <w:sz w:val="22"/>
        </w:rPr>
        <w:t>(2), 163–171. https://doi.org/10.1002/j.1537-2197.1973.tb10213.x</w:t>
      </w:r>
    </w:p>
    <w:p w14:paraId="6E43A9A2" w14:textId="77777777" w:rsidR="009840E4" w:rsidRPr="009840E4" w:rsidRDefault="009840E4" w:rsidP="009840E4">
      <w:pPr>
        <w:pStyle w:val="Bibliography"/>
        <w:rPr>
          <w:rFonts w:ascii="Aptos"/>
          <w:sz w:val="22"/>
        </w:rPr>
      </w:pPr>
      <w:r w:rsidRPr="009840E4">
        <w:rPr>
          <w:rFonts w:ascii="Aptos"/>
          <w:sz w:val="22"/>
        </w:rPr>
        <w:t xml:space="preserve">Carter, R., Woolfenden, H., Baillie, A., Amsbury, S., Carroll, S., Healicon, E., Sovatzoglou, S., Braybrook, S., Gray, J. E., &amp; Hobbs, J. (2017). Stomatal opening involves polar, not radial, stiffening of guard cells. </w:t>
      </w:r>
      <w:r w:rsidRPr="009840E4">
        <w:rPr>
          <w:rFonts w:ascii="Aptos"/>
          <w:i/>
          <w:iCs/>
          <w:sz w:val="22"/>
        </w:rPr>
        <w:t>Current Biology</w:t>
      </w:r>
      <w:r w:rsidRPr="009840E4">
        <w:rPr>
          <w:rFonts w:ascii="Aptos"/>
          <w:sz w:val="22"/>
        </w:rPr>
        <w:t xml:space="preserve">, </w:t>
      </w:r>
      <w:r w:rsidRPr="009840E4">
        <w:rPr>
          <w:rFonts w:ascii="Aptos"/>
          <w:i/>
          <w:iCs/>
          <w:sz w:val="22"/>
        </w:rPr>
        <w:t>27</w:t>
      </w:r>
      <w:r w:rsidRPr="009840E4">
        <w:rPr>
          <w:rFonts w:ascii="Aptos"/>
          <w:sz w:val="22"/>
        </w:rPr>
        <w:t>(19), 2974–2983.</w:t>
      </w:r>
    </w:p>
    <w:p w14:paraId="34CF93A1" w14:textId="77777777" w:rsidR="009840E4" w:rsidRPr="009840E4" w:rsidRDefault="009840E4" w:rsidP="009840E4">
      <w:pPr>
        <w:pStyle w:val="Bibliography"/>
        <w:rPr>
          <w:rFonts w:ascii="Aptos"/>
          <w:sz w:val="22"/>
        </w:rPr>
      </w:pPr>
      <w:r w:rsidRPr="009840E4">
        <w:rPr>
          <w:rFonts w:ascii="Aptos"/>
          <w:sz w:val="22"/>
        </w:rPr>
        <w:t xml:space="preserve">Cooke, J. R., De Baerdemaeker, J. G., Rand, R. H., &amp; Mang, H. A. (1976). A finite element shell analysis of guard cell deformations. </w:t>
      </w:r>
      <w:r w:rsidRPr="009840E4">
        <w:rPr>
          <w:rFonts w:ascii="Aptos"/>
          <w:i/>
          <w:iCs/>
          <w:sz w:val="22"/>
        </w:rPr>
        <w:t>Transactions of the ASAE</w:t>
      </w:r>
      <w:r w:rsidRPr="009840E4">
        <w:rPr>
          <w:rFonts w:ascii="Aptos"/>
          <w:sz w:val="22"/>
        </w:rPr>
        <w:t xml:space="preserve">, </w:t>
      </w:r>
      <w:r w:rsidRPr="009840E4">
        <w:rPr>
          <w:rFonts w:ascii="Aptos"/>
          <w:i/>
          <w:iCs/>
          <w:sz w:val="22"/>
        </w:rPr>
        <w:t>19</w:t>
      </w:r>
      <w:r w:rsidRPr="009840E4">
        <w:rPr>
          <w:rFonts w:ascii="Aptos"/>
          <w:sz w:val="22"/>
        </w:rPr>
        <w:t>(6), 1107–1121.</w:t>
      </w:r>
    </w:p>
    <w:p w14:paraId="1A5F50FF" w14:textId="77777777" w:rsidR="009840E4" w:rsidRPr="009840E4" w:rsidRDefault="009840E4" w:rsidP="009840E4">
      <w:pPr>
        <w:pStyle w:val="Bibliography"/>
        <w:rPr>
          <w:rFonts w:ascii="Aptos"/>
          <w:sz w:val="22"/>
        </w:rPr>
      </w:pPr>
      <w:r w:rsidRPr="009840E4">
        <w:rPr>
          <w:rFonts w:ascii="Aptos"/>
          <w:sz w:val="22"/>
        </w:rPr>
        <w:t xml:space="preserve">Durney, C. H., Wilson, M. J., McGregor, S., Armand, J., Smith, R. S., Gray, J. E., Morris, R. J., &amp; Fleming, A. J. (2023). Grasses exploit geometry to achieve improved guard cell dynamics. </w:t>
      </w:r>
      <w:r w:rsidRPr="009840E4">
        <w:rPr>
          <w:rFonts w:ascii="Aptos"/>
          <w:i/>
          <w:iCs/>
          <w:sz w:val="22"/>
        </w:rPr>
        <w:t>Current Biology</w:t>
      </w:r>
      <w:r w:rsidRPr="009840E4">
        <w:rPr>
          <w:rFonts w:ascii="Aptos"/>
          <w:sz w:val="22"/>
        </w:rPr>
        <w:t xml:space="preserve">, </w:t>
      </w:r>
      <w:r w:rsidRPr="009840E4">
        <w:rPr>
          <w:rFonts w:ascii="Aptos"/>
          <w:i/>
          <w:iCs/>
          <w:sz w:val="22"/>
        </w:rPr>
        <w:t>33</w:t>
      </w:r>
      <w:r w:rsidRPr="009840E4">
        <w:rPr>
          <w:rFonts w:ascii="Aptos"/>
          <w:sz w:val="22"/>
        </w:rPr>
        <w:t>(13), 2814-2822.e4. https://doi.org/10.1016/j.cub.2023.05.051</w:t>
      </w:r>
    </w:p>
    <w:p w14:paraId="55B30161" w14:textId="77777777" w:rsidR="009840E4" w:rsidRPr="009840E4" w:rsidRDefault="009840E4" w:rsidP="009840E4">
      <w:pPr>
        <w:pStyle w:val="Bibliography"/>
        <w:rPr>
          <w:rFonts w:ascii="Aptos"/>
          <w:sz w:val="22"/>
        </w:rPr>
      </w:pPr>
      <w:r w:rsidRPr="009840E4">
        <w:rPr>
          <w:rFonts w:ascii="Aptos"/>
          <w:sz w:val="22"/>
        </w:rPr>
        <w:t xml:space="preserve">Franks, P. J., Buckley, T. N., Shope, J. C., &amp; Mott, K. A. (2001). Guard cell volume and pressure measured concurrently by confocal microscopy and the cell pressure probe. </w:t>
      </w:r>
      <w:r w:rsidRPr="009840E4">
        <w:rPr>
          <w:rFonts w:ascii="Aptos"/>
          <w:i/>
          <w:iCs/>
          <w:sz w:val="22"/>
        </w:rPr>
        <w:t>Plant Physiology</w:t>
      </w:r>
      <w:r w:rsidRPr="009840E4">
        <w:rPr>
          <w:rFonts w:ascii="Aptos"/>
          <w:sz w:val="22"/>
        </w:rPr>
        <w:t xml:space="preserve">, </w:t>
      </w:r>
      <w:r w:rsidRPr="009840E4">
        <w:rPr>
          <w:rFonts w:ascii="Aptos"/>
          <w:i/>
          <w:iCs/>
          <w:sz w:val="22"/>
        </w:rPr>
        <w:t>125</w:t>
      </w:r>
      <w:r w:rsidRPr="009840E4">
        <w:rPr>
          <w:rFonts w:ascii="Aptos"/>
          <w:sz w:val="22"/>
        </w:rPr>
        <w:t>(4), 1577–1584.</w:t>
      </w:r>
    </w:p>
    <w:p w14:paraId="4F48CFA9" w14:textId="77777777" w:rsidR="009840E4" w:rsidRPr="009840E4" w:rsidRDefault="009840E4" w:rsidP="009840E4">
      <w:pPr>
        <w:pStyle w:val="Bibliography"/>
        <w:rPr>
          <w:rFonts w:ascii="Aptos"/>
          <w:sz w:val="22"/>
        </w:rPr>
      </w:pPr>
      <w:r w:rsidRPr="009840E4">
        <w:rPr>
          <w:rFonts w:ascii="Aptos"/>
          <w:sz w:val="22"/>
        </w:rPr>
        <w:t xml:space="preserve">Hofhuis, H., Moulton, D., Lessinnes, T., Routier-Kierzkowska, A.-L., Bomphrey, R. J., Mosca, G., Reinhardt, H., Sarchet, P., Gan, X., &amp; Tsiantis, M. (2016). Morphomechanical innovation drives explosive seed dispersal. </w:t>
      </w:r>
      <w:r w:rsidRPr="009840E4">
        <w:rPr>
          <w:rFonts w:ascii="Aptos"/>
          <w:i/>
          <w:iCs/>
          <w:sz w:val="22"/>
        </w:rPr>
        <w:t>Cell</w:t>
      </w:r>
      <w:r w:rsidRPr="009840E4">
        <w:rPr>
          <w:rFonts w:ascii="Aptos"/>
          <w:sz w:val="22"/>
        </w:rPr>
        <w:t xml:space="preserve">, </w:t>
      </w:r>
      <w:r w:rsidRPr="009840E4">
        <w:rPr>
          <w:rFonts w:ascii="Aptos"/>
          <w:i/>
          <w:iCs/>
          <w:sz w:val="22"/>
        </w:rPr>
        <w:t>166</w:t>
      </w:r>
      <w:r w:rsidRPr="009840E4">
        <w:rPr>
          <w:rFonts w:ascii="Aptos"/>
          <w:sz w:val="22"/>
        </w:rPr>
        <w:t>(1), 222–233.</w:t>
      </w:r>
    </w:p>
    <w:p w14:paraId="3753760A" w14:textId="77777777" w:rsidR="009840E4" w:rsidRPr="009840E4" w:rsidRDefault="009840E4" w:rsidP="009840E4">
      <w:pPr>
        <w:pStyle w:val="Bibliography"/>
        <w:rPr>
          <w:rFonts w:ascii="Aptos"/>
          <w:sz w:val="22"/>
        </w:rPr>
      </w:pPr>
      <w:r w:rsidRPr="009840E4">
        <w:rPr>
          <w:rFonts w:ascii="Aptos"/>
          <w:sz w:val="22"/>
        </w:rPr>
        <w:t xml:space="preserve">Meckel, T., Gall, L., Semrau, S., Homann, U., &amp; Thiel, G. (2007). Guard cells elongate: Relationship of volume and surface area during stomatal movement. </w:t>
      </w:r>
      <w:r w:rsidRPr="009840E4">
        <w:rPr>
          <w:rFonts w:ascii="Aptos"/>
          <w:i/>
          <w:iCs/>
          <w:sz w:val="22"/>
        </w:rPr>
        <w:t>Biophysical Journal</w:t>
      </w:r>
      <w:r w:rsidRPr="009840E4">
        <w:rPr>
          <w:rFonts w:ascii="Aptos"/>
          <w:sz w:val="22"/>
        </w:rPr>
        <w:t xml:space="preserve">, </w:t>
      </w:r>
      <w:r w:rsidRPr="009840E4">
        <w:rPr>
          <w:rFonts w:ascii="Aptos"/>
          <w:i/>
          <w:iCs/>
          <w:sz w:val="22"/>
        </w:rPr>
        <w:t>92</w:t>
      </w:r>
      <w:r w:rsidRPr="009840E4">
        <w:rPr>
          <w:rFonts w:ascii="Aptos"/>
          <w:sz w:val="22"/>
        </w:rPr>
        <w:t>(3), 1072–1080.</w:t>
      </w:r>
    </w:p>
    <w:p w14:paraId="17E429D6" w14:textId="77777777" w:rsidR="009840E4" w:rsidRPr="009840E4" w:rsidRDefault="009840E4" w:rsidP="009840E4">
      <w:pPr>
        <w:pStyle w:val="Bibliography"/>
        <w:rPr>
          <w:rFonts w:ascii="Aptos"/>
          <w:sz w:val="22"/>
        </w:rPr>
      </w:pPr>
      <w:r w:rsidRPr="009840E4">
        <w:rPr>
          <w:rFonts w:ascii="Aptos"/>
          <w:sz w:val="22"/>
        </w:rPr>
        <w:t xml:space="preserve">Sharpe, P. J. H., &amp; Wu, H. (1978). Stomatal mechanics: Volume changes during opening. </w:t>
      </w:r>
      <w:r w:rsidRPr="009840E4">
        <w:rPr>
          <w:rFonts w:ascii="Aptos"/>
          <w:i/>
          <w:iCs/>
          <w:sz w:val="22"/>
        </w:rPr>
        <w:t>Plant, Cell &amp; Environment</w:t>
      </w:r>
      <w:r w:rsidRPr="009840E4">
        <w:rPr>
          <w:rFonts w:ascii="Aptos"/>
          <w:sz w:val="22"/>
        </w:rPr>
        <w:t xml:space="preserve">, </w:t>
      </w:r>
      <w:r w:rsidRPr="009840E4">
        <w:rPr>
          <w:rFonts w:ascii="Aptos"/>
          <w:i/>
          <w:iCs/>
          <w:sz w:val="22"/>
        </w:rPr>
        <w:t>1</w:t>
      </w:r>
      <w:r w:rsidRPr="009840E4">
        <w:rPr>
          <w:rFonts w:ascii="Aptos"/>
          <w:sz w:val="22"/>
        </w:rPr>
        <w:t>(4), 259–268. https://doi.org/10.1111/j.1365-3040.1978.tb02038.x</w:t>
      </w:r>
    </w:p>
    <w:p w14:paraId="2725C62B" w14:textId="77777777" w:rsidR="009840E4" w:rsidRPr="009840E4" w:rsidRDefault="009840E4" w:rsidP="009840E4">
      <w:pPr>
        <w:pStyle w:val="Bibliography"/>
        <w:rPr>
          <w:rFonts w:ascii="Aptos"/>
          <w:sz w:val="22"/>
        </w:rPr>
      </w:pPr>
      <w:r w:rsidRPr="009840E4">
        <w:rPr>
          <w:rFonts w:ascii="Aptos"/>
          <w:sz w:val="22"/>
        </w:rPr>
        <w:lastRenderedPageBreak/>
        <w:t xml:space="preserve">Woolfenden, H. C., Baillie, A. L., Gray, J. E., Hobbs, J. K., Morris, R. J., &amp; Fleming, A. J. (2018). Models and mechanisms of stomatal mechanics. </w:t>
      </w:r>
      <w:r w:rsidRPr="009840E4">
        <w:rPr>
          <w:rFonts w:ascii="Aptos"/>
          <w:i/>
          <w:iCs/>
          <w:sz w:val="22"/>
        </w:rPr>
        <w:t>Trends in Plant Science</w:t>
      </w:r>
      <w:r w:rsidRPr="009840E4">
        <w:rPr>
          <w:rFonts w:ascii="Aptos"/>
          <w:sz w:val="22"/>
        </w:rPr>
        <w:t xml:space="preserve">, </w:t>
      </w:r>
      <w:r w:rsidRPr="009840E4">
        <w:rPr>
          <w:rFonts w:ascii="Aptos"/>
          <w:i/>
          <w:iCs/>
          <w:sz w:val="22"/>
        </w:rPr>
        <w:t>23</w:t>
      </w:r>
      <w:r w:rsidRPr="009840E4">
        <w:rPr>
          <w:rFonts w:ascii="Aptos"/>
          <w:sz w:val="22"/>
        </w:rPr>
        <w:t>(9), 822–832.</w:t>
      </w:r>
    </w:p>
    <w:p w14:paraId="6F3027C6" w14:textId="77777777" w:rsidR="009840E4" w:rsidRPr="009840E4" w:rsidRDefault="009840E4" w:rsidP="009840E4">
      <w:pPr>
        <w:pStyle w:val="Bibliography"/>
        <w:rPr>
          <w:rFonts w:ascii="Aptos"/>
          <w:sz w:val="22"/>
        </w:rPr>
      </w:pPr>
      <w:r w:rsidRPr="009840E4">
        <w:rPr>
          <w:rFonts w:ascii="Aptos"/>
          <w:sz w:val="22"/>
        </w:rPr>
        <w:t xml:space="preserve">Woolfenden, H. C., Bourdais, G., Kopischke, M., Miedes, E., Molina, A., Robatzek, S., &amp; Morris, R. J. (2017). A computational approach for inferring the cell wall properties that govern guard cell dynamics. </w:t>
      </w:r>
      <w:r w:rsidRPr="009840E4">
        <w:rPr>
          <w:rFonts w:ascii="Aptos"/>
          <w:i/>
          <w:iCs/>
          <w:sz w:val="22"/>
        </w:rPr>
        <w:t>The Plant Journal</w:t>
      </w:r>
      <w:r w:rsidRPr="009840E4">
        <w:rPr>
          <w:rFonts w:ascii="Aptos"/>
          <w:sz w:val="22"/>
        </w:rPr>
        <w:t xml:space="preserve">, </w:t>
      </w:r>
      <w:r w:rsidRPr="009840E4">
        <w:rPr>
          <w:rFonts w:ascii="Aptos"/>
          <w:i/>
          <w:iCs/>
          <w:sz w:val="22"/>
        </w:rPr>
        <w:t>92</w:t>
      </w:r>
      <w:r w:rsidRPr="009840E4">
        <w:rPr>
          <w:rFonts w:ascii="Aptos"/>
          <w:sz w:val="22"/>
        </w:rPr>
        <w:t>(1), 5–18. https://doi.org/10.1111/tpj.13640</w:t>
      </w:r>
    </w:p>
    <w:p w14:paraId="5D9A270C" w14:textId="5A3F7F38" w:rsidR="005E61D6" w:rsidRPr="00AC3F34" w:rsidRDefault="009840E4" w:rsidP="005E61D6">
      <w:pPr>
        <w:rPr>
          <w:sz w:val="22"/>
          <w:szCs w:val="22"/>
        </w:rPr>
      </w:pPr>
      <w:r>
        <w:rPr>
          <w:sz w:val="22"/>
          <w:szCs w:val="22"/>
        </w:rPr>
        <w:fldChar w:fldCharType="end"/>
      </w:r>
    </w:p>
    <w:p w14:paraId="02BE991E" w14:textId="77777777" w:rsidR="005E61D6" w:rsidRPr="00AC3F34" w:rsidRDefault="005E61D6" w:rsidP="005E61D6">
      <w:pPr>
        <w:rPr>
          <w:sz w:val="22"/>
          <w:szCs w:val="22"/>
        </w:rPr>
      </w:pPr>
    </w:p>
    <w:p w14:paraId="5C5A86CD" w14:textId="41E5D945" w:rsidR="00FE072D" w:rsidRDefault="00FE072D" w:rsidP="00FE072D">
      <w:r>
        <w:rPr>
          <w:rFonts w:ascii="Segoe UI" w:hAnsi="Segoe UI" w:cs="Segoe UI"/>
          <w:color w:val="212121"/>
          <w:shd w:val="clear" w:color="auto" w:fill="FFFFFF"/>
        </w:rPr>
        <w:t xml:space="preserve"> </w:t>
      </w:r>
    </w:p>
    <w:sectPr w:rsidR="00FE072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1C6841"/>
    <w:multiLevelType w:val="multilevel"/>
    <w:tmpl w:val="95C8B5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5166731"/>
    <w:multiLevelType w:val="hybridMultilevel"/>
    <w:tmpl w:val="8000E47E"/>
    <w:lvl w:ilvl="0" w:tplc="B69C2B88">
      <w:start w:val="1"/>
      <w:numFmt w:val="bullet"/>
      <w:lvlText w:val="-"/>
      <w:lvlJc w:val="left"/>
      <w:pPr>
        <w:ind w:left="400" w:hanging="360"/>
      </w:pPr>
      <w:rPr>
        <w:rFonts w:ascii="Aptos" w:eastAsiaTheme="minorHAnsi" w:hAnsi="Aptos" w:cstheme="minorBidi" w:hint="default"/>
      </w:rPr>
    </w:lvl>
    <w:lvl w:ilvl="1" w:tplc="08090003" w:tentative="1">
      <w:start w:val="1"/>
      <w:numFmt w:val="bullet"/>
      <w:lvlText w:val="o"/>
      <w:lvlJc w:val="left"/>
      <w:pPr>
        <w:ind w:left="1120" w:hanging="360"/>
      </w:pPr>
      <w:rPr>
        <w:rFonts w:ascii="Courier New" w:hAnsi="Courier New" w:hint="default"/>
      </w:rPr>
    </w:lvl>
    <w:lvl w:ilvl="2" w:tplc="08090005" w:tentative="1">
      <w:start w:val="1"/>
      <w:numFmt w:val="bullet"/>
      <w:lvlText w:val=""/>
      <w:lvlJc w:val="left"/>
      <w:pPr>
        <w:ind w:left="1840" w:hanging="360"/>
      </w:pPr>
      <w:rPr>
        <w:rFonts w:ascii="Wingdings" w:hAnsi="Wingdings" w:hint="default"/>
      </w:rPr>
    </w:lvl>
    <w:lvl w:ilvl="3" w:tplc="08090001" w:tentative="1">
      <w:start w:val="1"/>
      <w:numFmt w:val="bullet"/>
      <w:lvlText w:val=""/>
      <w:lvlJc w:val="left"/>
      <w:pPr>
        <w:ind w:left="2560" w:hanging="360"/>
      </w:pPr>
      <w:rPr>
        <w:rFonts w:ascii="Symbol" w:hAnsi="Symbol" w:hint="default"/>
      </w:rPr>
    </w:lvl>
    <w:lvl w:ilvl="4" w:tplc="08090003" w:tentative="1">
      <w:start w:val="1"/>
      <w:numFmt w:val="bullet"/>
      <w:lvlText w:val="o"/>
      <w:lvlJc w:val="left"/>
      <w:pPr>
        <w:ind w:left="3280" w:hanging="360"/>
      </w:pPr>
      <w:rPr>
        <w:rFonts w:ascii="Courier New" w:hAnsi="Courier New" w:hint="default"/>
      </w:rPr>
    </w:lvl>
    <w:lvl w:ilvl="5" w:tplc="08090005" w:tentative="1">
      <w:start w:val="1"/>
      <w:numFmt w:val="bullet"/>
      <w:lvlText w:val=""/>
      <w:lvlJc w:val="left"/>
      <w:pPr>
        <w:ind w:left="4000" w:hanging="360"/>
      </w:pPr>
      <w:rPr>
        <w:rFonts w:ascii="Wingdings" w:hAnsi="Wingdings" w:hint="default"/>
      </w:rPr>
    </w:lvl>
    <w:lvl w:ilvl="6" w:tplc="08090001" w:tentative="1">
      <w:start w:val="1"/>
      <w:numFmt w:val="bullet"/>
      <w:lvlText w:val=""/>
      <w:lvlJc w:val="left"/>
      <w:pPr>
        <w:ind w:left="4720" w:hanging="360"/>
      </w:pPr>
      <w:rPr>
        <w:rFonts w:ascii="Symbol" w:hAnsi="Symbol" w:hint="default"/>
      </w:rPr>
    </w:lvl>
    <w:lvl w:ilvl="7" w:tplc="08090003" w:tentative="1">
      <w:start w:val="1"/>
      <w:numFmt w:val="bullet"/>
      <w:lvlText w:val="o"/>
      <w:lvlJc w:val="left"/>
      <w:pPr>
        <w:ind w:left="5440" w:hanging="360"/>
      </w:pPr>
      <w:rPr>
        <w:rFonts w:ascii="Courier New" w:hAnsi="Courier New" w:hint="default"/>
      </w:rPr>
    </w:lvl>
    <w:lvl w:ilvl="8" w:tplc="08090005" w:tentative="1">
      <w:start w:val="1"/>
      <w:numFmt w:val="bullet"/>
      <w:lvlText w:val=""/>
      <w:lvlJc w:val="left"/>
      <w:pPr>
        <w:ind w:left="6160" w:hanging="360"/>
      </w:pPr>
      <w:rPr>
        <w:rFonts w:ascii="Wingdings" w:hAnsi="Wingdings" w:hint="default"/>
      </w:rPr>
    </w:lvl>
  </w:abstractNum>
  <w:abstractNum w:abstractNumId="2" w15:restartNumberingAfterBreak="0">
    <w:nsid w:val="5D944E21"/>
    <w:multiLevelType w:val="multilevel"/>
    <w:tmpl w:val="230262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26746E9"/>
    <w:multiLevelType w:val="hybridMultilevel"/>
    <w:tmpl w:val="EC96FD9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376851863">
    <w:abstractNumId w:val="2"/>
  </w:num>
  <w:num w:numId="2" w16cid:durableId="389620129">
    <w:abstractNumId w:val="1"/>
  </w:num>
  <w:num w:numId="3" w16cid:durableId="288438828">
    <w:abstractNumId w:val="3"/>
  </w:num>
  <w:num w:numId="4" w16cid:durableId="14636473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1A34"/>
    <w:rsid w:val="000001B0"/>
    <w:rsid w:val="000049CB"/>
    <w:rsid w:val="00023AFC"/>
    <w:rsid w:val="000357BF"/>
    <w:rsid w:val="000415DD"/>
    <w:rsid w:val="00056B75"/>
    <w:rsid w:val="00057600"/>
    <w:rsid w:val="0007767D"/>
    <w:rsid w:val="000B36D4"/>
    <w:rsid w:val="000B5FCF"/>
    <w:rsid w:val="000D7251"/>
    <w:rsid w:val="000E2ABE"/>
    <w:rsid w:val="000E57D8"/>
    <w:rsid w:val="000F4E1F"/>
    <w:rsid w:val="00101919"/>
    <w:rsid w:val="001035E8"/>
    <w:rsid w:val="00124DDE"/>
    <w:rsid w:val="00150B91"/>
    <w:rsid w:val="00155765"/>
    <w:rsid w:val="00156D06"/>
    <w:rsid w:val="00162145"/>
    <w:rsid w:val="001A00FE"/>
    <w:rsid w:val="001A7B5D"/>
    <w:rsid w:val="001E18D9"/>
    <w:rsid w:val="001E2EF0"/>
    <w:rsid w:val="001F0471"/>
    <w:rsid w:val="00211794"/>
    <w:rsid w:val="00213F61"/>
    <w:rsid w:val="00216981"/>
    <w:rsid w:val="00220877"/>
    <w:rsid w:val="00232A7F"/>
    <w:rsid w:val="00236FE2"/>
    <w:rsid w:val="002557EC"/>
    <w:rsid w:val="002650A4"/>
    <w:rsid w:val="002F51FD"/>
    <w:rsid w:val="003064D3"/>
    <w:rsid w:val="00325703"/>
    <w:rsid w:val="00332BB1"/>
    <w:rsid w:val="00357C82"/>
    <w:rsid w:val="0038203C"/>
    <w:rsid w:val="003834FD"/>
    <w:rsid w:val="00385B44"/>
    <w:rsid w:val="003A15BE"/>
    <w:rsid w:val="003B6615"/>
    <w:rsid w:val="003F6FC9"/>
    <w:rsid w:val="00424370"/>
    <w:rsid w:val="00485728"/>
    <w:rsid w:val="00493E8C"/>
    <w:rsid w:val="004A0E15"/>
    <w:rsid w:val="004A70BA"/>
    <w:rsid w:val="004C4AB5"/>
    <w:rsid w:val="004D623E"/>
    <w:rsid w:val="004F1716"/>
    <w:rsid w:val="004F5E09"/>
    <w:rsid w:val="0050263E"/>
    <w:rsid w:val="0051491E"/>
    <w:rsid w:val="0052436F"/>
    <w:rsid w:val="00524541"/>
    <w:rsid w:val="0055378C"/>
    <w:rsid w:val="00563F4B"/>
    <w:rsid w:val="0059764B"/>
    <w:rsid w:val="005A1D2E"/>
    <w:rsid w:val="005B6E3F"/>
    <w:rsid w:val="005E61D6"/>
    <w:rsid w:val="00606E15"/>
    <w:rsid w:val="00617BA3"/>
    <w:rsid w:val="00620C91"/>
    <w:rsid w:val="00683A16"/>
    <w:rsid w:val="006A6805"/>
    <w:rsid w:val="006C77F7"/>
    <w:rsid w:val="006D1060"/>
    <w:rsid w:val="006D720F"/>
    <w:rsid w:val="006E4B4D"/>
    <w:rsid w:val="006E6388"/>
    <w:rsid w:val="00707863"/>
    <w:rsid w:val="00724331"/>
    <w:rsid w:val="007259FA"/>
    <w:rsid w:val="00792DF3"/>
    <w:rsid w:val="007B0141"/>
    <w:rsid w:val="007B658A"/>
    <w:rsid w:val="007C40C2"/>
    <w:rsid w:val="007C6A37"/>
    <w:rsid w:val="00831A34"/>
    <w:rsid w:val="00864DD4"/>
    <w:rsid w:val="00871610"/>
    <w:rsid w:val="008743C8"/>
    <w:rsid w:val="00876104"/>
    <w:rsid w:val="00881B4D"/>
    <w:rsid w:val="0088749E"/>
    <w:rsid w:val="008A22C1"/>
    <w:rsid w:val="008D3BB5"/>
    <w:rsid w:val="008E4F51"/>
    <w:rsid w:val="0091540D"/>
    <w:rsid w:val="00915D5B"/>
    <w:rsid w:val="009317F5"/>
    <w:rsid w:val="0096193C"/>
    <w:rsid w:val="00970F53"/>
    <w:rsid w:val="00975668"/>
    <w:rsid w:val="00977B51"/>
    <w:rsid w:val="009840E4"/>
    <w:rsid w:val="009C73E5"/>
    <w:rsid w:val="009D2354"/>
    <w:rsid w:val="009D74C2"/>
    <w:rsid w:val="009F79AE"/>
    <w:rsid w:val="00A32568"/>
    <w:rsid w:val="00A563EF"/>
    <w:rsid w:val="00A73D38"/>
    <w:rsid w:val="00A840E5"/>
    <w:rsid w:val="00A95A50"/>
    <w:rsid w:val="00AC3F34"/>
    <w:rsid w:val="00AD026D"/>
    <w:rsid w:val="00AE1501"/>
    <w:rsid w:val="00AF2A3C"/>
    <w:rsid w:val="00AF59AC"/>
    <w:rsid w:val="00B11772"/>
    <w:rsid w:val="00B11787"/>
    <w:rsid w:val="00B26334"/>
    <w:rsid w:val="00B56B88"/>
    <w:rsid w:val="00B56F7F"/>
    <w:rsid w:val="00B61850"/>
    <w:rsid w:val="00B878D6"/>
    <w:rsid w:val="00BA000E"/>
    <w:rsid w:val="00C200D2"/>
    <w:rsid w:val="00C52408"/>
    <w:rsid w:val="00C53A3E"/>
    <w:rsid w:val="00C6524F"/>
    <w:rsid w:val="00C84576"/>
    <w:rsid w:val="00C91BE7"/>
    <w:rsid w:val="00C91FCE"/>
    <w:rsid w:val="00C93784"/>
    <w:rsid w:val="00CB4092"/>
    <w:rsid w:val="00CD3BDD"/>
    <w:rsid w:val="00D0365F"/>
    <w:rsid w:val="00D039CF"/>
    <w:rsid w:val="00D122B8"/>
    <w:rsid w:val="00D372B7"/>
    <w:rsid w:val="00D72C0F"/>
    <w:rsid w:val="00D74A5D"/>
    <w:rsid w:val="00D768CC"/>
    <w:rsid w:val="00DA20B1"/>
    <w:rsid w:val="00DD734E"/>
    <w:rsid w:val="00E6555E"/>
    <w:rsid w:val="00E71121"/>
    <w:rsid w:val="00E74005"/>
    <w:rsid w:val="00E7413B"/>
    <w:rsid w:val="00E81ED2"/>
    <w:rsid w:val="00EA477C"/>
    <w:rsid w:val="00EC0930"/>
    <w:rsid w:val="00EC1AFB"/>
    <w:rsid w:val="00EF0681"/>
    <w:rsid w:val="00F243F1"/>
    <w:rsid w:val="00F37233"/>
    <w:rsid w:val="00F44628"/>
    <w:rsid w:val="00F52A0E"/>
    <w:rsid w:val="00F5520C"/>
    <w:rsid w:val="00F7692A"/>
    <w:rsid w:val="00F82154"/>
    <w:rsid w:val="00F869EE"/>
    <w:rsid w:val="00FA2609"/>
    <w:rsid w:val="00FC462F"/>
    <w:rsid w:val="00FE072D"/>
    <w:rsid w:val="00FE244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DD8BDD"/>
  <w15:chartTrackingRefBased/>
  <w15:docId w15:val="{10855DAD-947E-9F42-BD3C-3E1E415BAF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31A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31A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31A3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831A3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31A3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31A3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1A3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1A3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1A3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1A3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31A3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31A3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831A3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31A3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31A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1A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1A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1A34"/>
    <w:rPr>
      <w:rFonts w:eastAsiaTheme="majorEastAsia" w:cstheme="majorBidi"/>
      <w:color w:val="272727" w:themeColor="text1" w:themeTint="D8"/>
    </w:rPr>
  </w:style>
  <w:style w:type="paragraph" w:styleId="Title">
    <w:name w:val="Title"/>
    <w:basedOn w:val="Normal"/>
    <w:next w:val="Normal"/>
    <w:link w:val="TitleChar"/>
    <w:uiPriority w:val="10"/>
    <w:qFormat/>
    <w:rsid w:val="00831A3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1A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1A34"/>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1A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1A3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31A34"/>
    <w:rPr>
      <w:i/>
      <w:iCs/>
      <w:color w:val="404040" w:themeColor="text1" w:themeTint="BF"/>
    </w:rPr>
  </w:style>
  <w:style w:type="paragraph" w:styleId="ListParagraph">
    <w:name w:val="List Paragraph"/>
    <w:basedOn w:val="Normal"/>
    <w:uiPriority w:val="34"/>
    <w:qFormat/>
    <w:rsid w:val="00831A34"/>
    <w:pPr>
      <w:ind w:left="720"/>
      <w:contextualSpacing/>
    </w:pPr>
  </w:style>
  <w:style w:type="character" w:styleId="IntenseEmphasis">
    <w:name w:val="Intense Emphasis"/>
    <w:basedOn w:val="DefaultParagraphFont"/>
    <w:uiPriority w:val="21"/>
    <w:qFormat/>
    <w:rsid w:val="00831A34"/>
    <w:rPr>
      <w:i/>
      <w:iCs/>
      <w:color w:val="0F4761" w:themeColor="accent1" w:themeShade="BF"/>
    </w:rPr>
  </w:style>
  <w:style w:type="paragraph" w:styleId="IntenseQuote">
    <w:name w:val="Intense Quote"/>
    <w:basedOn w:val="Normal"/>
    <w:next w:val="Normal"/>
    <w:link w:val="IntenseQuoteChar"/>
    <w:uiPriority w:val="30"/>
    <w:qFormat/>
    <w:rsid w:val="00831A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31A34"/>
    <w:rPr>
      <w:i/>
      <w:iCs/>
      <w:color w:val="0F4761" w:themeColor="accent1" w:themeShade="BF"/>
    </w:rPr>
  </w:style>
  <w:style w:type="character" w:styleId="IntenseReference">
    <w:name w:val="Intense Reference"/>
    <w:basedOn w:val="DefaultParagraphFont"/>
    <w:uiPriority w:val="32"/>
    <w:qFormat/>
    <w:rsid w:val="00831A34"/>
    <w:rPr>
      <w:b/>
      <w:bCs/>
      <w:smallCaps/>
      <w:color w:val="0F4761" w:themeColor="accent1" w:themeShade="BF"/>
      <w:spacing w:val="5"/>
    </w:rPr>
  </w:style>
  <w:style w:type="character" w:styleId="Hyperlink">
    <w:name w:val="Hyperlink"/>
    <w:basedOn w:val="DefaultParagraphFont"/>
    <w:uiPriority w:val="99"/>
    <w:semiHidden/>
    <w:unhideWhenUsed/>
    <w:rsid w:val="00220877"/>
    <w:rPr>
      <w:color w:val="0000FF"/>
      <w:u w:val="single"/>
    </w:rPr>
  </w:style>
  <w:style w:type="table" w:styleId="TableGrid">
    <w:name w:val="Table Grid"/>
    <w:basedOn w:val="TableNormal"/>
    <w:uiPriority w:val="39"/>
    <w:rsid w:val="00C6524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485728"/>
    <w:pPr>
      <w:spacing w:before="100" w:beforeAutospacing="1" w:after="100" w:afterAutospacing="1"/>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485728"/>
    <w:rPr>
      <w:b/>
      <w:bCs/>
    </w:rPr>
  </w:style>
  <w:style w:type="paragraph" w:styleId="Bibliography">
    <w:name w:val="Bibliography"/>
    <w:basedOn w:val="Normal"/>
    <w:next w:val="Normal"/>
    <w:uiPriority w:val="37"/>
    <w:unhideWhenUsed/>
    <w:rsid w:val="009840E4"/>
    <w:pPr>
      <w:spacing w:line="480" w:lineRule="auto"/>
      <w:ind w:left="720" w:hanging="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0244914">
      <w:bodyDiv w:val="1"/>
      <w:marLeft w:val="0"/>
      <w:marRight w:val="0"/>
      <w:marTop w:val="0"/>
      <w:marBottom w:val="0"/>
      <w:divBdr>
        <w:top w:val="none" w:sz="0" w:space="0" w:color="auto"/>
        <w:left w:val="none" w:sz="0" w:space="0" w:color="auto"/>
        <w:bottom w:val="none" w:sz="0" w:space="0" w:color="auto"/>
        <w:right w:val="none" w:sz="0" w:space="0" w:color="auto"/>
      </w:divBdr>
    </w:div>
    <w:div w:id="481428797">
      <w:bodyDiv w:val="1"/>
      <w:marLeft w:val="0"/>
      <w:marRight w:val="0"/>
      <w:marTop w:val="0"/>
      <w:marBottom w:val="0"/>
      <w:divBdr>
        <w:top w:val="none" w:sz="0" w:space="0" w:color="auto"/>
        <w:left w:val="none" w:sz="0" w:space="0" w:color="auto"/>
        <w:bottom w:val="none" w:sz="0" w:space="0" w:color="auto"/>
        <w:right w:val="none" w:sz="0" w:space="0" w:color="auto"/>
      </w:divBdr>
    </w:div>
    <w:div w:id="1244487514">
      <w:bodyDiv w:val="1"/>
      <w:marLeft w:val="0"/>
      <w:marRight w:val="0"/>
      <w:marTop w:val="0"/>
      <w:marBottom w:val="0"/>
      <w:divBdr>
        <w:top w:val="none" w:sz="0" w:space="0" w:color="auto"/>
        <w:left w:val="none" w:sz="0" w:space="0" w:color="auto"/>
        <w:bottom w:val="none" w:sz="0" w:space="0" w:color="auto"/>
        <w:right w:val="none" w:sz="0" w:space="0" w:color="auto"/>
      </w:divBdr>
      <w:divsChild>
        <w:div w:id="755707115">
          <w:marLeft w:val="0"/>
          <w:marRight w:val="0"/>
          <w:marTop w:val="0"/>
          <w:marBottom w:val="0"/>
          <w:divBdr>
            <w:top w:val="none" w:sz="0" w:space="0" w:color="auto"/>
            <w:left w:val="none" w:sz="0" w:space="0" w:color="auto"/>
            <w:bottom w:val="none" w:sz="0" w:space="0" w:color="auto"/>
            <w:right w:val="none" w:sz="0" w:space="0" w:color="auto"/>
          </w:divBdr>
        </w:div>
        <w:div w:id="1025056585">
          <w:marLeft w:val="0"/>
          <w:marRight w:val="0"/>
          <w:marTop w:val="0"/>
          <w:marBottom w:val="0"/>
          <w:divBdr>
            <w:top w:val="none" w:sz="0" w:space="0" w:color="auto"/>
            <w:left w:val="none" w:sz="0" w:space="0" w:color="auto"/>
            <w:bottom w:val="none" w:sz="0" w:space="0" w:color="auto"/>
            <w:right w:val="none" w:sz="0" w:space="0" w:color="auto"/>
          </w:divBdr>
        </w:div>
      </w:divsChild>
    </w:div>
    <w:div w:id="1401516478">
      <w:bodyDiv w:val="1"/>
      <w:marLeft w:val="0"/>
      <w:marRight w:val="0"/>
      <w:marTop w:val="0"/>
      <w:marBottom w:val="0"/>
      <w:divBdr>
        <w:top w:val="none" w:sz="0" w:space="0" w:color="auto"/>
        <w:left w:val="none" w:sz="0" w:space="0" w:color="auto"/>
        <w:bottom w:val="none" w:sz="0" w:space="0" w:color="auto"/>
        <w:right w:val="none" w:sz="0" w:space="0" w:color="auto"/>
      </w:divBdr>
      <w:divsChild>
        <w:div w:id="1902712528">
          <w:marLeft w:val="0"/>
          <w:marRight w:val="0"/>
          <w:marTop w:val="0"/>
          <w:marBottom w:val="0"/>
          <w:divBdr>
            <w:top w:val="none" w:sz="0" w:space="0" w:color="auto"/>
            <w:left w:val="none" w:sz="0" w:space="0" w:color="auto"/>
            <w:bottom w:val="none" w:sz="0" w:space="0" w:color="auto"/>
            <w:right w:val="none" w:sz="0" w:space="0" w:color="auto"/>
          </w:divBdr>
        </w:div>
        <w:div w:id="843742492">
          <w:marLeft w:val="0"/>
          <w:marRight w:val="0"/>
          <w:marTop w:val="0"/>
          <w:marBottom w:val="0"/>
          <w:divBdr>
            <w:top w:val="none" w:sz="0" w:space="0" w:color="auto"/>
            <w:left w:val="none" w:sz="0" w:space="0" w:color="auto"/>
            <w:bottom w:val="none" w:sz="0" w:space="0" w:color="auto"/>
            <w:right w:val="none" w:sz="0" w:space="0" w:color="auto"/>
          </w:divBdr>
        </w:div>
      </w:divsChild>
    </w:div>
    <w:div w:id="18130549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2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customXml" Target="ink/ink1.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3-13T16:24:38.141"/>
    </inkml:context>
    <inkml:brush xml:id="br0">
      <inkml:brushProperty name="width" value="0.05" units="cm"/>
      <inkml:brushProperty name="height" value="0.05" units="cm"/>
      <inkml:brushProperty name="color" value="#FFFFFF"/>
    </inkml:brush>
  </inkml:definitions>
  <inkml:trace contextRef="#ctx0" brushRef="#br0">0 8 24575,'1'-4'0,"0"1"0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9BF95E7-6575-0645-BD68-4ABE4E2E0A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556</TotalTime>
  <Pages>11</Pages>
  <Words>7857</Words>
  <Characters>44790</Characters>
  <Application>Microsoft Office Word</Application>
  <DocSecurity>0</DocSecurity>
  <Lines>373</Lines>
  <Paragraphs>105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Melissa Tomkins (JIC)</dc:creator>
  <cp:keywords/>
  <dc:description/>
  <cp:lastModifiedBy>Melissa Tomkins (JIC)</cp:lastModifiedBy>
  <cp:revision>41</cp:revision>
  <dcterms:created xsi:type="dcterms:W3CDTF">2025-05-07T17:43:00Z</dcterms:created>
  <dcterms:modified xsi:type="dcterms:W3CDTF">2025-07-24T08:40:00Z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zotero-version="6.0.37"&gt;&lt;session id="WeygRjnL"/&gt;&lt;style id="http://www.zotero.org/styles/apa" locale="en-GB" hasBibliography="1" bibliographyStyleHasBeenSet="1"/&gt;&lt;prefs&gt;&lt;pref name="fieldType" value="Field"/&gt;&lt;pref name="automaticJourn</vt:lpwstr>
  </property>
  <property fmtid="{D5CDD505-2E9C-101B-9397-08002B2CF9AE}" pid="3" name="ZOTERO_PREF_2">
    <vt:lpwstr>alAbbreviations" value="true"/&gt;&lt;/prefs&gt;&lt;/data&gt;</vt:lpwstr>
  </property>
</Properties>
</file>