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120"/>
        <w:jc w:val="center"/>
      </w:pPr>
      <w:r>
        <w:rPr>
          <w:b/>
          <w:color w:val="1E293B"/>
          <w:sz w:val="40"/>
        </w:rPr>
        <w:t>ESPECIFICAÇÃO DA API REST &amp; DOCUMENTAÇÃO SWAGGER</w:t>
      </w:r>
    </w:p>
    <w:p>
      <w:pPr>
        <w:jc w:val="center"/>
      </w:pPr>
      <w:r>
        <w:rPr>
          <w:i/>
          <w:color w:val="475569"/>
          <w:sz w:val="24"/>
        </w:rPr>
        <w:t>Health Analytics Dashboard (BI Hospitalar)</w:t>
        <w:br/>
        <w:t>Versão da API: 1.0.0 | Padrão OpenAPI 3.0</w:t>
      </w:r>
    </w:p>
    <w:p/>
    <w:p>
      <w:pPr>
        <w:pStyle w:val="Heading1"/>
        <w:spacing w:before="360" w:after="120"/>
      </w:pPr>
      <w:r>
        <w:rPr>
          <w:b/>
          <w:color w:val="1E293B"/>
          <w:sz w:val="30"/>
        </w:rPr>
        <w:t>1. Introdução e Visão Geral</w:t>
      </w:r>
    </w:p>
    <w:p>
      <w:r>
        <w:t>A API REST do Health Analytics Dashboard foi construída utilizando Django e Django REST Framework para atuar como o barramento analítico da instituição. Ela expõe endpoints estruturados para carga de dados em lote, consulta operacional e alimentação de BI Tools externas (como Power BI ou Tableau).</w:t>
      </w:r>
    </w:p>
    <w:p>
      <w:r>
        <w:t>A documentação interativa da API está baseada no padrão de especificação técnica **OpenAPI 3.0** por meio da biblioteca `drf-spectacular`. As interfaces interativas expostas na aplicação permitem testar as chamadas diretamente no navegador.</w:t>
      </w:r>
    </w:p>
    <w:p>
      <w:pPr>
        <w:pStyle w:val="Heading1"/>
        <w:spacing w:before="360" w:after="120"/>
      </w:pPr>
      <w:r>
        <w:rPr>
          <w:b/>
          <w:color w:val="1E293B"/>
          <w:sz w:val="30"/>
        </w:rPr>
        <w:t>2. Endpoints da Documentação Swagger e Redoc</w:t>
      </w:r>
    </w:p>
    <w:p>
      <w:r>
        <w:t>Quando o servidor local estiver rodando (porta 8000), os seguintes caminhos estarão disponíveis para acesso direto via navegador:</w:t>
      </w:r>
    </w:p>
    <w:p>
      <w:pPr>
        <w:pStyle w:val="ListBullet"/>
      </w:pPr>
      <w:r>
        <w:rPr>
          <w:b/>
        </w:rPr>
        <w:t xml:space="preserve">Esquema OpenAPI (JSON/YAML): </w:t>
      </w:r>
      <w:r>
        <w:t>http://localhost:8000/api/schema/</w:t>
      </w:r>
    </w:p>
    <w:p>
      <w:pPr>
        <w:pStyle w:val="ListBullet"/>
      </w:pPr>
      <w:r>
        <w:rPr>
          <w:b/>
        </w:rPr>
        <w:t xml:space="preserve">Swagger UI (Visualizador Interativo): </w:t>
      </w:r>
      <w:r>
        <w:t>http://localhost:8000/api/schema/swagger-ui/</w:t>
      </w:r>
    </w:p>
    <w:p>
      <w:pPr>
        <w:pStyle w:val="ListBullet"/>
      </w:pPr>
      <w:r>
        <w:rPr>
          <w:b/>
        </w:rPr>
        <w:t xml:space="preserve">ReDoc UI (Documentação Técnica Avançada): </w:t>
      </w:r>
      <w:r>
        <w:t>http://localhost:8000/api/schema/redoc/</w:t>
      </w:r>
    </w:p>
    <w:p>
      <w:pPr>
        <w:pStyle w:val="Heading1"/>
        <w:spacing w:before="360" w:after="120"/>
      </w:pPr>
      <w:r>
        <w:rPr>
          <w:b/>
          <w:color w:val="1E293B"/>
          <w:sz w:val="30"/>
        </w:rPr>
        <w:t>3. Segurança e Autenticação por Token</w:t>
      </w:r>
    </w:p>
    <w:p>
      <w:r>
        <w:t>A segurança da API é gerida pelo mecanismo de autenticação por tokens (`TokenAuthentication` do DRF). Qualquer chamada para sincronização de dados ou inserção deve conter a chave de autorização inserida no cabeçalho HTTP da requisição.</w:t>
      </w:r>
    </w:p>
    <w:p>
      <w:r>
        <w:t>Formato do cabeçalho de autorização:</w:t>
      </w:r>
    </w:p>
    <w:p>
      <w:pPr>
        <w:ind w:left="720"/>
      </w:pPr>
      <w:r>
        <w:rPr>
          <w:rFonts w:ascii="Consolas" w:hAnsi="Consolas"/>
          <w:color w:val="0F766E"/>
          <w:sz w:val="19"/>
        </w:rPr>
        <w:t>Authorization: Token 618a1ecc975393339a8f8c1a35c779cc142e7654</w:t>
      </w:r>
    </w:p>
    <w:p>
      <w:pPr>
        <w:pStyle w:val="Heading1"/>
        <w:spacing w:before="360" w:after="120"/>
      </w:pPr>
      <w:r>
        <w:rPr>
          <w:b/>
          <w:color w:val="1E293B"/>
          <w:sz w:val="30"/>
        </w:rPr>
        <w:t>4. Endpoints Globais de Ingestão e Status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E5E7EB"/>
          <w:left w:val="none"/>
          <w:right w:val="none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Método</w:t>
            </w:r>
          </w:p>
        </w:tc>
        <w:tc>
          <w:tcPr>
            <w:tcW w:type="dxa" w:w="3168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2160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Content-Type</w:t>
            </w:r>
          </w:p>
        </w:tc>
        <w:tc>
          <w:tcPr>
            <w:tcW w:type="dxa" w:w="4032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Descrição</w:t>
            </w:r>
          </w:p>
        </w:tc>
      </w:tr>
      <w:tr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POST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/api/integracoes/sync/&lt;table_id&gt;/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application/json ou text/csv</w:t>
            </w:r>
          </w:p>
        </w:tc>
        <w:tc>
          <w:tcPr>
            <w:tcW w:type="dxa" w:w="403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Sincroniza registros em lote (Upsert) de qualquer tabela do Star Schema. Requer delimitador ';' para arquivos CSV.</w:t>
            </w:r>
          </w:p>
        </w:tc>
      </w:tr>
      <w:tr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8"/>
              </w:rPr>
              <w:t>GET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8"/>
              </w:rPr>
              <w:t>/api/integracoes/status/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8"/>
              </w:rPr>
              <w:t>application/json</w:t>
            </w:r>
          </w:p>
        </w:tc>
        <w:tc>
          <w:tcPr>
            <w:tcW w:type="dxa" w:w="4032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8"/>
              </w:rPr>
              <w:t>Retorna a listagem histórica e o timestamp das últimas cargas de cada tabela fato ou dimensão.</w:t>
            </w:r>
          </w:p>
        </w:tc>
      </w:tr>
    </w:tbl>
    <w:p/>
    <w:p>
      <w:pPr>
        <w:pStyle w:val="Heading1"/>
        <w:spacing w:before="360" w:after="120"/>
      </w:pPr>
      <w:r>
        <w:rPr>
          <w:b/>
          <w:color w:val="1E293B"/>
          <w:sz w:val="30"/>
        </w:rPr>
        <w:t>5. Endpoints de Entidades do Star Schema</w:t>
      </w:r>
    </w:p>
    <w:p>
      <w:r>
        <w:t>A API disponibiliza endpoints CRUD completos (Create, Read, Update, Delete) para todas as 18 tabelas do Star Schema. A tabela abaixo resume os caminhos base para chamadas operacionais: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E5E7EB"/>
          <w:left w:val="none"/>
          <w:right w:val="none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312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Recurso Analítico</w:t>
            </w:r>
          </w:p>
        </w:tc>
        <w:tc>
          <w:tcPr>
            <w:tcW w:type="dxa" w:w="3168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Caminho Base (GET, POST)</w:t>
            </w:r>
          </w:p>
        </w:tc>
        <w:tc>
          <w:tcPr>
            <w:tcW w:type="dxa" w:w="3600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Parâmetro ID (GET, PUT, DELETE)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Dimissão: Tempo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/api/tempo/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/api/tempo/&lt;id_tempo&gt;/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8"/>
              </w:rPr>
              <w:t>Dimissão: Unidades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8"/>
              </w:rPr>
              <w:t>/api/unidades/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8"/>
              </w:rPr>
              <w:t>/api/unidades/&lt;id_unidade&gt;/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Dimissão: Pacientes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/api/pacientes/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/api/pacientes/&lt;id_paciente&gt;/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8"/>
              </w:rPr>
              <w:t>Dimissão: Medicamentos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8"/>
              </w:rPr>
              <w:t>/api/medicamentos/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8"/>
              </w:rPr>
              <w:t>/api/medicamentos/&lt;id_medicamento&gt;/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Dimissão: Tipos Procedimento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/api/tipos-procedimento/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/api/tipos-procedimento/&lt;id_tipo_procedimento&gt;/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8"/>
              </w:rPr>
              <w:t>Dimissão: Equipamentos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8"/>
              </w:rPr>
              <w:t>/api/equipamentos/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8"/>
              </w:rPr>
              <w:t>/api/equipamentos/&lt;id_equipamento&gt;/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Dimissão: Protocolos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/api/protocolos/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/api/protocolos/&lt;id_protocolo&gt;/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8"/>
              </w:rPr>
              <w:t>Dimissão: Médicos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8"/>
              </w:rPr>
              <w:t>/api/medicos/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8"/>
              </w:rPr>
              <w:t>/api/medicos/&lt;id_medico&gt;/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Dimissão: Convênios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/api/convenios/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/api/convenios/&lt;id_convenio&gt;/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8"/>
              </w:rPr>
              <w:t>Fato: Atendimentos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8"/>
              </w:rPr>
              <w:t>/api/atendimentos/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8"/>
              </w:rPr>
              <w:t>/api/atendimentos/&lt;id_atendimento&gt;/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Fato: Estoque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/api/estoque/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/api/estoque/&lt;id_movimentacao&gt;/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8"/>
              </w:rPr>
              <w:t>Fato: Erros Medicação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8"/>
              </w:rPr>
              <w:t>/api/erros-medicao/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8"/>
              </w:rPr>
              <w:t>/api/erros-medicao/&lt;id_evento&gt;/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Fato: Procedimentos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/api/procedimentos/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/api/procedimentos/&lt;id_procedimento_instancia&gt;/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8"/>
              </w:rPr>
              <w:t>Fato: Infraestrutura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8"/>
              </w:rPr>
              <w:t>/api/infraestrutura/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8"/>
              </w:rPr>
              <w:t>/api/infraestrutura/&lt;id_registro&gt;/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Fato: Higienização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/api/higienizacao/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/api/higienizacao/&lt;id_higienizacao&gt;/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8"/>
              </w:rPr>
              <w:t>Fato: Desempenho Clínico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8"/>
              </w:rPr>
              <w:t>/api/desempenho-clinico/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8"/>
              </w:rPr>
              <w:t>/api/desempenho-clinico/&lt;id_registro&gt;/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Fato: Escala Médica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/api/escala-medica/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/api/escala-medica/&lt;id_escala&gt;/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8"/>
              </w:rPr>
              <w:t>Fato: Financeiro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8"/>
              </w:rPr>
              <w:t>/api/financeiro/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8"/>
              </w:rPr>
              <w:t>/api/financeiro/&lt;id_transacao&gt;/</w:t>
            </w:r>
          </w:p>
        </w:tc>
      </w:tr>
    </w:tbl>
    <w:p/>
    <w:p>
      <w:pPr>
        <w:pStyle w:val="Heading1"/>
        <w:spacing w:before="360" w:after="120"/>
      </w:pPr>
      <w:r>
        <w:rPr>
          <w:b/>
          <w:color w:val="1E293B"/>
          <w:sz w:val="30"/>
        </w:rPr>
        <w:t>6. Respostas HTTP e Formatos de Erro</w:t>
      </w:r>
    </w:p>
    <w:p>
      <w:r>
        <w:t>A API responde com códigos HTTP padrão de acordo com o resultado da transação:</w:t>
      </w:r>
    </w:p>
    <w:p>
      <w:pPr>
        <w:pStyle w:val="ListBullet"/>
      </w:pPr>
      <w:r>
        <w:rPr>
          <w:b/>
        </w:rPr>
        <w:t xml:space="preserve">200 OK: </w:t>
      </w:r>
      <w:r>
        <w:t>Requisição concluída com sucesso (retorno de dados ou confirmação de sincronismo).</w:t>
      </w:r>
    </w:p>
    <w:p>
      <w:pPr>
        <w:pStyle w:val="ListBullet"/>
      </w:pPr>
      <w:r>
        <w:rPr>
          <w:b/>
        </w:rPr>
        <w:t xml:space="preserve">201 Created: </w:t>
      </w:r>
      <w:r>
        <w:t>Novo registro criado com sucesso por meio de inserção via POST.</w:t>
      </w:r>
    </w:p>
    <w:p>
      <w:pPr>
        <w:pStyle w:val="ListBullet"/>
      </w:pPr>
      <w:r>
        <w:rPr>
          <w:b/>
        </w:rPr>
        <w:t xml:space="preserve">400 Bad Request: </w:t>
      </w:r>
      <w:r>
        <w:t>Corpo de requisição inválido, falha de validação lógica (ex: horas_atraso preenchidas para médico presente) ou erro de parsing de arquivo CSV.</w:t>
      </w:r>
    </w:p>
    <w:p>
      <w:pPr>
        <w:pStyle w:val="ListBullet"/>
      </w:pPr>
      <w:r>
        <w:rPr>
          <w:b/>
        </w:rPr>
        <w:t xml:space="preserve">401 Unauthorized: </w:t>
      </w:r>
      <w:r>
        <w:t>Cabeçalho de autorização ausente ou token inválido.</w:t>
      </w:r>
    </w:p>
    <w:p>
      <w:pPr>
        <w:pStyle w:val="ListBullet"/>
      </w:pPr>
      <w:r>
        <w:rPr>
          <w:b/>
        </w:rPr>
        <w:t xml:space="preserve">404 Not Found: </w:t>
      </w:r>
      <w:r>
        <w:t>Recurso ou tabela de destino não localizada.</w:t>
      </w:r>
    </w:p>
    <w:p/>
    <w:p>
      <w:r>
        <w:t>Exemplo de resposta para erro de validação (400 Bad Request):</w:t>
      </w:r>
    </w:p>
    <w:p>
      <w:pPr>
        <w:ind w:left="720"/>
      </w:pPr>
      <w:r>
        <w:rPr>
          <w:rFonts w:ascii="Consolas" w:hAnsi="Consolas"/>
        </w:rPr>
        <w:t>{</w:t>
        <w:br/>
        <w:t xml:space="preserve">  "erro": "Falha ao processar CSV: campo id_tempo obrigatório ausente"</w:t>
        <w:br/>
        <w:t>}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F17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