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o6b2crgri4s4" w:id="0"/>
      <w:bookmarkEnd w:id="0"/>
      <w:r w:rsidDel="00000000" w:rsidR="00000000" w:rsidRPr="00000000">
        <w:rPr>
          <w:color w:val="000000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720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4346290</wp:posOffset>
            </wp:positionH>
            <wp:positionV relativeFrom="page">
              <wp:posOffset>645262</wp:posOffset>
            </wp:positionV>
            <wp:extent cx="712215" cy="71221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ROOTING FUTURE  </w:t>
      </w: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ANALISI SWOT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L’analisi SWOT è uno strumento di pianificazione utilizzato per analizzare i punti di forza (Strenghts) e di debolezza (Weaknesses) dell’azienda; all’indagine di questi due elementi interni si accompagna la valutazione dell’ambiente esterno attraverso l’analisi delle opportunità (Opportunities) e delle minacce (Threats) che emergono dal mercato di riferimento. 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L’obiettivo principale dell’analisi SWOT è quello di rendere consapevole ogni componente di un’azienda dei fattori di successo o di rischio che compongono la propria strategia. L’analisi SWOT è basata sugli elementi interni ed esterni che permettono di analizzare tanto la propria realtà, quanto il contesto e i cambiamenti che caratterizzano il mercato e il contesto in cui si opera. 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Ovviamente anche nel contesto sportivo è fondamentale.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tabella qui di seguito dovrà redigerla il Board del Riccione Calcio e ogni collaboratore del club in modo da carpire punti di convergenza e differenze fra le differenti visioni.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ESEMPIO ANALISI SWOT DI UN CLUB CALCISTICO: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Punti di Forza (Strengths):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Forte marchio nel mondo del calcio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 squadra di giocatori di alto livello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Presenza di un nuovo stadio moderno e all’avanguardia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36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Ampia base di tifosi fedeli e appassionati in Italia e all’estero</w:t>
      </w:r>
    </w:p>
    <w:p w:rsidR="00000000" w:rsidDel="00000000" w:rsidP="00000000" w:rsidRDefault="00000000" w:rsidRPr="00000000" w14:paraId="00000011">
      <w:pPr>
        <w:shd w:fill="ffffff" w:val="clear"/>
        <w:spacing w:after="280" w:before="280" w:lin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Punti di Debolezza (Weaknesses):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Dipendenza economica dalle performance sportive della squadra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36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Difficoltà nel mantenere un equilibrio finanziario sano</w:t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Opportunità (Opportunities):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Aumento della visibilità e del valore del marchio grazie a successi sportivi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36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Possibilità di ampliare la base di tifosi e aumentare i ricavi grazie all’espansione del merchandising e dei diritti televisivi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Minacce (Threats):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Concorrenza sempre più agguerrita da parte di altre squadre italiane ed europee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Impatto negativo da improvvise emergenze sanitarie o di altro genere come successo 5 anni fa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36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Possibili sanzioni da parte delle istituzioni sportive a causa di violazioni delle regole</w:t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6019"/>
        <w:tblGridChange w:id="0">
          <w:tblGrid>
            <w:gridCol w:w="3010"/>
            <w:gridCol w:w="6019"/>
          </w:tblGrid>
        </w:tblGridChange>
      </w:tblGrid>
      <w:tr>
        <w:trPr>
          <w:cantSplit w:val="0"/>
          <w:trHeight w:val="188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8"/>
                <w:szCs w:val="28"/>
                <w:rtl w:val="0"/>
              </w:rPr>
              <w:t xml:space="preserve">ANALISI INTERNA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PUNTI DI FORZA: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Squadra cittadina dal 1926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Stadio comunale e strutture esterne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Collaborazione sassuolo calcio e relative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attività (partite, trasferte, allenamenti congiunti)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Staff tecnico qualificato e formato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Governance e Management serio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Numero elevato di tornei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Certificazioni e accreditamenti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Progetto Etico Sociale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Affiliazione alla polisportiva con + di 6000 tesserati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Beach Soccer (esclusività sul territorio e progetto con Federazione)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PUNTI DI DEBOLEZZA: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Staff ridotto rispetto il fabbisogno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Comunicazione con i genitori migliorabile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Strategia sponsorizzazioni migliorabile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8"/>
                <w:szCs w:val="28"/>
                <w:rtl w:val="0"/>
              </w:rPr>
              <w:t xml:space="preserve">ANALISI ESTERNA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OPPORTUNITÀ: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Aumento della visibilità e del valore del marchio grazie al progetto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Organizzazione di eventi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Coinvolgimento con il territorio per coinvolgere aziende locali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Target femminile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Diversificazione delle entrate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Collaborazioni strategiche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Engagement digitale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Visibilità data dal beach soccer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MINACCE: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Impatto negativo da improvvise emergenze sanitarie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Cambiamenti climatici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Evoluzione delle normative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Possibili difficolta economici delle famiglie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Vicinanza a San Marino (giocatori tendono a trasferirsi per importi economici elevati)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Squadre professionistiche che richiedono i ragazzi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e" w:default="1">
    <w:name w:val="Normal"/>
    <w:qFormat w:val="1"/>
  </w:style>
  <w:style w:type="paragraph" w:styleId="Titolo1">
    <w:name w:val="heading 1"/>
    <w:basedOn w:val="Normale"/>
    <w:next w:val="Normale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olo">
    <w:name w:val="Title"/>
    <w:basedOn w:val="Normale"/>
    <w:next w:val="Normale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foelenco">
    <w:name w:val="List Paragraph"/>
    <w:basedOn w:val="Normale"/>
    <w:uiPriority w:val="34"/>
    <w:qFormat w:val="1"/>
    <w:rsid w:val="008D089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K5F1AWVP0CjlPVM8b7X3JSa9A==">CgMxLjAyDmgubzZiMmNyZ3JpNHM0OAByITFFUk1oN2xPZHAxNEhvU1RZM0dZVDlsQnlZcTF0alA4OA==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2025-04-01T07:56:00Z</dcterms:created>
  <dc:creator>Francesco Nobili</dc:creator>
</cp:coreProperties>
</file>