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0"/>
        <w:ind w:firstLine="2160" w:left="2160" w:right="0"/>
        <w:jc w:val="left"/>
        <w:rPr/>
      </w:pPr>
      <w:r>
        <w:rPr>
          <w:rFonts w:eastAsia="Helvetica" w:cs="Helvetica" w:ascii="Helvetica" w:hAnsi="Helvetica"/>
          <w:color w:val="000000"/>
          <w:sz w:val="28"/>
          <w:szCs w:val="28"/>
        </w:rPr>
        <w:drawing>
          <wp:inline distT="0" distB="0" distL="0" distR="0">
            <wp:extent cx="711835" cy="711835"/>
            <wp:effectExtent l="0" t="0" r="0" b="0"/>
            <wp:docPr id="1" name="Object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" cy="71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Helvetica" w:cs="Helvetica" w:ascii="Helvetica" w:hAnsi="Helvetica"/>
          <w:color w:val="000000"/>
          <w:sz w:val="28"/>
          <w:szCs w:val="28"/>
        </w:rPr>
        <w:t xml:space="preserve">ROOTING FUTURE   </w:t>
      </w:r>
      <w:r>
        <w:rPr>
          <w:rFonts w:eastAsia="Helvetica-Bold" w:cs="Helvetica-Bold" w:ascii="Helvetica-Bold" w:hAnsi="Helvetica-Bold"/>
          <w:b/>
          <w:bCs/>
          <w:color w:val="000000"/>
          <w:sz w:val="40"/>
          <w:szCs w:val="40"/>
        </w:rPr>
        <w:t>X</w:t>
      </w:r>
    </w:p>
    <w:p>
      <w:pPr>
        <w:pStyle w:val="Normal"/>
        <w:widowControl w:val="false"/>
        <w:bidi w:val="0"/>
        <w:spacing w:lineRule="auto" w:line="276" w:before="0" w:after="200"/>
        <w:ind w:hanging="0" w:left="0" w:right="0"/>
        <w:jc w:val="left"/>
        <w:rPr/>
      </w:pPr>
      <w:r>
        <w:rPr/>
      </w:r>
    </w:p>
    <w:p>
      <w:pPr>
        <w:pStyle w:val="Normal"/>
        <w:widowControl w:val="false"/>
        <w:bidi w:val="0"/>
        <w:spacing w:lineRule="auto" w:line="276" w:before="0" w:after="200"/>
        <w:ind w:hanging="0" w:left="0" w:right="0"/>
        <w:jc w:val="center"/>
        <w:rPr>
          <w:rFonts w:ascii="Helvetica-Bold" w:hAnsi="Helvetica-Bold" w:eastAsia="Helvetica-Bold" w:cs="Helvetica-Bold"/>
          <w:b/>
          <w:bCs/>
          <w:color w:val="000000"/>
          <w:sz w:val="28"/>
          <w:szCs w:val="28"/>
        </w:rPr>
      </w:pPr>
      <w:r>
        <w:rPr>
          <w:rFonts w:eastAsia="Helvetica-Bold" w:cs="Helvetica-Bold" w:ascii="Helvetica-Bold" w:hAnsi="Helvetica-Bold"/>
          <w:b/>
          <w:bCs/>
          <w:color w:val="000000"/>
          <w:sz w:val="28"/>
          <w:szCs w:val="28"/>
        </w:rPr>
        <w:t>ANALISI RISORSE</w:t>
      </w:r>
    </w:p>
    <w:p>
      <w:pPr>
        <w:pStyle w:val="Normal"/>
        <w:widowControl w:val="false"/>
        <w:bidi w:val="0"/>
        <w:spacing w:lineRule="auto" w:line="276" w:before="0" w:after="200"/>
        <w:ind w:hanging="0" w:left="0" w:right="0"/>
        <w:jc w:val="both"/>
        <w:rPr/>
      </w:pP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Tale analisi </w:t>
      </w: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è </w:t>
      </w: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dedicata esclusivamente al Board. Si fa riferimento al censimento delle risorse di cui si </w:t>
      </w: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è </w:t>
      </w:r>
      <w:r>
        <w:rPr>
          <w:rFonts w:eastAsia="Helvetica" w:cs="Helvetica" w:ascii="Helvetica" w:hAnsi="Helvetica"/>
          <w:color w:val="000000"/>
          <w:sz w:val="22"/>
          <w:szCs w:val="22"/>
        </w:rPr>
        <w:t>attualmente provvisti. Dalle risorse umane, dove chiaramente parliamo di persone e dunque non si fa riferimento al possesso ma ad una panoramica sulla gestione delle risorse umane (presenza di dipendenti? quanti collaboratori abbiamo? in quali aree?), fino a riferimenti pi</w:t>
      </w: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ù </w:t>
      </w:r>
      <w:r>
        <w:rPr>
          <w:rFonts w:eastAsia="Helvetica" w:cs="Helvetica" w:ascii="Helvetica" w:hAnsi="Helvetica"/>
          <w:color w:val="000000"/>
          <w:sz w:val="22"/>
          <w:szCs w:val="22"/>
        </w:rPr>
        <w:t>tangibili come risorse di propriet</w:t>
      </w: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000000"/>
          <w:sz w:val="22"/>
          <w:szCs w:val="22"/>
        </w:rPr>
        <w:t>materiali e immateriali (strumenti, immobili, ecc).</w:t>
      </w:r>
    </w:p>
    <w:p>
      <w:pPr>
        <w:pStyle w:val="Normal"/>
        <w:widowControl w:val="false"/>
        <w:bidi w:val="0"/>
        <w:spacing w:lineRule="auto" w:line="276" w:before="0" w:after="200"/>
        <w:ind w:hanging="0" w:left="0" w:right="0"/>
        <w:jc w:val="both"/>
        <w:rPr/>
      </w:pPr>
      <w:r>
        <w:rPr>
          <w:rFonts w:eastAsia="Helvetica" w:cs="Helvetica" w:ascii="Helvetica" w:hAnsi="Helvetica"/>
          <w:color w:val="000000"/>
          <w:sz w:val="22"/>
          <w:szCs w:val="22"/>
        </w:rPr>
        <w:t>L</w:t>
      </w:r>
      <w:r>
        <w:rPr>
          <w:rFonts w:eastAsia="Helvetica" w:cs="Helvetica" w:ascii="Helvetica" w:hAnsi="Helvetica"/>
          <w:color w:val="000000"/>
          <w:sz w:val="22"/>
          <w:szCs w:val="22"/>
        </w:rPr>
        <w:t>’</w:t>
      </w: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obiettivo </w:t>
      </w: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è </w:t>
      </w:r>
      <w:r>
        <w:rPr>
          <w:rFonts w:eastAsia="Helvetica" w:cs="Helvetica" w:ascii="Helvetica" w:hAnsi="Helvetica"/>
          <w:color w:val="000000"/>
          <w:sz w:val="22"/>
          <w:szCs w:val="22"/>
        </w:rPr>
        <w:t>capire la situazione attuale e valutare anche in termini strategici dove si vuole intervenire prioritariamente nel prossimo futuro</w:t>
      </w:r>
      <w:r>
        <w:rPr>
          <w:rFonts w:eastAsia="Helvetica" w:cs="Helvetica" w:ascii="Helvetica" w:hAnsi="Helvetica"/>
          <w:color w:val="000000"/>
          <w:sz w:val="24"/>
          <w:szCs w:val="24"/>
        </w:rPr>
        <w:t>.</w:t>
      </w:r>
    </w:p>
    <w:p>
      <w:pPr>
        <w:pStyle w:val="Normal"/>
        <w:widowControl w:val="false"/>
        <w:bidi w:val="0"/>
        <w:spacing w:lineRule="auto" w:line="276" w:before="0" w:after="200"/>
        <w:ind w:hanging="0" w:left="0" w:right="0"/>
        <w:jc w:val="both"/>
        <w:rPr/>
      </w:pPr>
      <w:r>
        <w:rPr>
          <w:rFonts w:eastAsia="ArialMT" w:cs="ArialMT" w:ascii="ArialMT" w:hAnsi="ArialMT"/>
          <w:color w:val="000000"/>
          <w:sz w:val="22"/>
          <w:szCs w:val="22"/>
        </w:rPr>
        <w:pict>
          <v:shape id="shape_0" ID="Shape1" coordsize="16512,55" path="m0,0l16511,0l16511,54l0,54l0,0e" fillcolor="#a0a0a0" stroked="f" o:allowincell="f" style="position:absolute;margin-left:0pt;margin-top:-1.6pt;width:468pt;height:1.5pt;mso-wrap-style:none;v-text-anchor:middle;mso-position-vertical:top">
            <v:fill o:detectmouseclick="t" type="solid" color2="#5f5f5f"/>
            <v:stroke color="#3465a4" joinstyle="round" endcap="flat"/>
            <v:shadow on="t" obscured="f" color="black"/>
            <w10:wrap type="square"/>
          </v:shape>
        </w:pict>
      </w:r>
    </w:p>
    <w:tbl>
      <w:tblPr>
        <w:tblW w:w="9540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35"/>
        <w:gridCol w:w="2235"/>
        <w:gridCol w:w="2325"/>
        <w:gridCol w:w="2745"/>
      </w:tblGrid>
      <w:tr>
        <w:trPr>
          <w:trHeight w:val="360" w:hRule="exact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-Bold" w:hAnsi="Helvetica-Bold" w:eastAsia="Helvetica-Bold" w:cs="Helvetica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z w:val="20"/>
                <w:szCs w:val="20"/>
              </w:rPr>
              <w:t xml:space="preserve">CATEGORIE 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-Bold" w:hAnsi="Helvetica-Bold" w:eastAsia="Helvetica-Bold" w:cs="Helvetica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z w:val="20"/>
                <w:szCs w:val="20"/>
              </w:rPr>
              <w:t>RISORSE ATTUALI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-Bold" w:hAnsi="Helvetica-Bold" w:eastAsia="Helvetica-Bold" w:cs="Helvetica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z w:val="20"/>
                <w:szCs w:val="20"/>
              </w:rPr>
              <w:t xml:space="preserve">LISTA 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-Bold" w:hAnsi="Helvetica-Bold" w:eastAsia="Helvetica-Bold" w:cs="Helvetica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z w:val="20"/>
                <w:szCs w:val="20"/>
              </w:rPr>
              <w:t>RISORSE ATTUALI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-Bold" w:hAnsi="Helvetica-Bold" w:eastAsia="Helvetica-Bold" w:cs="Helvetica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z w:val="20"/>
                <w:szCs w:val="20"/>
              </w:rPr>
              <w:t>COSA MANCA ATTUALMENTE QUANDO SI FA RIFERIMENTO A QUESTA SPECIFICA CATEGORIA DI RISORSE?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-Bold" w:hAnsi="Helvetica-Bold" w:eastAsia="Helvetica-Bold" w:cs="Helvetica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z w:val="20"/>
                <w:szCs w:val="20"/>
              </w:rPr>
              <w:t>COSA E DOVE SAREBBE NECESSARIO INTERVENIRE NEI PROSSIMI 5 ANNI IN QUESTO SPECIFICO AMBITO?</w:t>
            </w:r>
          </w:p>
        </w:tc>
      </w:tr>
      <w:tr>
        <w:trPr>
          <w:trHeight w:val="1212" w:hRule="exact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-Bold" w:hAnsi="Helvetica-Bold" w:eastAsia="Helvetica-Bold" w:cs="Helvetica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z w:val="20"/>
                <w:szCs w:val="20"/>
              </w:rPr>
              <w:t>UMANE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mbria" w:hAnsi="Cambria" w:eastAsia="Cambria" w:cs="Cambria"/>
                <w:color w:val="000000"/>
                <w:sz w:val="36"/>
                <w:szCs w:val="36"/>
              </w:rPr>
            </w:pPr>
            <w:r>
              <w:rPr>
                <w:rFonts w:eastAsia="Cambria" w:cs="Cambria" w:ascii="Cambria" w:hAnsi="Cambria"/>
                <w:color w:val="000000"/>
                <w:sz w:val="36"/>
                <w:szCs w:val="36"/>
              </w:rPr>
              <w:t>Custode, referente amministrativo, barista, team manager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mbria" w:hAnsi="Cambria" w:eastAsia="Cambria" w:cs="Cambria"/>
                <w:color w:val="000000"/>
                <w:sz w:val="36"/>
                <w:szCs w:val="36"/>
              </w:rPr>
            </w:pPr>
            <w:r>
              <w:rPr>
                <w:rFonts w:eastAsia="Cambria" w:cs="Cambria" w:ascii="Cambria" w:hAnsi="Cambria"/>
                <w:color w:val="000000"/>
                <w:sz w:val="36"/>
                <w:szCs w:val="36"/>
              </w:rPr>
              <w:t>Nulla ma siamo destinati a crescere e quindi si dovrà valutare.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mbria" w:hAnsi="Cambria" w:eastAsia="Cambria" w:cs="Cambria"/>
                <w:color w:val="000000"/>
                <w:sz w:val="36"/>
                <w:szCs w:val="36"/>
              </w:rPr>
            </w:pPr>
            <w:r>
              <w:rPr>
                <w:rFonts w:eastAsia="Cambria" w:cs="Cambria" w:ascii="Cambria" w:hAnsi="Cambria"/>
                <w:color w:val="000000"/>
                <w:sz w:val="36"/>
                <w:szCs w:val="36"/>
              </w:rPr>
              <w:t>Serve un segretario sportivo fisso, un direttore sportivo, avere 4-5 volontari in più, staff per gestione food-beverage nei tornei</w:t>
            </w:r>
          </w:p>
        </w:tc>
      </w:tr>
      <w:tr>
        <w:trPr>
          <w:trHeight w:val="1227" w:hRule="exact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-Bold" w:hAnsi="Helvetica-Bold" w:eastAsia="Helvetica-Bold" w:cs="Helvetica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z w:val="20"/>
                <w:szCs w:val="20"/>
              </w:rPr>
              <w:t>STRUTTURALI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mbria" w:hAnsi="Cambria" w:eastAsia="Cambria" w:cs="Cambria"/>
                <w:color w:val="000000"/>
                <w:sz w:val="36"/>
                <w:szCs w:val="36"/>
              </w:rPr>
            </w:pPr>
            <w:r>
              <w:rPr>
                <w:rFonts w:eastAsia="Cambria" w:cs="Cambria" w:ascii="Cambria" w:hAnsi="Cambria"/>
                <w:color w:val="000000"/>
                <w:sz w:val="36"/>
                <w:szCs w:val="36"/>
              </w:rPr>
              <w:t>Campo stadio centrale, antistadio erba, antistadio sintetico, Camp Spontriccioli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mbria" w:hAnsi="Cambria" w:eastAsia="Cambria" w:cs="Cambria"/>
                <w:color w:val="000000"/>
                <w:sz w:val="36"/>
                <w:szCs w:val="36"/>
              </w:rPr>
            </w:pPr>
            <w:r>
              <w:rPr>
                <w:rFonts w:eastAsia="Cambria" w:cs="Cambria" w:ascii="Cambria" w:hAnsi="Cambria"/>
                <w:color w:val="000000"/>
                <w:sz w:val="36"/>
                <w:szCs w:val="36"/>
              </w:rPr>
              <w:t>Antistadio sintetico nuovo, antistadio in erba migliore come manto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mbria" w:hAnsi="Cambria" w:eastAsia="Cambria" w:cs="Cambria"/>
                <w:color w:val="000000"/>
                <w:sz w:val="36"/>
                <w:szCs w:val="36"/>
              </w:rPr>
            </w:pPr>
            <w:r>
              <w:rPr>
                <w:rFonts w:eastAsia="Cambria" w:cs="Cambria" w:ascii="Cambria" w:hAnsi="Cambria"/>
                <w:color w:val="000000"/>
                <w:sz w:val="36"/>
                <w:szCs w:val="36"/>
              </w:rPr>
              <w:t>Allacciare rapporti con altre realtà per avere altri campi per i tornei. Sistemare campo calcetto</w:t>
            </w:r>
          </w:p>
        </w:tc>
      </w:tr>
      <w:tr>
        <w:trPr>
          <w:trHeight w:val="1227" w:hRule="exact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-Bold" w:hAnsi="Helvetica-Bold" w:eastAsia="Helvetica-Bold" w:cs="Helvetica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z w:val="20"/>
                <w:szCs w:val="20"/>
              </w:rPr>
              <w:t>PATRIMONIALI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mbria" w:hAnsi="Cambria" w:eastAsia="Cambria" w:cs="Cambria"/>
                <w:color w:val="000000"/>
                <w:sz w:val="36"/>
                <w:szCs w:val="36"/>
              </w:rPr>
            </w:pPr>
            <w:r>
              <w:rPr>
                <w:rFonts w:eastAsia="Cambria" w:cs="Cambria" w:ascii="Cambria" w:hAnsi="Cambria"/>
                <w:color w:val="000000"/>
                <w:sz w:val="36"/>
                <w:szCs w:val="36"/>
              </w:rPr>
              <w:t>Servono 1-2 pulmini per i trasporti.</w:t>
            </w:r>
          </w:p>
        </w:tc>
      </w:tr>
      <w:tr>
        <w:trPr>
          <w:trHeight w:val="1212" w:hRule="exact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212" w:hRule="exact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0" w:h="16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  <w:font w:name="Helvetica-Bold">
    <w:charset w:val="00"/>
    <w:family w:val="auto"/>
    <w:pitch w:val="default"/>
  </w:font>
  <w:font w:name="ArialMT">
    <w:charset w:val="00"/>
    <w:family w:val="auto"/>
    <w:pitch w:val="default"/>
  </w:font>
  <w:font w:name="Cambria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