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0"/>
        <w:ind w:firstLine="2160" w:left="1440" w:right="0"/>
        <w:jc w:val="center"/>
        <w:rPr/>
      </w:pPr>
      <w:r>
        <w:rPr>
          <w:rFonts w:eastAsia="Helvetica" w:cs="Helvetica" w:ascii="Helvetica" w:hAnsi="Helvetica"/>
          <w:color w:val="000000"/>
          <w:sz w:val="28"/>
          <w:szCs w:val="28"/>
        </w:rPr>
        <w:drawing>
          <wp:inline distT="0" distB="0" distL="0" distR="0">
            <wp:extent cx="711835" cy="71183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711835" cy="711835"/>
                    </a:xfrm>
                    <a:prstGeom prst="rect">
                      <a:avLst/>
                    </a:prstGeom>
                    <a:noFill/>
                  </pic:spPr>
                </pic:pic>
              </a:graphicData>
            </a:graphic>
          </wp:inline>
        </w:drawing>
      </w:r>
      <w:r>
        <w:rPr>
          <w:rFonts w:eastAsia="Helvetica" w:cs="Helvetica" w:ascii="Helvetica" w:hAnsi="Helvetica"/>
          <w:color w:val="000000"/>
          <w:sz w:val="28"/>
          <w:szCs w:val="28"/>
        </w:rPr>
        <w:t xml:space="preserve">ROOTING FUTURE  </w:t>
      </w:r>
      <w:r>
        <w:rPr>
          <w:rFonts w:eastAsia="Helvetica-Bold" w:cs="Helvetica-Bold" w:ascii="Helvetica-Bold" w:hAnsi="Helvetica-Bold"/>
          <w:b/>
          <w:bCs/>
          <w:color w:val="000000"/>
          <w:sz w:val="40"/>
          <w:szCs w:val="40"/>
        </w:rPr>
        <w:t>X</w:t>
      </w:r>
      <w:r>
        <w:rPr>
          <w:rFonts w:eastAsia="Helvetica" w:cs="Helvetica" w:ascii="Helvetica" w:hAnsi="Helvetica"/>
          <w:color w:val="000000"/>
          <w:sz w:val="28"/>
          <w:szCs w:val="28"/>
        </w:rPr>
        <w:t xml:space="preserve">     </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center"/>
        <w:rPr>
          <w:rFonts w:ascii="Helvetica-Bold" w:hAnsi="Helvetica-Bold" w:eastAsia="Helvetica-Bold" w:cs="Helvetica-Bold"/>
          <w:b/>
          <w:bCs/>
          <w:color w:val="000000"/>
          <w:sz w:val="28"/>
          <w:szCs w:val="28"/>
        </w:rPr>
      </w:pPr>
      <w:r>
        <w:rPr>
          <w:rFonts w:eastAsia="Helvetica-Bold" w:cs="Helvetica-Bold" w:ascii="Helvetica-Bold" w:hAnsi="Helvetica-Bold"/>
          <w:b/>
          <w:bCs/>
          <w:color w:val="000000"/>
          <w:sz w:val="28"/>
          <w:szCs w:val="28"/>
        </w:rPr>
        <w:t>ANALISI STAKEHOLDERS RICCIONE CALCIO 1926</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Chi sono gli stakeholders?</w:t>
      </w:r>
    </w:p>
    <w:p>
      <w:pPr>
        <w:pStyle w:val="Normal"/>
        <w:widowControl/>
        <w:shd w:fill="FFFFFF" w:val="clear"/>
        <w:bidi w:val="0"/>
        <w:spacing w:lineRule="auto" w:line="276" w:before="120" w:after="240"/>
        <w:ind w:hanging="0" w:left="0" w:right="0"/>
        <w:jc w:val="both"/>
        <w:rPr/>
      </w:pPr>
      <w:r>
        <w:rPr>
          <w:rFonts w:eastAsia="Helvetica" w:cs="Helvetica" w:ascii="Helvetica" w:hAnsi="Helvetica"/>
          <w:color w:val="000000"/>
          <w:sz w:val="22"/>
          <w:szCs w:val="22"/>
        </w:rPr>
        <w:t xml:space="preserve">Lo </w:t>
      </w:r>
      <w:r>
        <w:rPr>
          <w:rFonts w:eastAsia="Helvetica-Oblique" w:cs="Helvetica-Oblique" w:ascii="Helvetica-Oblique" w:hAnsi="Helvetica-Oblique"/>
          <w:i/>
          <w:iCs/>
          <w:color w:val="000000"/>
          <w:sz w:val="22"/>
          <w:szCs w:val="22"/>
        </w:rPr>
        <w:t>stakeholder</w:t>
      </w:r>
      <w:r>
        <w:rPr>
          <w:rFonts w:eastAsia="Helvetica" w:cs="Helvetica" w:ascii="Helvetica" w:hAnsi="Helvetica"/>
          <w:color w:val="000000"/>
          <w:sz w:val="22"/>
          <w:szCs w:val="22"/>
        </w:rPr>
        <w:t xml:space="preserve"> o portatore di interesse</w:t>
      </w:r>
      <w:r>
        <w:rPr>
          <w:rFonts w:eastAsia="Helvetica" w:cs="Helvetica" w:ascii="Helvetica" w:hAnsi="Helvetica"/>
          <w:color w:val="000000"/>
          <w:sz w:val="22"/>
          <w:szCs w:val="22"/>
          <w:vertAlign w:val="superscript"/>
        </w:rPr>
        <w:t xml:space="preserve"> </w:t>
      </w:r>
      <w:r>
        <w:rPr>
          <w:rFonts w:eastAsia="Helvetica" w:cs="Helvetica" w:ascii="Helvetica" w:hAnsi="Helvetica"/>
          <w:color w:val="000000"/>
          <w:sz w:val="22"/>
          <w:szCs w:val="22"/>
        </w:rPr>
        <w:t>è</w:t>
      </w:r>
      <w:r>
        <w:rPr>
          <w:rFonts w:eastAsia="Helvetica" w:cs="Helvetica" w:ascii="Helvetica" w:hAnsi="Helvetica"/>
          <w:color w:val="000000"/>
          <w:sz w:val="22"/>
          <w:szCs w:val="22"/>
        </w:rPr>
        <w:t xml:space="preserve"> un soggetto o gruppo coinvolto in un'iniziativa economica e con interessi legati all</w:t>
      </w:r>
      <w:r>
        <w:rPr>
          <w:rFonts w:eastAsia="Helvetica" w:cs="Helvetica" w:ascii="Helvetica" w:hAnsi="Helvetica"/>
          <w:color w:val="000000"/>
          <w:sz w:val="22"/>
          <w:szCs w:val="22"/>
        </w:rPr>
        <w:t>’</w:t>
      </w:r>
      <w:r>
        <w:rPr>
          <w:rFonts w:eastAsia="Helvetica" w:cs="Helvetica" w:ascii="Helvetica" w:hAnsi="Helvetica"/>
          <w:color w:val="000000"/>
          <w:sz w:val="22"/>
          <w:szCs w:val="22"/>
        </w:rPr>
        <w:t>esecuzione o all'andamento dell'iniziativa stessa.</w:t>
      </w:r>
    </w:p>
    <w:p>
      <w:pPr>
        <w:pStyle w:val="Normal"/>
        <w:widowControl/>
        <w:shd w:fill="FFFFFF" w:val="clear"/>
        <w:bidi w:val="0"/>
        <w:spacing w:lineRule="auto" w:line="276" w:before="120" w:after="240"/>
        <w:ind w:hanging="0" w:left="0" w:right="0"/>
        <w:jc w:val="both"/>
        <w:rPr/>
      </w:pPr>
      <w:r>
        <w:rPr>
          <w:rFonts w:eastAsia="Helvetica" w:cs="Helvetica" w:ascii="Helvetica" w:hAnsi="Helvetica"/>
          <w:color w:val="000000"/>
          <w:sz w:val="22"/>
          <w:szCs w:val="22"/>
        </w:rPr>
        <w:t xml:space="preserve">Fanno dunque parte di tale insieme </w:t>
      </w:r>
      <w:hyperlink r:id="rId3">
        <w:r>
          <w:rPr>
            <w:rStyle w:val="Hyperlink"/>
          </w:rPr>
          <w:t>clienti</w:t>
        </w:r>
      </w:hyperlink>
      <w:r>
        <w:rPr>
          <w:rFonts w:eastAsia="Helvetica" w:cs="Helvetica" w:ascii="Helvetica" w:hAnsi="Helvetica"/>
          <w:color w:val="000000"/>
          <w:sz w:val="22"/>
          <w:szCs w:val="22"/>
        </w:rPr>
        <w:t xml:space="preserve">, </w:t>
      </w:r>
      <w:hyperlink r:id="rId4">
        <w:r>
          <w:rPr>
            <w:rStyle w:val="Hyperlink"/>
          </w:rPr>
          <w:t>fornitori</w:t>
        </w:r>
      </w:hyperlink>
      <w:r>
        <w:rPr>
          <w:rFonts w:eastAsia="Helvetica" w:cs="Helvetica" w:ascii="Helvetica" w:hAnsi="Helvetica"/>
          <w:color w:val="000000"/>
          <w:sz w:val="22"/>
          <w:szCs w:val="22"/>
        </w:rPr>
        <w:t xml:space="preserve">, finanziatori (es. </w:t>
      </w:r>
      <w:hyperlink r:id="rId5">
        <w:r>
          <w:rPr>
            <w:rStyle w:val="Hyperlink"/>
          </w:rPr>
          <w:t>banche</w:t>
        </w:r>
      </w:hyperlink>
      <w:r>
        <w:rPr>
          <w:rFonts w:eastAsia="Helvetica" w:cs="Helvetica" w:ascii="Helvetica" w:hAnsi="Helvetica"/>
          <w:color w:val="000000"/>
          <w:sz w:val="22"/>
          <w:szCs w:val="22"/>
        </w:rPr>
        <w:t xml:space="preserve"> e </w:t>
      </w:r>
      <w:hyperlink r:id="rId6">
        <w:r>
          <w:rPr>
            <w:rStyle w:val="Hyperlink"/>
          </w:rPr>
          <w:t>azionisti</w:t>
        </w:r>
      </w:hyperlink>
      <w:r>
        <w:rPr>
          <w:rFonts w:eastAsia="Helvetica" w:cs="Helvetica" w:ascii="Helvetica" w:hAnsi="Helvetica"/>
          <w:color w:val="000000"/>
          <w:sz w:val="22"/>
          <w:szCs w:val="22"/>
        </w:rPr>
        <w:t xml:space="preserve"> stessi), collaboratori, dipendenti, ma anche </w:t>
      </w:r>
      <w:hyperlink r:id="rId7">
        <w:r>
          <w:rPr>
            <w:rStyle w:val="Hyperlink"/>
          </w:rPr>
          <w:t>gruppi di interesse</w:t>
        </w:r>
      </w:hyperlink>
      <w:r>
        <w:rPr>
          <w:rFonts w:eastAsia="Helvetica" w:cs="Helvetica" w:ascii="Helvetica" w:hAnsi="Helvetica"/>
          <w:color w:val="000000"/>
          <w:sz w:val="22"/>
          <w:szCs w:val="22"/>
        </w:rPr>
        <w:t xml:space="preserve"> locali o esterni, come le istituzioni statali relative all'amministrazione locale.</w:t>
      </w:r>
    </w:p>
    <w:p>
      <w:pPr>
        <w:pStyle w:val="Normal"/>
        <w:widowControl/>
        <w:bidi w:val="0"/>
        <w:spacing w:lineRule="auto" w:line="276" w:before="0" w:after="0"/>
        <w:ind w:hanging="0" w:left="0" w:right="0"/>
        <w:jc w:val="both"/>
        <w:rPr/>
      </w:pPr>
      <w:r>
        <w:rPr>
          <w:rFonts w:eastAsia="Helvetica" w:cs="Helvetica" w:ascii="Helvetica" w:hAnsi="Helvetica"/>
          <w:color w:val="000000"/>
          <w:sz w:val="22"/>
          <w:szCs w:val="22"/>
        </w:rPr>
        <w:t>L</w:t>
      </w:r>
      <w:r>
        <w:rPr>
          <w:rFonts w:eastAsia="Helvetica" w:cs="Helvetica" w:ascii="Helvetica" w:hAnsi="Helvetica"/>
          <w:color w:val="000000"/>
          <w:sz w:val="22"/>
          <w:szCs w:val="22"/>
        </w:rPr>
        <w:t>’</w:t>
      </w:r>
      <w:r>
        <w:rPr>
          <w:rFonts w:eastAsia="Helvetica" w:cs="Helvetica" w:ascii="Helvetica" w:hAnsi="Helvetica"/>
          <w:color w:val="000000"/>
          <w:sz w:val="22"/>
          <w:szCs w:val="22"/>
        </w:rPr>
        <w:t>analisi che vogliamo generare dovr</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eseguirla ogni elemento del Direttivo e tutti i collaboratori del club</w:t>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Ci interessa analizzare tali informazioni raggruppando i vari portatori di interesse in macro-segmenti. Le categorie di interesse saranno le seguenti:</w:t>
      </w:r>
    </w:p>
    <w:p>
      <w:pPr>
        <w:pStyle w:val="Normal"/>
        <w:widowControl/>
        <w:bidi w:val="0"/>
        <w:spacing w:lineRule="auto" w:line="276" w:before="0" w:after="0"/>
        <w:ind w:hanging="0" w:left="0" w:right="0"/>
        <w:jc w:val="left"/>
        <w:rPr/>
      </w:pPr>
      <w:r>
        <w:rPr/>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azionisti</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collaboratori</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fornitori</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sponsor</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istituzioni locali</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scuole</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istituzioni sportive</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famiglie dei giovani calciatori del settore giovanile</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abitanti del comune di Riccione</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tifosi</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media</w:t>
      </w:r>
    </w:p>
    <w:p>
      <w:pPr>
        <w:pStyle w:val="Normal"/>
        <w:widowControl/>
        <w:numPr>
          <w:ilvl w:val="0"/>
          <w:numId w:val="1"/>
        </w:numPr>
        <w:tabs>
          <w:tab w:val="clear" w:pos="720"/>
          <w:tab w:val="left" w:pos="613" w:leader="none"/>
        </w:tabs>
        <w:bidi w:val="0"/>
        <w:spacing w:lineRule="auto" w:line="276" w:before="0" w:after="0"/>
        <w:ind w:hanging="253" w:left="613" w:right="0"/>
        <w:jc w:val="left"/>
        <w:rPr/>
      </w:pPr>
      <w:r>
        <w:rPr>
          <w:rFonts w:eastAsia="Helvetica" w:cs="Helvetica" w:ascii="Helvetica" w:hAnsi="Helvetica"/>
          <w:color w:val="000000"/>
          <w:sz w:val="22"/>
          <w:szCs w:val="22"/>
        </w:rPr>
        <w:t>altre societ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sportive calcistiche del proprio contesto di mercato</w:t>
      </w:r>
    </w:p>
    <w:p>
      <w:pPr>
        <w:pStyle w:val="Normal"/>
        <w:widowControl/>
        <w:numPr>
          <w:ilvl w:val="0"/>
          <w:numId w:val="1"/>
        </w:numPr>
        <w:tabs>
          <w:tab w:val="clear" w:pos="720"/>
          <w:tab w:val="left" w:pos="613" w:leader="none"/>
        </w:tabs>
        <w:bidi w:val="0"/>
        <w:spacing w:lineRule="auto" w:line="276" w:before="0" w:after="0"/>
        <w:ind w:hanging="253" w:left="613" w:right="0"/>
        <w:jc w:val="left"/>
        <w:rPr/>
      </w:pPr>
      <w:r>
        <w:rPr>
          <w:rFonts w:eastAsia="Helvetica" w:cs="Helvetica" w:ascii="Helvetica" w:hAnsi="Helvetica"/>
          <w:color w:val="000000"/>
          <w:sz w:val="22"/>
          <w:szCs w:val="22"/>
        </w:rPr>
        <w:t>altre societ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sportive anche non calcistiche del territorio</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both"/>
        <w:rPr/>
      </w:pPr>
      <w:r>
        <w:rPr/>
      </w:r>
    </w:p>
    <w:p>
      <w:pPr>
        <w:pStyle w:val="Normal"/>
        <w:widowControl/>
        <w:bidi w:val="0"/>
        <w:spacing w:lineRule="auto" w:line="276" w:before="0" w:after="0"/>
        <w:ind w:hanging="0" w:left="0" w:right="0"/>
        <w:jc w:val="both"/>
        <w:rPr/>
      </w:pPr>
      <w:r>
        <w:rPr/>
      </w:r>
    </w:p>
    <w:p>
      <w:pPr>
        <w:pStyle w:val="Normal"/>
        <w:widowControl/>
        <w:bidi w:val="0"/>
        <w:spacing w:lineRule="auto" w:line="276" w:before="0" w:after="0"/>
        <w:ind w:hanging="0" w:left="0" w:right="0"/>
        <w:jc w:val="both"/>
        <w:rPr/>
      </w:pPr>
      <w:r>
        <w:rPr/>
      </w:r>
    </w:p>
    <w:p>
      <w:pPr>
        <w:pStyle w:val="Normal"/>
        <w:widowControl/>
        <w:bidi w:val="0"/>
        <w:spacing w:lineRule="auto" w:line="276" w:before="0" w:after="0"/>
        <w:ind w:hanging="0" w:left="0" w:right="0"/>
        <w:jc w:val="center"/>
        <w:rPr/>
      </w:pPr>
      <w:r>
        <w:rPr>
          <w:rFonts w:eastAsia="ArialMT" w:cs="ArialMT" w:ascii="ArialMT" w:hAnsi="ArialMT"/>
          <w:color w:val="000000"/>
          <w:sz w:val="22"/>
          <w:szCs w:val="22"/>
        </w:rPr>
        <w:pict>
          <v:shape id="shape_0" ID="Shape1" coordsize="16512,55" path="m0,0l16511,0l16511,54l0,54l0,0e" fillcolor="#a0a0a0" stroked="f" o:allowincell="f" style="position:absolute;margin-left:0pt;margin-top:-1.6pt;width:468pt;height:1.5pt;mso-wrap-style:none;v-text-anchor:middle;mso-position-vertical:top">
            <v:fill o:detectmouseclick="t" type="solid" color2="#5f5f5f"/>
            <v:stroke color="#3465a4" joinstyle="round" endcap="flat"/>
            <v:shadow on="t" obscured="f" color="black"/>
            <w10:wrap type="square"/>
          </v:shape>
        </w:pict>
      </w:r>
    </w:p>
    <w:p>
      <w:pPr>
        <w:pStyle w:val="Normal"/>
        <w:widowControl/>
        <w:bidi w:val="0"/>
        <w:spacing w:lineRule="auto" w:line="276" w:before="0" w:after="0"/>
        <w:ind w:hanging="0" w:left="0" w:right="0"/>
        <w:jc w:val="both"/>
        <w:rPr/>
      </w:pPr>
      <w:r>
        <w:rPr/>
      </w:r>
    </w:p>
    <w:tbl>
      <w:tblPr>
        <w:tblW w:w="10020" w:type="dxa"/>
        <w:jc w:val="center"/>
        <w:tblInd w:w="0" w:type="dxa"/>
        <w:tblLayout w:type="fixed"/>
        <w:tblCellMar>
          <w:top w:w="80" w:type="dxa"/>
          <w:left w:w="80" w:type="dxa"/>
          <w:bottom w:w="80" w:type="dxa"/>
          <w:right w:w="80" w:type="dxa"/>
        </w:tblCellMar>
      </w:tblPr>
      <w:tblGrid>
        <w:gridCol w:w="2055"/>
        <w:gridCol w:w="2250"/>
        <w:gridCol w:w="1755"/>
        <w:gridCol w:w="1770"/>
        <w:gridCol w:w="2190"/>
      </w:tblGrid>
      <w:tr>
        <w:trPr>
          <w:trHeight w:val="640" w:hRule="exact"/>
        </w:trPr>
        <w:tc>
          <w:tcPr>
            <w:tcW w:w="2055" w:type="dxa"/>
            <w:tcBorders>
              <w:top w:val="single" w:sz="8" w:space="0" w:color="000000"/>
              <w:left w:val="single" w:sz="8" w:space="0" w:color="000000"/>
              <w:bottom w:val="single" w:sz="8" w:space="0" w:color="000000"/>
            </w:tcBorders>
          </w:tcPr>
          <w:p>
            <w:pPr>
              <w:pStyle w:val="TableContents"/>
              <w:widowControl w:val="false"/>
              <w:bidi w:val="0"/>
              <w:spacing w:lineRule="auto" w:line="276" w:before="0" w:after="0"/>
              <w:ind w:hanging="0" w:left="0" w:right="0"/>
              <w:jc w:val="center"/>
              <w:rPr>
                <w:rFonts w:ascii="Helvetica-Bold" w:hAnsi="Helvetica-Bold" w:eastAsia="Helvetica-Bold" w:cs="Helvetica-Bold"/>
                <w:b/>
                <w:bCs/>
                <w:color w:val="000000"/>
                <w:sz w:val="24"/>
                <w:szCs w:val="24"/>
              </w:rPr>
            </w:pPr>
            <w:r>
              <w:rPr>
                <w:rFonts w:eastAsia="Helvetica-Bold" w:cs="Helvetica-Bold" w:ascii="Helvetica-Bold" w:hAnsi="Helvetica-Bold"/>
                <w:b/>
                <w:bCs/>
                <w:color w:val="000000"/>
                <w:sz w:val="24"/>
                <w:szCs w:val="24"/>
              </w:rPr>
              <w:t>ANALISI STAKEHOLDERS RICCIONE CALCIO 1926</w:t>
            </w:r>
          </w:p>
        </w:tc>
        <w:tc>
          <w:tcPr>
            <w:tcW w:w="2250" w:type="dxa"/>
            <w:tcBorders>
              <w:top w:val="single" w:sz="8" w:space="0" w:color="000000"/>
              <w:bottom w:val="single" w:sz="8" w:space="0" w:color="000000"/>
            </w:tcBorders>
            <w:shd w:fill="CFD7E7" w:val="clear"/>
            <w:tcMar>
              <w:top w:w="55" w:type="dxa"/>
              <w:left w:w="55" w:type="dxa"/>
              <w:bottom w:w="55" w:type="dxa"/>
              <w:right w:w="55" w:type="dxa"/>
            </w:tcMar>
          </w:tcPr>
          <w:p>
            <w:pPr>
              <w:pStyle w:val="Normal"/>
              <w:bidi w:val="0"/>
              <w:jc w:val="left"/>
              <w:rPr/>
            </w:pPr>
            <w:r>
              <w:rPr/>
            </w:r>
          </w:p>
        </w:tc>
        <w:tc>
          <w:tcPr>
            <w:tcW w:w="1755" w:type="dxa"/>
            <w:tcBorders>
              <w:top w:val="single" w:sz="8" w:space="0" w:color="000000"/>
              <w:bottom w:val="single" w:sz="8" w:space="0" w:color="000000"/>
            </w:tcBorders>
            <w:shd w:fill="CFD7E7" w:val="clear"/>
            <w:tcMar>
              <w:top w:w="55" w:type="dxa"/>
              <w:left w:w="55" w:type="dxa"/>
              <w:bottom w:w="55" w:type="dxa"/>
              <w:right w:w="55" w:type="dxa"/>
            </w:tcMar>
          </w:tcPr>
          <w:p>
            <w:pPr>
              <w:pStyle w:val="Normal"/>
              <w:bidi w:val="0"/>
              <w:jc w:val="left"/>
              <w:rPr/>
            </w:pPr>
            <w:r>
              <w:rPr/>
            </w:r>
          </w:p>
        </w:tc>
        <w:tc>
          <w:tcPr>
            <w:tcW w:w="1770" w:type="dxa"/>
            <w:tcBorders>
              <w:top w:val="single" w:sz="8" w:space="0" w:color="000000"/>
              <w:bottom w:val="single" w:sz="8" w:space="0" w:color="000000"/>
            </w:tcBorders>
            <w:shd w:fill="CFD7E7" w:val="clear"/>
            <w:tcMar>
              <w:top w:w="55" w:type="dxa"/>
              <w:left w:w="55" w:type="dxa"/>
              <w:bottom w:w="55" w:type="dxa"/>
              <w:right w:w="55" w:type="dxa"/>
            </w:tcMar>
          </w:tcPr>
          <w:p>
            <w:pPr>
              <w:pStyle w:val="Normal"/>
              <w:bidi w:val="0"/>
              <w:jc w:val="left"/>
              <w:rPr/>
            </w:pPr>
            <w:r>
              <w:rPr/>
            </w:r>
          </w:p>
        </w:tc>
        <w:tc>
          <w:tcPr>
            <w:tcW w:w="2190" w:type="dxa"/>
            <w:tcBorders>
              <w:top w:val="single" w:sz="8" w:space="0" w:color="000000"/>
              <w:bottom w:val="single" w:sz="8" w:space="0" w:color="000000"/>
              <w:right w:val="single" w:sz="8" w:space="0" w:color="000000"/>
            </w:tcBorders>
            <w:shd w:fill="CFD7E7" w:val="clear"/>
            <w:tcMar>
              <w:top w:w="55" w:type="dxa"/>
              <w:left w:w="55" w:type="dxa"/>
              <w:bottom w:w="55" w:type="dxa"/>
              <w:right w:w="55" w:type="dxa"/>
            </w:tcMar>
          </w:tcPr>
          <w:p>
            <w:pPr>
              <w:pStyle w:val="Normal"/>
              <w:bidi w:val="0"/>
              <w:jc w:val="left"/>
              <w:rPr/>
            </w:pPr>
            <w:r>
              <w:rPr/>
            </w:r>
          </w:p>
        </w:tc>
      </w:tr>
      <w:tr>
        <w:trPr>
          <w:trHeight w:val="320"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 xml:space="preserve">GRUPPO DI </w:t>
            </w:r>
          </w:p>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STAKEHOLDERS</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TIPOLOGIA DI</w:t>
            </w:r>
          </w:p>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COMUNICAZIONE</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COM’È LA RELAZIONE?</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QUANTO È IMPORTANTE PER IL CLUB</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both"/>
              <w:rPr>
                <w:rFonts w:ascii="Helvetica-Bold" w:hAnsi="Helvetica-Bold" w:eastAsia="Helvetica-Bold" w:cs="Helvetica-Bold"/>
                <w:b/>
                <w:bCs/>
                <w:color w:val="000000"/>
                <w:sz w:val="20"/>
                <w:szCs w:val="20"/>
              </w:rPr>
            </w:pPr>
            <w:r>
              <w:rPr>
                <w:rFonts w:eastAsia="Helvetica-Bold" w:cs="Helvetica-Bold" w:ascii="Helvetica-Bold" w:hAnsi="Helvetica-Bold"/>
                <w:b/>
                <w:bCs/>
                <w:color w:val="000000"/>
                <w:sz w:val="20"/>
                <w:szCs w:val="20"/>
              </w:rPr>
              <w:t>3 AZIONI DA FARE PER MIGLIORARE LA RELAZIONE NEL PROSSIMO ANNO</w:t>
            </w:r>
          </w:p>
        </w:tc>
      </w:tr>
      <w:tr>
        <w:trPr>
          <w:trHeight w:val="2150"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Collaboratori</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Personale, via chat</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Molto buona, basata sul rispetto dei ruoli e la condivisione degli obiettivi</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Determinante</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Aumentare consapevolezza del progetto. Rendere consapevoli sull’importanza del miglioramento tecnico dell’offerta formativa. Investire per migliorare ulteriormente il parco allenatori del settore giovanile.</w:t>
            </w:r>
          </w:p>
        </w:tc>
      </w:tr>
      <w:tr>
        <w:trPr>
          <w:trHeight w:val="2150"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Fornitori, sponsor</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Prevalentemente digitale, telefonica</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Discreta</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E’ importante far crescere senza meno il loro numero per il sostegno economico.</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Aumentare numericamente la loro presenza. Raccontare ancora e meglio le attività extra campo da implementare. Lavorare sulla ricaduta nel bilancio sociale che si ha diventando partner del nostro club</w:t>
            </w:r>
          </w:p>
        </w:tc>
      </w:tr>
      <w:tr>
        <w:trPr>
          <w:trHeight w:val="2165"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Istituzioni locali, sportive, scuole</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Grande attenzione al sistema di pubbliche relazioni sia con incontri periodici, disponibilità nel collaborare, comunicazione digitale e telefonica.</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Molto buona e c’è grande attenzione ad ogni dettaglio.</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Per accreditarci è stato decisivo per crescere potrebbe esserlo ugualmente</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Diventare punto di riferimento magari come centro tecnico federale. Punto di riferimento per eventi anche extrasportivi. Diventare elemento di brand del territorio.</w:t>
            </w:r>
          </w:p>
        </w:tc>
      </w:tr>
      <w:tr>
        <w:trPr>
          <w:trHeight w:val="2165"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Famiglie, abitanti della città, tifosi</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Relazioni quotidiane attraverso l’attività del club, chat con tutti i gruppi seguite direttamente, buona esposizione come i media.</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Al momento molto buona forse anche per l’effetto “luna di miele” non si sono registrate particolari criticità</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Fondamentale, sono i nostri ambasciatori se siamo capaci di lavorare bene tecnicamente e trasmettere valori positivi in un contesto sicuro e fatto di servizi puntuali avremo sempre il loro prezioso sostegno.</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Coinvolgere in società ancora altri genitori. Individuare quali potrebbero sostenerci come sponsor con le loro aziende. Diventare sempre di più ambasciatori della città attraverso una forte campagna identitaria.</w:t>
            </w:r>
          </w:p>
        </w:tc>
      </w:tr>
      <w:tr>
        <w:trPr>
          <w:trHeight w:val="2165" w:hRule="exact"/>
        </w:trPr>
        <w:tc>
          <w:tcPr>
            <w:tcW w:w="20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Altre società</w:t>
            </w:r>
          </w:p>
        </w:tc>
        <w:tc>
          <w:tcPr>
            <w:tcW w:w="225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Relazioni sporadiche legate all’ordinaria attività</w:t>
            </w:r>
          </w:p>
        </w:tc>
        <w:tc>
          <w:tcPr>
            <w:tcW w:w="175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Da migliorare sia in tempo investito che in qualità</w:t>
            </w:r>
          </w:p>
        </w:tc>
        <w:tc>
          <w:tcPr>
            <w:tcW w:w="177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Utile nella crescita tecnica del club</w:t>
            </w:r>
          </w:p>
        </w:tc>
        <w:tc>
          <w:tcPr>
            <w:tcW w:w="2190"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Provare ad allacciare un legame strutturale con la Riccione Calcio Femminile. Diventare punto di riferimento tecnico della città con collaborazione con le altre società. Strutturare meglio il nostro team che segue i rapporti con le altre società sia di categoria inferiore che maggiore.</w:t>
            </w:r>
          </w:p>
        </w:tc>
      </w:tr>
    </w:tbl>
    <w:p>
      <w:pPr>
        <w:pStyle w:val="Normal"/>
        <w:bidi w:val="0"/>
        <w:jc w:val="left"/>
        <w:rPr/>
      </w:pPr>
      <w:r>
        <w:rPr/>
      </w:r>
    </w:p>
    <w:sectPr>
      <w:type w:val="nextPage"/>
      <w:pgSz w:w="11900" w:h="16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etica">
    <w:altName w:val="Arial"/>
    <w:charset w:val="00"/>
    <w:family w:val="auto"/>
    <w:pitch w:val="default"/>
  </w:font>
  <w:font w:name="Helvetica-Bold">
    <w:charset w:val="00"/>
    <w:family w:val="auto"/>
    <w:pitch w:val="default"/>
  </w:font>
  <w:font w:name="Helvetica-Oblique">
    <w:charset w:val="00"/>
    <w:family w:val="auto"/>
    <w:pitch w:val="default"/>
  </w:font>
  <w:font w:name="ArialMT">
    <w:charset w:val="00"/>
    <w:family w:val="auto"/>
    <w:pitch w:val="default"/>
  </w:font>
  <w:font w:name="Cambria">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Hyperlink">
    <w:name w:val="Hyperlink"/>
    <w:rPr>
      <w:color w:val="000080"/>
      <w:u w:val="single"/>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it.wikipedia.org/wiki/Committente" TargetMode="External"/><Relationship Id="rId4" Type="http://schemas.openxmlformats.org/officeDocument/2006/relationships/hyperlink" Target="https://it.wikipedia.org/wiki/Fornitore" TargetMode="External"/><Relationship Id="rId5" Type="http://schemas.openxmlformats.org/officeDocument/2006/relationships/hyperlink" Target="https://it.wikipedia.org/wiki/Banca" TargetMode="External"/><Relationship Id="rId6" Type="http://schemas.openxmlformats.org/officeDocument/2006/relationships/hyperlink" Target="https://it.wikipedia.org/wiki/Azionista" TargetMode="External"/><Relationship Id="rId7" Type="http://schemas.openxmlformats.org/officeDocument/2006/relationships/hyperlink" Target="https://it.wikipedia.org/wiki/Gruppo_di_pression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