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52"/>
          <w:szCs w:val="52"/>
          <w:rtl w:val="0"/>
        </w:rPr>
        <w:t xml:space="preserve">Scheda 1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8"/>
          <w:szCs w:val="28"/>
        </w:rPr>
        <w:drawing>
          <wp:inline distB="0" distT="0" distL="0" distR="0">
            <wp:extent cx="711835" cy="71183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1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8"/>
          <w:szCs w:val="28"/>
          <w:rtl w:val="0"/>
        </w:rPr>
        <w:t xml:space="preserve">ROOTING FUTURE 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color w:val="000000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8"/>
          <w:szCs w:val="28"/>
          <w:rtl w:val="0"/>
        </w:rPr>
        <w:t xml:space="preserve">ANALISI SWOT</w:t>
      </w:r>
    </w:p>
    <w:p w:rsidR="00000000" w:rsidDel="00000000" w:rsidP="00000000" w:rsidRDefault="00000000" w:rsidRPr="00000000" w14:paraId="00000004">
      <w:pPr>
        <w:widowControl w:val="1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L’analisi SWOT è uno strumento di pianificazione utilizzato per analizzare i punti di forza (Strenghts) e di debolezza (Weaknesses) dell’azienda; all’indagine di questi due elementi interni si accompagna la valutazione dell’ambiente esterno attraverso l’analisi delle opportunità (Opportunities) e delle minacce (Threats) che emergono dal mercato di riferimento.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L’obiettivo principale dell’analisi SWOT è quello di rendere consapevole ogni componente di un’azienda dei fattori di successo o di rischio che compongono la propria strategia. L’analisi SWOT è basata sugli elementi interni ed esterni che permettono di analizzare tanto la propria realtà, quanto il contesto e i cambiamenti che caratterizzano il mercato e il contesto in cui si opera.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Ovviamente anche nel contesto sportivo è fondamentale.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La tabella qui di seguito dovrà redigerla il Board del Riccione Calcio e ogni collaboratore del club in modo da carpire punti di convergenza e differenze fra le differenti visioni.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0" w:line="276" w:lineRule="auto"/>
        <w:ind w:left="0" w:right="0" w:firstLine="0"/>
        <w:jc w:val="both"/>
        <w:rPr>
          <w:rFonts w:ascii="Helvetica Neue" w:cs="Helvetica Neue" w:eastAsia="Helvetica Neue" w:hAnsi="Helvetica Neue"/>
          <w:b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2"/>
          <w:szCs w:val="22"/>
          <w:rtl w:val="0"/>
        </w:rPr>
        <w:t xml:space="preserve">ESEMPIO ANALISI SWOT DI UN CLUB CALCISTICO:</w:t>
      </w:r>
    </w:p>
    <w:p w:rsidR="00000000" w:rsidDel="00000000" w:rsidP="00000000" w:rsidRDefault="00000000" w:rsidRPr="00000000" w14:paraId="0000000B">
      <w:pPr>
        <w:widowControl w:val="1"/>
        <w:shd w:fill="ffffff" w:val="clear"/>
        <w:spacing w:after="280" w:before="280" w:line="276" w:lineRule="auto"/>
        <w:ind w:left="0" w:right="0" w:firstLine="0"/>
        <w:jc w:val="both"/>
        <w:rPr>
          <w:rFonts w:ascii="Helvetica Neue" w:cs="Helvetica Neue" w:eastAsia="Helvetica Neue" w:hAnsi="Helvetica Neue"/>
          <w:b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2"/>
          <w:szCs w:val="22"/>
          <w:rtl w:val="0"/>
        </w:rPr>
        <w:t xml:space="preserve">Punti di Forza (Strengths):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Forte marchio nel mondo del calcio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Prima squadra di giocatori di alto livello 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Presenza di un nuovo stadio moderno e all’avanguardia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hd w:fill="ffffff" w:val="clear"/>
        <w:tabs>
          <w:tab w:val="left" w:leader="none" w:pos="613"/>
        </w:tabs>
        <w:spacing w:after="36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Ampia base di tifosi fedeli e appassionati in Italia e all’estero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hd w:fill="ffffff" w:val="clear"/>
        <w:spacing w:after="280" w:before="280" w:line="276" w:lineRule="auto"/>
        <w:ind w:left="0" w:right="0" w:firstLine="0"/>
        <w:jc w:val="both"/>
        <w:rPr>
          <w:rFonts w:ascii="Helvetica Neue" w:cs="Helvetica Neue" w:eastAsia="Helvetica Neue" w:hAnsi="Helvetica Neue"/>
          <w:b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2"/>
          <w:szCs w:val="22"/>
          <w:rtl w:val="0"/>
        </w:rPr>
        <w:t xml:space="preserve">Punti di Debolezza (Weaknesses):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Dipendenza economica dalle performance sportive della squadra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hd w:fill="ffffff" w:val="clear"/>
        <w:tabs>
          <w:tab w:val="left" w:leader="none" w:pos="613"/>
        </w:tabs>
        <w:spacing w:after="36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Difficoltà nel mantenere un equilibrio finanziario sano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hd w:fill="ffffff" w:val="clear"/>
        <w:spacing w:after="280" w:before="280" w:line="276" w:lineRule="auto"/>
        <w:ind w:left="0" w:right="0" w:firstLine="0"/>
        <w:jc w:val="both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2"/>
          <w:szCs w:val="22"/>
          <w:rtl w:val="0"/>
        </w:rPr>
        <w:t xml:space="preserve">Opportunità (Opportunities):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Aumento della visibilità e del valore del marchio grazie a successi sportivi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shd w:fill="ffffff" w:val="clear"/>
        <w:tabs>
          <w:tab w:val="left" w:leader="none" w:pos="613"/>
        </w:tabs>
        <w:spacing w:after="36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Possibilità di ampliare la base di tifosi e aumentare i ricavi grazie all’espansione del merchandising e dei diritti televisivi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hd w:fill="ffffff" w:val="clear"/>
        <w:spacing w:after="280" w:before="280" w:line="276" w:lineRule="auto"/>
        <w:ind w:left="0" w:right="0" w:firstLine="0"/>
        <w:jc w:val="both"/>
        <w:rPr>
          <w:rFonts w:ascii="Helvetica Neue" w:cs="Helvetica Neue" w:eastAsia="Helvetica Neue" w:hAnsi="Helvetica Neue"/>
          <w:b w:val="1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22"/>
          <w:szCs w:val="22"/>
          <w:rtl w:val="0"/>
        </w:rPr>
        <w:t xml:space="preserve">Minacce (Threats):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4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Concorrenza sempre più agguerrita da parte di altre squadre italiane ed europee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4"/>
        </w:numPr>
        <w:shd w:fill="ffffff" w:val="clear"/>
        <w:tabs>
          <w:tab w:val="left" w:leader="none" w:pos="613"/>
        </w:tabs>
        <w:spacing w:after="0" w:before="0" w:line="276" w:lineRule="auto"/>
        <w:ind w:left="613" w:right="0" w:hanging="252.99999999999997"/>
        <w:jc w:val="left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Impatto negativo da improvvise emergenze sanitarie o di altro genere come successo 5 anni fa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4"/>
        </w:numPr>
        <w:shd w:fill="ffffff" w:val="clear"/>
        <w:tabs>
          <w:tab w:val="left" w:leader="none" w:pos="613"/>
        </w:tabs>
        <w:spacing w:after="360" w:before="0" w:line="276" w:lineRule="auto"/>
        <w:ind w:left="613" w:right="0" w:hanging="252.99999999999997"/>
        <w:jc w:val="left"/>
        <w:rPr>
          <w:rFonts w:ascii="Helvetica Neue" w:cs="Helvetica Neue" w:eastAsia="Helvetica Neue" w:hAnsi="Helvetica Neue"/>
          <w:color w:val="000000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2"/>
          <w:szCs w:val="22"/>
          <w:rtl w:val="0"/>
        </w:rPr>
        <w:t xml:space="preserve">Possibili sanzioni da parte delle istituzioni sportive a causa di violazioni delle regole</w:t>
      </w:r>
    </w:p>
    <w:p w:rsidR="00000000" w:rsidDel="00000000" w:rsidP="00000000" w:rsidRDefault="00000000" w:rsidRPr="00000000" w14:paraId="0000001A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-12699</wp:posOffset>
                </wp:positionV>
                <wp:extent cx="5953125" cy="2857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custGeom>
                          <a:rect b="b" l="l" r="r" t="t"/>
                          <a:pathLst>
                            <a:path extrusionOk="0" h="19050" w="5943600">
                              <a:moveTo>
                                <a:pt x="0" y="0"/>
                              </a:moveTo>
                              <a:lnTo>
                                <a:pt x="5943240" y="0"/>
                              </a:lnTo>
                              <a:lnTo>
                                <a:pt x="5943240" y="18703"/>
                              </a:lnTo>
                              <a:lnTo>
                                <a:pt x="0" y="1870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-12699</wp:posOffset>
                </wp:positionV>
                <wp:extent cx="5953125" cy="28575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widowControl w:val="1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7.0" w:type="dxa"/>
        <w:jc w:val="center"/>
        <w:tblLayout w:type="fixed"/>
        <w:tblLook w:val="0000"/>
      </w:tblPr>
      <w:tblGrid>
        <w:gridCol w:w="3009"/>
        <w:gridCol w:w="6018"/>
        <w:tblGridChange w:id="0">
          <w:tblGrid>
            <w:gridCol w:w="3009"/>
            <w:gridCol w:w="6018"/>
          </w:tblGrid>
        </w:tblGridChange>
      </w:tblGrid>
      <w:tr>
        <w:trPr>
          <w:cantSplit w:val="0"/>
          <w:trHeight w:val="18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ANALISI INTERNA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PUNTI DI FORZA: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nome e brand con forte connotazione storica ed elemento identitario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Stadio rinnovato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altri campi in qualche modo a disposizione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Legame attraverso a Generazione S con il Sassuolo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Buoni rapporti con l’amministrazione e tante figure importanti del territorio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Roberto Carnevali link per importanti relazioni nazionali e potenziali clienti.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Brand Riccione molto accreditato a livello nazionale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Buona base tecnica dello staff del settore giovanile con una buona predisposizione al lavoro di gruppo per obiettivi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15 anni di concessione dello stadio per programmare.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cf3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PUNTI DI DEBOLEZZA: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L’importante investimento dovuto al bando nella struttura, base societaria finanziaria in sostanza in capo ad una persona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approccio ancora non del tutto da azienda alla vita quotidiana del club. I costi di esercizio del club legati ai costi energetici e di personale sono consistenti, soprattutto quelli delle utenze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La categoria della prima squadra: si dovrebbe almeno arrivare in Eccellenza e completare tutte le squadre del settore giovanile con campionati regionali e raggiungimento del riconoscimento di Scuola Calcio Élite.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ANALISI ESTERNA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OPPORTUNITÀ: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Se gestita come una vera e propria azienda la realtà del Riccione 1926 può raggiungere una sua sostenibilità economica e far crescere tanti ragazzi del territorio in un ambiente portatore di sani principi. Si possono creare opportunità di lavoro e crescita professionale. La città può trovare un elemento innovativo e capace di attrarre nuovi amici di Riccione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cf3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MINACCE: L’investimento consistente sul nuovo campo e sulla struttura in generale rappresenta una minaccia perché le uniche entrate derivano da sponsor, eventi e tornei. Per massimizzare le entrate serve una struttura organizzata e performante da costruire nel tempo e questo potrebbe sottrarre energie al progetto tecnico e sociale. La mancanza di risultati sportivi potrebbe essere frustrante nel mantenimento dell’impegno e dell’entusiasmo, stesso discorso per i risultati finanziari che inizialmente rischiano di essere fisiologicamente negativi.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613" w:hanging="25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613" w:hanging="25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613" w:hanging="25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"/>
      <w:lvlJc w:val="left"/>
      <w:pPr>
        <w:ind w:left="613" w:hanging="25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0"/>
      <w:kinsoku w:val="1"/>
      <w:overflowPunct w:val="1"/>
      <w:autoSpaceDE w:val="1"/>
      <w:bidi w:val="0"/>
    </w:pPr>
    <w:rPr>
      <w:rFonts w:ascii="Liberation Serif" w:cs="Lucida Sans" w:eastAsia="NSimSun" w:hAnsi="Liberation Serif"/>
      <w:color w:val="auto"/>
      <w:kern w:val="2"/>
      <w:sz w:val="24"/>
      <w:szCs w:val="24"/>
      <w:lang w:bidi="hi-IN" w:eastAsia="zh-CN" w:val="en-US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character" w:styleId="BulletSymbols">
    <w:name w:val="Bullet_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80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OdRnBc5kq7UEwvHBALeMeeTLg==">CgMxLjA4AHIhMWtWZzhTZy1OLVJJNGdUZmwtTmRqdld2MTJaWTRkeHpP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