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awzao7mrufj" w:id="0"/>
      <w:bookmarkEnd w:id="0"/>
      <w:r w:rsidDel="00000000" w:rsidR="00000000" w:rsidRPr="00000000">
        <w:rPr>
          <w:rtl w:val="0"/>
        </w:rPr>
        <w:t xml:space="preserve">Base de Benchmarks — Calculadora de Performance Unfold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Janela temporal das fontes:</w:t>
      </w:r>
      <w:r w:rsidDel="00000000" w:rsidR="00000000" w:rsidRPr="00000000">
        <w:rPr>
          <w:rtl w:val="0"/>
        </w:rPr>
        <w:t xml:space="preserve"> 2023-2026 </w:t>
      </w:r>
      <w:r w:rsidDel="00000000" w:rsidR="00000000" w:rsidRPr="00000000">
        <w:rPr>
          <w:b w:val="1"/>
          <w:bCs w:val="1"/>
          <w:rtl w:val="0"/>
        </w:rPr>
        <w:t xml:space="preserve">Foco geográfico:</w:t>
      </w:r>
      <w:r w:rsidDel="00000000" w:rsidR="00000000" w:rsidRPr="00000000">
        <w:rPr>
          <w:rtl w:val="0"/>
        </w:rPr>
        <w:t xml:space="preserve"> Brasil (com fontes globais quando não há dado nacional)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Base de conhecimento — referência para Matheus calibrar a Calculadora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vywl4jf6kes" w:id="1"/>
      <w:bookmarkEnd w:id="1"/>
      <w:r w:rsidDel="00000000" w:rsidR="00000000" w:rsidRPr="00000000">
        <w:rPr>
          <w:rtl w:val="0"/>
        </w:rPr>
        <w:t xml:space="preserve">Sobre este documento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documento consolida benchmarks de marketing digital B2B brasileiro extraídos de fontes públicas, com janela de 2023 a 2026. Serve a dois propósitos: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Calibrar a Calculadora de Performance</w:t>
      </w:r>
      <w:r w:rsidDel="00000000" w:rsidR="00000000" w:rsidRPr="00000000">
        <w:rPr>
          <w:rtl w:val="0"/>
        </w:rPr>
        <w:t xml:space="preserve"> — os valores default das premissas editáveis (CPL, taxa de qualificação, taxa de conversão, ciclo de venda) saem desta base.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Sustentar autoridade da ferramenta</w:t>
      </w:r>
      <w:r w:rsidDel="00000000" w:rsidR="00000000" w:rsidRPr="00000000">
        <w:rPr>
          <w:rtl w:val="0"/>
        </w:rPr>
        <w:t xml:space="preserve"> — a Calculadora exibe ao lead, na tela de resultado, a lista de fontes usadas. Isso transforma a ferramenta em ativo de autoridade técnica.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Cada benchmark vem com </w:t>
      </w:r>
      <w:r w:rsidDel="00000000" w:rsidR="00000000" w:rsidRPr="00000000">
        <w:rPr>
          <w:b w:val="1"/>
          <w:bCs w:val="1"/>
          <w:rtl w:val="0"/>
        </w:rPr>
        <w:t xml:space="preserve">nível de confiança</w:t>
      </w:r>
      <w:r w:rsidDel="00000000" w:rsidR="00000000" w:rsidRPr="00000000">
        <w:rPr>
          <w:rtl w:val="0"/>
        </w:rPr>
        <w:t xml:space="preserve"> explícito: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 — múltiplas fontes brasileiras convergentes, com amostras grandes e metodologia publicada.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Média</w:t>
      </w:r>
      <w:r w:rsidDel="00000000" w:rsidR="00000000" w:rsidRPr="00000000">
        <w:rPr>
          <w:rtl w:val="0"/>
        </w:rPr>
        <w:t xml:space="preserve"> — uma fonte brasileira robusta ou múltiplas fontes globais convergentes.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</w:t>
      </w:r>
      <w:r w:rsidDel="00000000" w:rsidR="00000000" w:rsidRPr="00000000">
        <w:rPr>
          <w:rtl w:val="0"/>
        </w:rPr>
        <w:t xml:space="preserve"> — extrapolação metodológica a partir de fontes setoriais ou globais, sem dado nacional específico.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Calculadora deve sinalizar o nível de confiança junto a cada premissa exibida ao lead.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93isyc1ug0u8" w:id="2"/>
      <w:bookmarkEnd w:id="2"/>
      <w:r w:rsidDel="00000000" w:rsidR="00000000" w:rsidRPr="00000000">
        <w:rPr>
          <w:rtl w:val="0"/>
        </w:rPr>
        <w:t xml:space="preserve">1. CPL por canal (Brasil, 2024-2026)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f5pm9i2qcjn" w:id="3"/>
      <w:bookmarkEnd w:id="3"/>
      <w:r w:rsidDel="00000000" w:rsidR="00000000" w:rsidRPr="00000000">
        <w:rPr>
          <w:rtl w:val="0"/>
        </w:rPr>
        <w:t xml:space="preserve">1.1. CPL médio geral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Ads (média global):</w:t>
      </w:r>
      <w:r w:rsidDel="00000000" w:rsidR="00000000" w:rsidRPr="00000000">
        <w:rPr>
          <w:rtl w:val="0"/>
        </w:rPr>
        <w:t xml:space="preserve"> US$ 70,11 em 2025 (Conversion Brasil, baseado em WordStream Benchmarks 2025) — equivalente a aproximadamente R$ 380-420 em conversão para BRL.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Ads (média global, leads):</w:t>
      </w:r>
      <w:r w:rsidDel="00000000" w:rsidR="00000000" w:rsidRPr="00000000">
        <w:rPr>
          <w:rtl w:val="0"/>
        </w:rPr>
        <w:t xml:space="preserve"> US$ 27,66 em 2025 (WordStream Facebook Ads Benchmarks 2025) — equivalente a R$ 140-170 em BRL.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Ads (média global, B2B):</w:t>
      </w:r>
      <w:r w:rsidDel="00000000" w:rsidR="00000000" w:rsidRPr="00000000">
        <w:rPr>
          <w:rtl w:val="0"/>
        </w:rPr>
        <w:t xml:space="preserve"> US$ 110 em 2025 (Flyweel 2025, baseado em múltiplos relatórios) — equivalente a R$ 580-650 em BRL.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 (dados primários WordStream com referência cruzada).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cr9yh8b8ezc" w:id="4"/>
      <w:bookmarkEnd w:id="4"/>
      <w:r w:rsidDel="00000000" w:rsidR="00000000" w:rsidRPr="00000000">
        <w:rPr>
          <w:rtl w:val="0"/>
        </w:rPr>
        <w:t xml:space="preserve">1.2. CPL por canal × setor (Google Ads, Brasil)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Fonte primária: Safira Design (3 semanas atrás de 2026), baseado em campanhas reais brasileiras + WordStream/LocaliQ 2024-2025.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 Google Ads (intervalo)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 médio sugerido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Imóveis / Construtoras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R$ 100 - R$ 250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Jurídico / Advocacia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R$ 80 - R$ 350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 / 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R$ 60 - R$ 280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Saúde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R$ 15 - R$ 80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Serviços profissionais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R$ 40 - R$ 180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Contabilidade / 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R$ 50 - R$ 200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Indústria / Manufatura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R$ 30 - R$ 150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Educação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R$ 20 - R$ 100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R$ 60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 para os setores B2B clássicos. Média para Imóveis/Construtoras (CPL real pode variar muito por região).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9ayhm72ueo0s" w:id="5"/>
      <w:bookmarkEnd w:id="5"/>
      <w:r w:rsidDel="00000000" w:rsidR="00000000" w:rsidRPr="00000000">
        <w:rPr>
          <w:rtl w:val="0"/>
        </w:rPr>
        <w:t xml:space="preserve">1.3. CPL LinkedIn Ads B2B no Brasil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Fonte primária: Spiner (abril 2026) + Everflux (2 semanas atrás) + Stackmatix (abril 2026).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Senioridade do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 Lead Gen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 com agendamento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R$ 50 - R$ 150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Gerentes e Diretores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R$ 150 - R$ 400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C-level / VPs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R$ 200 - R$ 500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R$ 800 - R$ 2.000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 metodológica:</w:t>
      </w:r>
      <w:r w:rsidDel="00000000" w:rsidR="00000000" w:rsidRPr="00000000">
        <w:rPr>
          <w:rtl w:val="0"/>
        </w:rPr>
        <w:t xml:space="preserve"> LinkedIn brasileiro tem amostras menores que LinkedIn global. Os valores acima são consistentes com benchmark internacional de R$ 580-650 traduzido para o contexto brasileiro (geralmente 30-40% mais barato pela menor competição).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Média. LinkedIn Ads é o canal com mais variabilidade — depende fortemente de qualidade de criativo, oferta e segmentação.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irwl9i22jsgw" w:id="6"/>
      <w:bookmarkEnd w:id="6"/>
      <w:r w:rsidDel="00000000" w:rsidR="00000000" w:rsidRPr="00000000">
        <w:rPr>
          <w:rtl w:val="0"/>
        </w:rPr>
        <w:t xml:space="preserve">1.4. CPL específico para os setores prioritários da Unfold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ecjlcdbxkfgb" w:id="7"/>
      <w:bookmarkEnd w:id="7"/>
      <w:r w:rsidDel="00000000" w:rsidR="00000000" w:rsidRPr="00000000">
        <w:rPr>
          <w:rtl w:val="0"/>
        </w:rPr>
        <w:t xml:space="preserve">Construção Civil / Incorporação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Não há fonte brasileira pública com CPL específico para B2B em Construção. Dados disponíveis: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Ads para imóveis/construtoras: R$ 100-250 (Safira, 2026).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Atenção: dados B2C dominam. Para B2B (construtora vendendo para clientes corporativos, ou incorporadora vendendo lançamentos), o CPL tende a ser </w:t>
      </w:r>
      <w:r w:rsidDel="00000000" w:rsidR="00000000" w:rsidRPr="00000000">
        <w:rPr>
          <w:b w:val="1"/>
          <w:bCs w:val="1"/>
          <w:rtl w:val="0"/>
        </w:rPr>
        <w:t xml:space="preserve">30-50% mais alto</w:t>
      </w:r>
      <w:r w:rsidDel="00000000" w:rsidR="00000000" w:rsidRPr="00000000">
        <w:rPr>
          <w:rtl w:val="0"/>
        </w:rPr>
        <w:t xml:space="preserve"> que o B2C imobiliário por causa de menor volume e maior segmentação.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CPL B2B sugerido para Construção: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Ads: R$ 150 - R$ 350 (ponto médio: R$ 250)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 Ads: R$ 100 - R$ 250 (ponto médio: R$ 175)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LinkedIn Ads: R$ 250 - R$ 500 (ponto médio: R$ 375)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Média (combinação de dados imobiliários B2C com ajuste B2B).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1pxy0lvdihq1" w:id="8"/>
      <w:bookmarkEnd w:id="8"/>
      <w:r w:rsidDel="00000000" w:rsidR="00000000" w:rsidRPr="00000000">
        <w:rPr>
          <w:rtl w:val="0"/>
        </w:rPr>
        <w:t xml:space="preserve">Agronegócio / Agroindústria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Fontes brasileiras (RD Station, Agência Mestre) trazem narrativa estratégica para agro mas não publicam CPL médio. Case Barenbrug do Brasil (RD Station, 2021): ROI de 587% em ações de inbound — mas sem CPL declarado.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CPL B2B sugerido para Agro: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Ads: R$ 180 - R$ 400 (ponto médio: R$ 290)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 Ads: R$ 120 - R$ 280 (ponto médio: R$ 200)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LinkedIn Ads: R$ 280 - R$ 550 (ponto médio: R$ 415)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Baixa. Extrapolação a partir do benchmark de Indústria/Manufatura (CPL geralmente mais baixo) ajustado para a complexidade da decisão técnica e ciclo regional do Agro.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ezqdksy2z4ov" w:id="9"/>
      <w:bookmarkEnd w:id="9"/>
      <w:r w:rsidDel="00000000" w:rsidR="00000000" w:rsidRPr="00000000">
        <w:rPr>
          <w:rtl w:val="0"/>
        </w:rPr>
        <w:t xml:space="preserve">SaaS B2B / Tecnologia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Setor com mais dados públicos.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CPL B2B confirmado para SaaS: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Ads: R$ 60 - R$ 280 (ponto médio: R$ 170) — Safira 2026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 Ads: R$ 80 - R$ 200 (ponto médio: R$ 140) — extrapolação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LinkedIn Ads: R$ 200 - R$ 500 (ponto médio: R$ 350)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3tq6bg2h9btp" w:id="10"/>
      <w:bookmarkEnd w:id="10"/>
      <w:r w:rsidDel="00000000" w:rsidR="00000000" w:rsidRPr="00000000">
        <w:rPr>
          <w:rtl w:val="0"/>
        </w:rPr>
        <w:t xml:space="preserve">Automotivo / Concessionárias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Fonte: dados Safira/WordStream + Agência Mestre 2022.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CPL B2B sugerido para Automotivo: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Ads: R$ 70 - R$ 200 (ponto médio: R$ 135)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 Ads: R$ 50 - R$ 150 (ponto médio: R$ 100)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LinkedIn Ads: R$ 200 - R$ 400 (ponto médio: R$ 300)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tnyakh8r0lea" w:id="11"/>
      <w:bookmarkEnd w:id="11"/>
      <w:r w:rsidDel="00000000" w:rsidR="00000000" w:rsidRPr="00000000">
        <w:rPr>
          <w:rtl w:val="0"/>
        </w:rPr>
        <w:t xml:space="preserve">Indústria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Fonte primária: witu.digital (março 2026).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CPL B2B confirmado para Indústria: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Ads: R$ 80 - R$ 200 (ponto médio: R$ 140)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 Ads: R$ 60 - R$ 180 (ponto médio: R$ 120)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LinkedIn Ads: R$ 220 - R$ 450 (ponto médio: R$ 335)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gqb2qwapwxke" w:id="12"/>
      <w:bookmarkEnd w:id="12"/>
      <w:r w:rsidDel="00000000" w:rsidR="00000000" w:rsidRPr="00000000">
        <w:rPr>
          <w:rtl w:val="0"/>
        </w:rPr>
        <w:t xml:space="preserve">Serviços B2B (genérico)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CPL B2B confirmado: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Ads: R$ 40 - R$ 180 (ponto médio: R$ 110)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Meta Ads: R$ 35 - R$ 150 (ponto médio: R$ 90)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LinkedIn Ads: R$ 180 - R$ 420 (ponto médio: R$ 300)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vn6enup5qxj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Taxa de qualificação (lead → MQL)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Esta é a taxa que mede quantos dos leads brutos gerados são considerados de </w:t>
      </w:r>
      <w:r w:rsidDel="00000000" w:rsidR="00000000" w:rsidRPr="00000000">
        <w:rPr>
          <w:b w:val="1"/>
          <w:bCs w:val="1"/>
          <w:rtl w:val="0"/>
        </w:rPr>
        <w:t xml:space="preserve">perfil mínimo</w:t>
      </w:r>
      <w:r w:rsidDel="00000000" w:rsidR="00000000" w:rsidRPr="00000000">
        <w:rPr>
          <w:rtl w:val="0"/>
        </w:rPr>
        <w:t xml:space="preserve"> pelo time de marketing/SDR para abordagem comercial.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7tuv7pxgvhrc" w:id="14"/>
      <w:bookmarkEnd w:id="14"/>
      <w:r w:rsidDel="00000000" w:rsidR="00000000" w:rsidRPr="00000000">
        <w:rPr>
          <w:rtl w:val="0"/>
        </w:rPr>
        <w:t xml:space="preserve">2.1. Benchmark Brasil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Média B2B:</w:t>
      </w:r>
      <w:r w:rsidDel="00000000" w:rsidR="00000000" w:rsidRPr="00000000">
        <w:rPr>
          <w:rtl w:val="0"/>
        </w:rPr>
        <w:t xml:space="preserve"> 30% (Data Stone, set/2025)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 maduros com ICP rígido:</w:t>
      </w:r>
      <w:r w:rsidDel="00000000" w:rsidR="00000000" w:rsidRPr="00000000">
        <w:rPr>
          <w:rtl w:val="0"/>
        </w:rPr>
        <w:t xml:space="preserve"> 35-45%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Operações sem ICP estruturado / lead scoring:</w:t>
      </w:r>
      <w:r w:rsidDel="00000000" w:rsidR="00000000" w:rsidRPr="00000000">
        <w:rPr>
          <w:rtl w:val="0"/>
        </w:rPr>
        <w:t xml:space="preserve"> 15-25%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Empresas que classificam leads por maturidade têm conversão 50% maior</w:t>
      </w:r>
      <w:r w:rsidDel="00000000" w:rsidR="00000000" w:rsidRPr="00000000">
        <w:rPr>
          <w:rtl w:val="0"/>
        </w:rPr>
        <w:t xml:space="preserve"> (State of Lead Management, Marketo)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lc80z3cqw8sp" w:id="15"/>
      <w:bookmarkEnd w:id="15"/>
      <w:r w:rsidDel="00000000" w:rsidR="00000000" w:rsidRPr="00000000">
        <w:rPr>
          <w:rtl w:val="0"/>
        </w:rPr>
        <w:t xml:space="preserve">2.2. Default sugerido para a Calculadora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qualificação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com CRM funcional + ICP 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sem CRM funcional / ICP fraco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(qualquer estágio)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 (dados Brasil + cross-reference internacional).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cmottqkdda6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Taxa de conversão MQL → Cliente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Esta é a métrica com </w:t>
      </w:r>
      <w:r w:rsidDel="00000000" w:rsidR="00000000" w:rsidRPr="00000000">
        <w:rPr>
          <w:b w:val="1"/>
          <w:bCs w:val="1"/>
          <w:rtl w:val="0"/>
        </w:rPr>
        <w:t xml:space="preserve">maior divergência</w:t>
      </w:r>
      <w:r w:rsidDel="00000000" w:rsidR="00000000" w:rsidRPr="00000000">
        <w:rPr>
          <w:rtl w:val="0"/>
        </w:rPr>
        <w:t xml:space="preserve"> entre fontes. É também a métrica mais sensível na Calculadora — pequenas variações geram grandes diferenças no resultado final.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1tvks3czswcd" w:id="17"/>
      <w:bookmarkEnd w:id="17"/>
      <w:r w:rsidDel="00000000" w:rsidR="00000000" w:rsidRPr="00000000">
        <w:rPr>
          <w:rtl w:val="0"/>
        </w:rPr>
        <w:t xml:space="preserve">3.1. Benchmarks comparados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Faixa MQL → SQL ou MQL →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Stone (set/2025)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50-70% MQL→SQL com ICP bem 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SQL→Oportunidade: 60-80% / Trial→Pago em SaaS: 10-25%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Auma Digital/Leadster (mar/2026)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25-35% MQL→SQL (alta performance), 18-22% (média)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 com lead scoring estruturado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Snovio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13% MQL→SQL como benchmark de mercado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Considera operações sem ICP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Reev (jun/2025)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conexão→MQL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Não publica MQL→cliente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Baita (fev/2026)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2-5% Lead→Cliente (inbound) / 0,5-1% Lead→Cliente (outbound)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Vendas B2B complexas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Sirius (fev/2026)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2-5% conversão lead→cliente saudável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low-touch: 5-10% / Enterprise: 0,5-2%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Winning Sales (out/2025)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Lead scoring comportamental → 40% MQL→SQL (vs 13% média)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10% chegam a 39-40%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1yry6ko46j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Cálculo da conversão MQL→Cliente (composição)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chegar em MQL → Cliente, é preciso compor duas conversões: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Conversão MQL→Cliente = Conversão MQL→SQL × Conversão SQL→Cliente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MQL→SQL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SQL→Cliente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MQL→Cliente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sem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com CRM + processo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alta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low-touch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qualificado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arlmedjgbtk5" w:id="19"/>
      <w:bookmarkEnd w:id="19"/>
      <w:r w:rsidDel="00000000" w:rsidR="00000000" w:rsidRPr="00000000">
        <w:rPr>
          <w:rtl w:val="0"/>
        </w:rPr>
        <w:t xml:space="preserve">3.3. Default sugerido para a Calculadora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Conversão MQL→Cliente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com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sem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low-touch (ticket baixo, ciclo curto)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Média. As fontes divergem, mas a faixa central é consistente.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uh90j1ehtdq" w:id="20"/>
      <w:bookmarkEnd w:id="20"/>
      <w:r w:rsidDel="00000000" w:rsidR="00000000" w:rsidRPr="00000000">
        <w:rPr>
          <w:rtl w:val="0"/>
        </w:rPr>
        <w:t xml:space="preserve">4. Ciclo médio de venda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m2k515loun74" w:id="21"/>
      <w:bookmarkEnd w:id="21"/>
      <w:r w:rsidDel="00000000" w:rsidR="00000000" w:rsidRPr="00000000">
        <w:rPr>
          <w:rtl w:val="0"/>
        </w:rPr>
        <w:t xml:space="preserve">4.1. Benchmarks gerais B2B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Fonte primária: Sirius (fev/2026) + Salesdrive (4 semanas) + Winning Sales (out/2025).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médio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R$ 1.000 - R$ 5.000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14-30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R$ 5.000 - R$ 50.000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30-90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R$ 50.000 - R$ 100.000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90-180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Acima de R$ 100.000 (enterprise)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180-365+ dias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5p2i16qcgyao" w:id="22"/>
      <w:bookmarkEnd w:id="22"/>
      <w:r w:rsidDel="00000000" w:rsidR="00000000" w:rsidRPr="00000000">
        <w:rPr>
          <w:rtl w:val="0"/>
        </w:rPr>
        <w:t xml:space="preserve">4.2. Ciclo por setor (Brasil)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v9oscggbhbp9" w:id="23"/>
      <w:bookmarkEnd w:id="23"/>
      <w:r w:rsidDel="00000000" w:rsidR="00000000" w:rsidRPr="00000000">
        <w:rPr>
          <w:rtl w:val="0"/>
        </w:rPr>
        <w:t xml:space="preserve">Construção Civil / Incorporação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vendas B2B (suprimentos, projetos):</w:t>
      </w:r>
      <w:r w:rsidDel="00000000" w:rsidR="00000000" w:rsidRPr="00000000">
        <w:rPr>
          <w:rtl w:val="0"/>
        </w:rPr>
        <w:t xml:space="preserve"> 90-180 dias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incorporadoras (lançamentos):</w:t>
      </w:r>
      <w:r w:rsidDel="00000000" w:rsidR="00000000" w:rsidRPr="00000000">
        <w:rPr>
          <w:rtl w:val="0"/>
        </w:rPr>
        <w:t xml:space="preserve"> 60-240 dias para fechamento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Decisão envolve 6-10 stakeholders (Econodata, abr/2026)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Média (deriva de dados sobre vendas complexas em geral aplicados ao setor).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pmvlzka4rbar" w:id="24"/>
      <w:bookmarkEnd w:id="24"/>
      <w:r w:rsidDel="00000000" w:rsidR="00000000" w:rsidRPr="00000000">
        <w:rPr>
          <w:rtl w:val="0"/>
        </w:rPr>
        <w:t xml:space="preserve">Agronegócio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Ciclo sazonal: depende da safra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B2B agro técnico (sementes, equipamentos, insumos): 60-180 dias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Decisão envolve produtor + técnicos + consultoria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Baixa (sem fonte com número específico — extrapolação a partir de cases como Barenbrug e do conhecimento setorial).</w:t>
      </w:r>
    </w:p>
    <w:p w:rsidR="00000000" w:rsidDel="00000000" w:rsidP="00000000" w:rsidRDefault="00000000" w:rsidRPr="00000000" w14:paraId="0000010A">
      <w:pPr>
        <w:pStyle w:val="Heading4"/>
        <w:rPr/>
      </w:pPr>
      <w:bookmarkStart w:colFirst="0" w:colLast="0" w:name="_pkmlewmnvzby" w:id="25"/>
      <w:bookmarkEnd w:id="25"/>
      <w:r w:rsidDel="00000000" w:rsidR="00000000" w:rsidRPr="00000000">
        <w:rPr>
          <w:rtl w:val="0"/>
        </w:rPr>
        <w:t xml:space="preserve">SaaS B2B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Ticket &lt; R$ 5k: 14-45 dias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Ticket R$ 5k-50k: 45-90 dias (zona de ouro: 45-120 dias)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Enterprise SaaS (&gt;R$ 100k): 6-12 meses (Winning Sales, out/2025)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bennho6k4sd0" w:id="26"/>
      <w:bookmarkEnd w:id="26"/>
      <w:r w:rsidDel="00000000" w:rsidR="00000000" w:rsidRPr="00000000">
        <w:rPr>
          <w:rtl w:val="0"/>
        </w:rPr>
        <w:t xml:space="preserve">Automotivo / Concessionárias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B2B venda de frotas: 30-90 dias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B2C consumidor final: 7-30 dias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Aftermarket (peças, serviços): 7-21 dias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116">
      <w:pPr>
        <w:pStyle w:val="Heading4"/>
        <w:rPr/>
      </w:pPr>
      <w:bookmarkStart w:colFirst="0" w:colLast="0" w:name="_fu9vn8f5u55f" w:id="27"/>
      <w:bookmarkEnd w:id="27"/>
      <w:r w:rsidDel="00000000" w:rsidR="00000000" w:rsidRPr="00000000">
        <w:rPr>
          <w:rtl w:val="0"/>
        </w:rPr>
        <w:t xml:space="preserve">Indústria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B2B compra recorrente (insumos): 30-60 dias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B2B equipamentos: 90-180 dias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B2B projetos: 180-365 dias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1C">
      <w:pPr>
        <w:pStyle w:val="Heading4"/>
        <w:rPr/>
      </w:pPr>
      <w:bookmarkStart w:colFirst="0" w:colLast="0" w:name="_ayagqm4ju1co" w:id="28"/>
      <w:bookmarkEnd w:id="28"/>
      <w:r w:rsidDel="00000000" w:rsidR="00000000" w:rsidRPr="00000000">
        <w:rPr>
          <w:rtl w:val="0"/>
        </w:rPr>
        <w:t xml:space="preserve">Serviços B2B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Ticket baixo: 14-30 dias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Ticket médio: 30-90 dias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Consultoria/assessoria: 30-120 dias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pjex4d3xhohd" w:id="29"/>
      <w:bookmarkEnd w:id="29"/>
      <w:r w:rsidDel="00000000" w:rsidR="00000000" w:rsidRPr="00000000">
        <w:rPr>
          <w:rtl w:val="0"/>
        </w:rPr>
        <w:t xml:space="preserve">4.3. Default sugerido para a Calculadora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default (dias)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Construção Civil / Incorporação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Agronegócio / Agroindústria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 / SaaS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Automotivo / Concessionárias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Serviços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(qualquer setor)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k1a03xpnp9k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Taxa de conversão de site (visitante → lead)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Para contexto. Não entra diretamente nos cálculos da Calculadora (que parte de leads, não de visitantes), mas serve de referência educacional para o lead.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Fonte: Panorama de Geração de Leads Leadster 2025 (2.861 sites, 3,7 milhões de leads, 167 milhões de acessos).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de conversão mediana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 geral Brasil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 Brasil (mediana)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Brasil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3,28%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25%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acima de 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Indústria (alta)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3,81%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Logística e 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2,64% (com pico de 8,05%)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 (amostra muito grande, metodologia publicada).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sa7q26k4j05d" w:id="31"/>
      <w:bookmarkEnd w:id="31"/>
      <w:r w:rsidDel="00000000" w:rsidR="00000000" w:rsidRPr="00000000">
        <w:rPr>
          <w:rtl w:val="0"/>
        </w:rPr>
        <w:t xml:space="preserve">6. Lista de fontes citáveis na Calculadora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 Calculadora deve exibir, na tela de resultado, uma seção "Fontes" com a lista abaixo. Isso aumenta autoridade e protege a Unfold contra críticas técnicas.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aj3t30wzicee" w:id="32"/>
      <w:bookmarkEnd w:id="32"/>
      <w:r w:rsidDel="00000000" w:rsidR="00000000" w:rsidRPr="00000000">
        <w:rPr>
          <w:rtl w:val="0"/>
        </w:rPr>
        <w:t xml:space="preserve">Fontes primárias (Brasil)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Panorama de Geração de Leads no Brasil — Leadster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https://leadster.com.br/panorama-de-geracao-de-leads-no-brasil-2025/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Maior estudo público de conversão B2B do Brasil. Base: 2.861 sites, 3,7 milhões de leads.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Brasil — Google Ads Benchmarks 2024/2025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https://www.conversion.com.br/blog/google-ads-benchmarks-2024/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Safira Design — CPL Google Ads B2B Brasil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https://safiradesign.com.br/blog/cpl-google-ads-como-calcular/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Dados reais de campanhas brasileiras + benchmarks WordStream/LocaliQ.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Stone — Benchmark de Conversão em SaaS B2B (set/2025)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https://blog.datastone.com.br/blog/2025/09/04/benchmark-conversao-saas-b2b/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Auma Digital — Geração de leads B2B (mar/2026)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https://aumadigital.com/geracao-de-leads-b2b/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Reev — Benchmark em vendas (jun/2025)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https://reev.co/benchmark-em-vendas/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witu.digital — Quanto Custa Google Ads em 2026 por Setor B2B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https://witu.digital/quanto-custa-google-ads/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Sirius — KPIs de Vendas (fev/2026)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https://sirius.roilabs.com.br/blog/kpis-de-vendas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Winning Sales — Arquitetura de Receita B2B (out/2025)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https://winningsales.com.br/blog/arquitetura-de-receita/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6cljeovocsao" w:id="33"/>
      <w:bookmarkEnd w:id="33"/>
      <w:r w:rsidDel="00000000" w:rsidR="00000000" w:rsidRPr="00000000">
        <w:rPr>
          <w:rtl w:val="0"/>
        </w:rPr>
        <w:t xml:space="preserve">Fontes globais de referência cruzada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WordStream — Google Ads Benchmarks 2024/2025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Referência global para CPL por indústria.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WordStream — Facebook Ads Benchmarks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https://www.wordstream.com/blog/facebook-ads-benchmarks-2025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Gartner — Journey to B2B Buying (2023-2024)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 dado de 6-10 stakeholders em vendas complexas e 67% da jornada acontecer antes do contato com vendas.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HubSpot — State of Sales (2024)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Para contexto de prospecção como etapa mais crítica em B2B.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Flyweel — Cost Per Lead Benchmarks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https://www.flyweel.co/blog/lead-gen-cpl-cac-benchmark-index-2025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LinkedIn $110 CPL B2B média global.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s8a3y13lhlzt" w:id="34"/>
      <w:bookmarkEnd w:id="34"/>
      <w:r w:rsidDel="00000000" w:rsidR="00000000" w:rsidRPr="00000000">
        <w:rPr>
          <w:rtl w:val="0"/>
        </w:rPr>
        <w:t xml:space="preserve">Como citar na tela de resultado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Sugestão de microcopy curto para o fim da tela de resultado: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Os benchmarks usados nesta calculadora foram extraídos de fontes como Leadster (Panorama de Geração de Leads no Brasil 2025), Conversion, Safira Design, Data Stone, Auma Digital, WordStream e Gartner. A janela de dados cobre 2023-2026. Cada premissa é editável — caso sua operação tenha dados próprios, você pode ajustar para refletir sua realidade.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k1wos9dbx2lq" w:id="35"/>
      <w:bookmarkEnd w:id="35"/>
      <w:r w:rsidDel="00000000" w:rsidR="00000000" w:rsidRPr="00000000">
        <w:rPr>
          <w:rtl w:val="0"/>
        </w:rPr>
        <w:t xml:space="preserve">7. Tabela consolidada — Defaults da Calculadora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tabela de referência única</w:t>
      </w:r>
      <w:r w:rsidDel="00000000" w:rsidR="00000000" w:rsidRPr="00000000">
        <w:rPr>
          <w:rtl w:val="0"/>
        </w:rPr>
        <w:t xml:space="preserve"> para o Matheus implementar. Todos os valores são editáveis pelo lead, mas estes são os </w:t>
      </w:r>
      <w:r w:rsidDel="00000000" w:rsidR="00000000" w:rsidRPr="00000000">
        <w:rPr>
          <w:b w:val="1"/>
          <w:bCs w:val="1"/>
          <w:rtl w:val="0"/>
        </w:rPr>
        <w:t xml:space="preserve">defaults pré-preenchidos</w:t>
      </w:r>
      <w:r w:rsidDel="00000000" w:rsidR="00000000" w:rsidRPr="00000000">
        <w:rPr>
          <w:rtl w:val="0"/>
        </w:rPr>
        <w:t xml:space="preserve"> conforme setor + flag de CRM funcional.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npnrcth6dcar" w:id="36"/>
      <w:bookmarkEnd w:id="36"/>
      <w:r w:rsidDel="00000000" w:rsidR="00000000" w:rsidRPr="00000000">
        <w:rPr>
          <w:rtl w:val="0"/>
        </w:rPr>
        <w:t xml:space="preserve">7.1. CPL default por canal × setor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Construção Civil / Incorporação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Agronegócio / Agroindústria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R$ 415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 / SaaS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Automotivo / Concessionárias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Serviços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R$ 350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Para uso na Calculadora:</w:t>
      </w:r>
      <w:r w:rsidDel="00000000" w:rsidR="00000000" w:rsidRPr="00000000">
        <w:rPr>
          <w:rtl w:val="0"/>
        </w:rPr>
        <w:t xml:space="preserve"> quando o lead seleciona múltiplos canais, calcular CPL ponderado pela distribuição igual entre os canais selecionados. Exemplo: lead seleciona Google + Meta = CPL médio é (R$ 170 + R$ 140) / 2 = R$ 155.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w42pdrr6k29y" w:id="37"/>
      <w:bookmarkEnd w:id="37"/>
      <w:r w:rsidDel="00000000" w:rsidR="00000000" w:rsidRPr="00000000">
        <w:rPr>
          <w:rtl w:val="0"/>
        </w:rPr>
        <w:t xml:space="preserve">7.2. Taxas de qualificação default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(definido por input 6 da Etapa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qualificação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com CRM funcional (resposta "Sim")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sem CRM funcional (resposta "Não")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com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sem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353sw6pb1aq5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7.3. Taxas de conversão MQL → Cliente default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Conversão MQL→Cliente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com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B2B sem CRM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(qualquer)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117cfwihfe0" w:id="39"/>
      <w:bookmarkEnd w:id="39"/>
      <w:r w:rsidDel="00000000" w:rsidR="00000000" w:rsidRPr="00000000">
        <w:rPr>
          <w:rtl w:val="0"/>
        </w:rPr>
        <w:t xml:space="preserve">7.4. Ciclo de venda default por setor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default (dias)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Construção Civil / Incorporação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Agronegócio / Agroindústria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 / SaaS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Automotivo / Concessionárias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Indústria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Serviços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Outros B2B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B2C (qualquer setor)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n09eg5wrahja" w:id="40"/>
      <w:bookmarkEnd w:id="40"/>
      <w:r w:rsidDel="00000000" w:rsidR="00000000" w:rsidRPr="00000000">
        <w:rPr>
          <w:rtl w:val="0"/>
        </w:rPr>
        <w:t xml:space="preserve">8. Observações metodológicas</w:t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nx7qqe175erg" w:id="41"/>
      <w:bookmarkEnd w:id="41"/>
      <w:r w:rsidDel="00000000" w:rsidR="00000000" w:rsidRPr="00000000">
        <w:rPr>
          <w:rtl w:val="0"/>
        </w:rPr>
        <w:t xml:space="preserve">8.1. Sobre a divergência entre fontes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dados de conversão MQL→SQL divergem entre fontes de </w:t>
      </w:r>
      <w:r w:rsidDel="00000000" w:rsidR="00000000" w:rsidRPr="00000000">
        <w:rPr>
          <w:b w:val="1"/>
          <w:bCs w:val="1"/>
          <w:rtl w:val="0"/>
        </w:rPr>
        <w:t xml:space="preserve">13% (Snovio)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50-70% (Data Stone)</w:t>
      </w:r>
      <w:r w:rsidDel="00000000" w:rsidR="00000000" w:rsidRPr="00000000">
        <w:rPr>
          <w:rtl w:val="0"/>
        </w:rPr>
        <w:t xml:space="preserve">. Essa divergência tem três explicações: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diferentes de MQL/SQL</w:t>
      </w:r>
      <w:r w:rsidDel="00000000" w:rsidR="00000000" w:rsidRPr="00000000">
        <w:rPr>
          <w:rtl w:val="0"/>
        </w:rPr>
        <w:t xml:space="preserve"> — não existe definição universal. O que uma fonte considera MQL, outra considera Lead bruto.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Amostras diferentes</w:t>
      </w:r>
      <w:r w:rsidDel="00000000" w:rsidR="00000000" w:rsidRPr="00000000">
        <w:rPr>
          <w:rtl w:val="0"/>
        </w:rPr>
        <w:t xml:space="preserve"> — Data Stone trabalha com empresas que já usam inteligência comercial estruturada (viés positivo). Snovio considera mercado geral (viés mais conservador).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Contextos diferentes</w:t>
      </w:r>
      <w:r w:rsidDel="00000000" w:rsidR="00000000" w:rsidRPr="00000000">
        <w:rPr>
          <w:rtl w:val="0"/>
        </w:rPr>
        <w:t xml:space="preserve"> — taxas médias do mercado vs taxas de alta performance.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 escolha de </w:t>
      </w:r>
      <w:r w:rsidDel="00000000" w:rsidR="00000000" w:rsidRPr="00000000">
        <w:rPr>
          <w:b w:val="1"/>
          <w:bCs w:val="1"/>
          <w:rtl w:val="0"/>
        </w:rPr>
        <w:t xml:space="preserve">20% como ponto médio</w:t>
      </w:r>
      <w:r w:rsidDel="00000000" w:rsidR="00000000" w:rsidRPr="00000000">
        <w:rPr>
          <w:rtl w:val="0"/>
        </w:rPr>
        <w:t xml:space="preserve"> para a Calculadora reflete uma posição </w:t>
      </w:r>
      <w:r w:rsidDel="00000000" w:rsidR="00000000" w:rsidRPr="00000000">
        <w:rPr>
          <w:b w:val="1"/>
          <w:bCs w:val="1"/>
          <w:rtl w:val="0"/>
        </w:rPr>
        <w:t xml:space="preserve">conservadora-realista</w:t>
      </w:r>
      <w:r w:rsidDel="00000000" w:rsidR="00000000" w:rsidRPr="00000000">
        <w:rPr>
          <w:rtl w:val="0"/>
        </w:rPr>
        <w:t xml:space="preserve"> — alinhada com o que operações brasileiras médias efetivamente entregam.</w:t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g7wkphaz8odk" w:id="42"/>
      <w:bookmarkEnd w:id="42"/>
      <w:r w:rsidDel="00000000" w:rsidR="00000000" w:rsidRPr="00000000">
        <w:rPr>
          <w:rtl w:val="0"/>
        </w:rPr>
        <w:t xml:space="preserve">8.2. Sobre os benchmarks com confiança "Baixa"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Os defaults marcados como confiança Baixa (principalmente Agro) são extrapolações metodológicas. A recomendação é: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Calibrar com dados próprios da Unfold após 3-6 meses de uso da ferramenta.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Após 100+ usos da Calculadora, fazer análise de cluster nos dados capturados para refinar os defaults.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Considerar parceria com associações setoriais (ABAG para Agro, CBIC para Construção) para validação cruzada.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jyjehp9ph9se" w:id="43"/>
      <w:bookmarkEnd w:id="43"/>
      <w:r w:rsidDel="00000000" w:rsidR="00000000" w:rsidRPr="00000000">
        <w:rPr>
          <w:rtl w:val="0"/>
        </w:rPr>
        <w:t xml:space="preserve">8.3. Atualização da base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Esta base de benchmarks deve ser </w:t>
      </w:r>
      <w:r w:rsidDel="00000000" w:rsidR="00000000" w:rsidRPr="00000000">
        <w:rPr>
          <w:b w:val="1"/>
          <w:bCs w:val="1"/>
          <w:rtl w:val="0"/>
        </w:rPr>
        <w:t xml:space="preserve">revisada anualmente</w:t>
      </w:r>
      <w:r w:rsidDel="00000000" w:rsidR="00000000" w:rsidRPr="00000000">
        <w:rPr>
          <w:rtl w:val="0"/>
        </w:rPr>
        <w:t xml:space="preserve"> (recomendado: janeiro de cada ano). O Panorama Leadster sai geralmente no primeiro trimestre, é a principal fonte BR para atualização.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 versão da base deve aparecer na tela de resultado da Calculadora: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Base de benchmarks v1.0 — atualizada em maio de 2026. Próxima revisão prevista: janeiro de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lemcnz25t0vy" w:id="44"/>
      <w:bookmarkEnd w:id="44"/>
      <w:r w:rsidDel="00000000" w:rsidR="00000000" w:rsidRPr="00000000">
        <w:rPr>
          <w:rtl w:val="0"/>
        </w:rPr>
        <w:t xml:space="preserve">9. Como esta base pode virar ativo de conteúdo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Os benchmarks consolidados aqui têm valor que vai além da Calculadora. Recomendações de uso: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dedicada no site:</w:t>
      </w:r>
      <w:r w:rsidDel="00000000" w:rsidR="00000000" w:rsidRPr="00000000">
        <w:rPr>
          <w:rtl w:val="0"/>
        </w:rPr>
        <w:t xml:space="preserve"> "Benchmarks de Growth B2B 2026" — pode virar ativo de SEO orgânico forte.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rico:</w:t>
      </w:r>
      <w:r w:rsidDel="00000000" w:rsidR="00000000" w:rsidRPr="00000000">
        <w:rPr>
          <w:rtl w:val="0"/>
        </w:rPr>
        <w:t xml:space="preserve"> PDF/relatório baixável "O Estado do Growth B2B no Brasil — Análise Unfold".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no LinkedIn:</w:t>
      </w:r>
      <w:r w:rsidDel="00000000" w:rsidR="00000000" w:rsidRPr="00000000">
        <w:rPr>
          <w:rtl w:val="0"/>
        </w:rPr>
        <w:t xml:space="preserve"> posts com cada benchmark específico ("CPL médio em Construção: R$ 250 — aqui está o que isso significa").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 em propostas comerciais:</w:t>
      </w:r>
      <w:r w:rsidDel="00000000" w:rsidR="00000000" w:rsidRPr="00000000">
        <w:rPr>
          <w:rtl w:val="0"/>
        </w:rPr>
        <w:t xml:space="preserve"> ancoragem para apresentação de cenários nos pitches.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para nutrição:</w:t>
      </w:r>
      <w:r w:rsidDel="00000000" w:rsidR="00000000" w:rsidRPr="00000000">
        <w:rPr>
          <w:rtl w:val="0"/>
        </w:rPr>
        <w:t xml:space="preserve"> sequência de e-mails educativos para leads do funil.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Fim da base de benchmarks v1.0.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ev.co/benchmark-em-vendas/" TargetMode="External"/><Relationship Id="rId10" Type="http://schemas.openxmlformats.org/officeDocument/2006/relationships/hyperlink" Target="https://aumadigital.com/geracao-de-leads-b2b/" TargetMode="External"/><Relationship Id="rId13" Type="http://schemas.openxmlformats.org/officeDocument/2006/relationships/hyperlink" Target="https://sirius.roilabs.com.br/blog/kpis-de-vendas" TargetMode="External"/><Relationship Id="rId12" Type="http://schemas.openxmlformats.org/officeDocument/2006/relationships/hyperlink" Target="https://witu.digital/quanto-custa-google-a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datastone.com.br/blog/2025/09/04/benchmark-conversao-saas-b2b/" TargetMode="External"/><Relationship Id="rId15" Type="http://schemas.openxmlformats.org/officeDocument/2006/relationships/hyperlink" Target="https://www.wordstream.com/blog/facebook-ads-benchmarks-2025" TargetMode="External"/><Relationship Id="rId14" Type="http://schemas.openxmlformats.org/officeDocument/2006/relationships/hyperlink" Target="https://winningsales.com.br/blog/arquitetura-de-receita/" TargetMode="External"/><Relationship Id="rId16" Type="http://schemas.openxmlformats.org/officeDocument/2006/relationships/hyperlink" Target="https://www.flyweel.co/blog/lead-gen-cpl-cac-benchmark-index-2025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dster.com.br/panorama-de-geracao-de-leads-no-brasil-2025/" TargetMode="External"/><Relationship Id="rId7" Type="http://schemas.openxmlformats.org/officeDocument/2006/relationships/hyperlink" Target="https://www.conversion.com.br/blog/google-ads-benchmarks-2024/" TargetMode="External"/><Relationship Id="rId8" Type="http://schemas.openxmlformats.org/officeDocument/2006/relationships/hyperlink" Target="https://safiradesign.com.br/blog/cpl-google-ads-como-calcula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