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sz w:val="48"/>
          <w:szCs w:val="48"/>
          <w:rtl w:val="0"/>
        </w:rPr>
        <w:t xml:space="preserve">Product Design Practice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Name: _________________________                                Partner Names: ____________________________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ource Sans Pro" w:cs="Source Sans Pro" w:eastAsia="Source Sans Pro" w:hAnsi="Source Sans Pro"/>
          <w:i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How would you design a web search engine for children below 14 years old?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Complete this product design question using the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ff0000"/>
          <w:sz w:val="28"/>
          <w:szCs w:val="28"/>
          <w:rtl w:val="0"/>
        </w:rPr>
        <w:t xml:space="preserve">CIRCLES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 method. Submit whatever you can complete at the end of class. This assignment will count towards participation points. 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omprehend the Situation: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dentify the Customer: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eport the Customer’s Needs: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ut by Prioritizing: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ist Solutions: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valuate Trade-offs: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ff00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ummarize your Recommendation: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>
        <w:rFonts w:ascii="Source Sans Pro" w:cs="Source Sans Pro" w:eastAsia="Source Sans Pro" w:hAnsi="Source Sans Pro"/>
      </w:rPr>
    </w:pPr>
    <w:r w:rsidDel="00000000" w:rsidR="00000000" w:rsidRPr="00000000">
      <w:rPr>
        <w:rFonts w:ascii="Source Sans Pro" w:cs="Source Sans Pro" w:eastAsia="Source Sans Pro" w:hAnsi="Source Sans Pro"/>
        <w:rtl w:val="0"/>
      </w:rPr>
      <w:t xml:space="preserve">Week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