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90EA" w14:textId="77777777" w:rsidR="00A422A2" w:rsidRPr="00A422A2" w:rsidRDefault="00A422A2" w:rsidP="00A422A2">
      <w:pPr>
        <w:rPr>
          <w:sz w:val="24"/>
          <w:szCs w:val="24"/>
        </w:rPr>
      </w:pPr>
    </w:p>
    <w:p w14:paraId="469C3F02" w14:textId="1E8107D5" w:rsidR="00A422A2" w:rsidRPr="00A422A2" w:rsidRDefault="00A422A2" w:rsidP="00A422A2">
      <w:pPr>
        <w:rPr>
          <w:b/>
          <w:bCs/>
          <w:sz w:val="24"/>
          <w:szCs w:val="24"/>
        </w:rPr>
      </w:pPr>
      <w:r w:rsidRPr="00A422A2">
        <w:rPr>
          <w:b/>
          <w:bCs/>
          <w:sz w:val="24"/>
          <w:szCs w:val="24"/>
        </w:rPr>
        <w:t>Tema 2: Estrategias de liderazgo innovador aplicadas a contextos de transformación empresarial.</w:t>
      </w:r>
    </w:p>
    <w:p w14:paraId="2CE6668F" w14:textId="77777777" w:rsidR="00A422A2" w:rsidRPr="00A422A2" w:rsidRDefault="00A422A2" w:rsidP="00A422A2"/>
    <w:p w14:paraId="0C193CA7" w14:textId="77777777" w:rsidR="00A422A2" w:rsidRDefault="00A422A2">
      <w:pPr>
        <w:pBdr>
          <w:top w:val="nil"/>
          <w:left w:val="nil"/>
          <w:bottom w:val="nil"/>
          <w:right w:val="nil"/>
          <w:between w:val="nil"/>
        </w:pBdr>
        <w:spacing w:after="150" w:line="275" w:lineRule="auto"/>
        <w:rPr>
          <w:rFonts w:ascii="Google Sans" w:eastAsia="Google Sans" w:hAnsi="Google Sans" w:cs="Google Sans"/>
          <w:b/>
          <w:bCs/>
          <w:color w:val="1F1F1F"/>
        </w:rPr>
      </w:pPr>
    </w:p>
    <w:p w14:paraId="00000015" w14:textId="5716431B" w:rsidR="00A15833"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16" w14:textId="77777777" w:rsidR="00A1583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Liderar la innovación requiere el diseño intencional de ecosistemas donde la creatividad fluya sin miedo al castigo. Este subtema aborda estrategias como el </w:t>
      </w:r>
      <w:proofErr w:type="spellStart"/>
      <w:r>
        <w:rPr>
          <w:rFonts w:ascii="Google Sans" w:eastAsia="Google Sans" w:hAnsi="Google Sans" w:cs="Google Sans"/>
          <w:b/>
          <w:bCs/>
          <w:color w:val="1F1F1F"/>
        </w:rPr>
        <w:t>intraemprendimiento</w:t>
      </w:r>
      <w:proofErr w:type="spellEnd"/>
      <w:r>
        <w:rPr>
          <w:rFonts w:ascii="Google Sans" w:eastAsia="Google Sans" w:hAnsi="Google Sans" w:cs="Google Sans"/>
          <w:color w:val="1F1F1F"/>
        </w:rPr>
        <w:t xml:space="preserve"> y la gestión de equipos en entornos </w:t>
      </w:r>
      <w:r>
        <w:rPr>
          <w:rFonts w:ascii="Google Sans" w:eastAsia="Google Sans" w:hAnsi="Google Sans" w:cs="Google Sans"/>
          <w:b/>
          <w:bCs/>
          <w:color w:val="1F1F1F"/>
        </w:rPr>
        <w:t>BANI</w:t>
      </w:r>
      <w:r>
        <w:rPr>
          <w:rFonts w:ascii="Google Sans" w:eastAsia="Google Sans" w:hAnsi="Google Sans" w:cs="Google Sans"/>
          <w:color w:val="1F1F1F"/>
        </w:rPr>
        <w:t xml:space="preserve"> (quebradizos, ansiosos, no lineales e incomprensibles). El especialista aprenderá a actuar como un "arquitecto de innovación", equilibrando la estructura necesaria para operar con la libertad requerida para crear.</w:t>
      </w:r>
    </w:p>
    <w:p w14:paraId="00000017" w14:textId="77777777" w:rsidR="00A15833"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18" w14:textId="77777777" w:rsidR="00A15833"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 xml:space="preserve">Diseñar estrategias de </w:t>
      </w:r>
      <w:proofErr w:type="spellStart"/>
      <w:r>
        <w:rPr>
          <w:rFonts w:ascii="Google Sans" w:eastAsia="Google Sans" w:hAnsi="Google Sans" w:cs="Google Sans"/>
          <w:color w:val="1F1F1F"/>
        </w:rPr>
        <w:t>intraemprendimiento</w:t>
      </w:r>
      <w:proofErr w:type="spellEnd"/>
      <w:r>
        <w:rPr>
          <w:rFonts w:ascii="Google Sans" w:eastAsia="Google Sans" w:hAnsi="Google Sans" w:cs="Google Sans"/>
          <w:color w:val="1F1F1F"/>
        </w:rPr>
        <w:t xml:space="preserve"> que empoderen a los empleados para liderar ideas desde la concepción hasta la ejecución.</w:t>
      </w:r>
    </w:p>
    <w:p w14:paraId="00000019" w14:textId="77777777" w:rsidR="00A15833"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Implementar metodologías de innovación ágil y Lean para reducir el tiempo de respuesta al mercado (</w:t>
      </w:r>
      <w:r>
        <w:rPr>
          <w:rFonts w:ascii="Google Sans" w:eastAsia="Google Sans" w:hAnsi="Google Sans" w:cs="Google Sans"/>
          <w:i/>
          <w:iCs/>
          <w:color w:val="1F1F1F"/>
        </w:rPr>
        <w:t>time-</w:t>
      </w:r>
      <w:proofErr w:type="spellStart"/>
      <w:r>
        <w:rPr>
          <w:rFonts w:ascii="Google Sans" w:eastAsia="Google Sans" w:hAnsi="Google Sans" w:cs="Google Sans"/>
          <w:i/>
          <w:iCs/>
          <w:color w:val="1F1F1F"/>
        </w:rPr>
        <w:t>to</w:t>
      </w:r>
      <w:proofErr w:type="spellEnd"/>
      <w:r>
        <w:rPr>
          <w:rFonts w:ascii="Google Sans" w:eastAsia="Google Sans" w:hAnsi="Google Sans" w:cs="Google Sans"/>
          <w:i/>
          <w:iCs/>
          <w:color w:val="1F1F1F"/>
        </w:rPr>
        <w:t>-</w:t>
      </w:r>
      <w:proofErr w:type="spellStart"/>
      <w:r>
        <w:rPr>
          <w:rFonts w:ascii="Google Sans" w:eastAsia="Google Sans" w:hAnsi="Google Sans" w:cs="Google Sans"/>
          <w:i/>
          <w:iCs/>
          <w:color w:val="1F1F1F"/>
        </w:rPr>
        <w:t>market</w:t>
      </w:r>
      <w:proofErr w:type="spellEnd"/>
      <w:r>
        <w:rPr>
          <w:rFonts w:ascii="Google Sans" w:eastAsia="Google Sans" w:hAnsi="Google Sans" w:cs="Google Sans"/>
          <w:color w:val="1F1F1F"/>
        </w:rPr>
        <w:t>).</w:t>
      </w:r>
    </w:p>
    <w:p w14:paraId="0000001A" w14:textId="77777777" w:rsidR="00A15833"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Desarrollar modelos de "Energía Estratégica" para gestionar la carga cognitiva y prevenir el burnout por innovación hacia el 2026.</w:t>
      </w:r>
    </w:p>
    <w:p w14:paraId="0000001B" w14:textId="77777777" w:rsidR="00A1583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1C" w14:textId="77777777" w:rsidR="00A1583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 xml:space="preserve">Parte 1: Fomento del </w:t>
      </w:r>
      <w:proofErr w:type="spellStart"/>
      <w:r>
        <w:rPr>
          <w:rFonts w:ascii="Google Sans" w:eastAsia="Google Sans" w:hAnsi="Google Sans" w:cs="Google Sans"/>
          <w:b/>
          <w:bCs/>
          <w:color w:val="1F1F1F"/>
        </w:rPr>
        <w:t>Intraemprendimiento</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El liderazgo innovador se traduce en crear una cultura donde todos se sientan responsables de la innovación, no solo un departamento específico. Estrategias como el "20% de tiempo" de Google o las aceleradoras internas permiten que el talento desarrolle proyectos de pasión que impacten el negocio. Para el especialista, el reto es normalizar el "fracaso inteligente": experimentos bien diseñados que, aunque no logren el resultado esperado, generan lecciones valiosas que nutren la memoria organizacional. Esto requiere un liderazgo que premie la iniciativa y el pensamiento disruptivo por encima de la obediencia ciega.</w:t>
      </w:r>
    </w:p>
    <w:p w14:paraId="0000001D" w14:textId="77777777" w:rsidR="00A1583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Parte 2: Liderazgo en Entornos BANI:</w:t>
      </w:r>
      <w:r>
        <w:rPr>
          <w:rFonts w:ascii="Google Sans" w:eastAsia="Google Sans" w:hAnsi="Google Sans" w:cs="Google Sans"/>
          <w:color w:val="1F1F1F"/>
        </w:rPr>
        <w:t xml:space="preserve"> La transformación empresarial hoy ocurre bajo una ansiedad colectiva por la velocidad tecnológica. El entorno </w:t>
      </w:r>
      <w:r>
        <w:rPr>
          <w:rFonts w:ascii="Google Sans" w:eastAsia="Google Sans" w:hAnsi="Google Sans" w:cs="Google Sans"/>
          <w:b/>
          <w:bCs/>
          <w:color w:val="1F1F1F"/>
        </w:rPr>
        <w:t>BANI</w:t>
      </w:r>
      <w:r>
        <w:rPr>
          <w:rFonts w:ascii="Google Sans" w:eastAsia="Google Sans" w:hAnsi="Google Sans" w:cs="Google Sans"/>
          <w:color w:val="1F1F1F"/>
        </w:rPr>
        <w:t xml:space="preserve"> exige líderes resilientes que aporten claridad ante la incomprensibilidad. Las estrategias de liderazgo innovador deben enfocarse en la </w:t>
      </w:r>
      <w:r>
        <w:rPr>
          <w:rFonts w:ascii="Google Sans" w:eastAsia="Google Sans" w:hAnsi="Google Sans" w:cs="Google Sans"/>
          <w:b/>
          <w:bCs/>
          <w:color w:val="1F1F1F"/>
        </w:rPr>
        <w:t>transparencia y la comunicación bidireccional</w:t>
      </w:r>
      <w:r>
        <w:rPr>
          <w:rFonts w:ascii="Google Sans" w:eastAsia="Google Sans" w:hAnsi="Google Sans" w:cs="Google Sans"/>
          <w:color w:val="1F1F1F"/>
        </w:rPr>
        <w:t>, involucrando a los escépticos en el diseño de las soluciones para reducir la incertidumbre. El diseño de organizaciones más planas y procesos democráticos de toma de decisiones es la respuesta estructural para mitigar la resistencia y acelerar la adaptabilidad sistémica.</w:t>
      </w:r>
    </w:p>
    <w:p w14:paraId="0000001E" w14:textId="77777777" w:rsidR="00A15833"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Parte 3: Ingeniería del Rendimiento y Holgura (Slack) en 2026:</w:t>
      </w:r>
      <w:r>
        <w:rPr>
          <w:rFonts w:ascii="Google Sans" w:eastAsia="Google Sans" w:hAnsi="Google Sans" w:cs="Google Sans"/>
          <w:color w:val="1F1F1F"/>
        </w:rPr>
        <w:t xml:space="preserve"> En 2026, la productividad ya no se mide por volumen, sino por </w:t>
      </w:r>
      <w:r>
        <w:rPr>
          <w:rFonts w:ascii="Google Sans" w:eastAsia="Google Sans" w:hAnsi="Google Sans" w:cs="Google Sans"/>
          <w:b/>
          <w:bCs/>
          <w:color w:val="1F1F1F"/>
        </w:rPr>
        <w:t>Energía Estratégica</w:t>
      </w:r>
      <w:r>
        <w:rPr>
          <w:rFonts w:ascii="Google Sans" w:eastAsia="Google Sans" w:hAnsi="Google Sans" w:cs="Google Sans"/>
          <w:color w:val="1F1F1F"/>
        </w:rPr>
        <w:t xml:space="preserve">. El liderazgo innovador debe garantizar la "holgura": tiempo no programado que los colaboradores </w:t>
      </w:r>
      <w:r>
        <w:rPr>
          <w:rFonts w:ascii="Google Sans" w:eastAsia="Google Sans" w:hAnsi="Google Sans" w:cs="Google Sans"/>
          <w:color w:val="1F1F1F"/>
        </w:rPr>
        <w:lastRenderedPageBreak/>
        <w:t>gestionan con autonomía para pensar y crear. Actualmente, se pierde el 41% del tiempo en tareas sin valor (burocracia, reuniones excesivas). Las estrategias futuras deben integrar la neurociencia para proteger la atención del equipo, reconociendo que el agotamiento cognitivo es el mayor enemigo de la innovación y la sostenibilidad de la transformación corporativa.</w:t>
      </w:r>
    </w:p>
    <w:p w14:paraId="0000001F" w14:textId="77777777" w:rsidR="00A1583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20" w14:textId="77777777" w:rsidR="00A1583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 xml:space="preserve">Christensen, C. M. (2016). </w:t>
      </w:r>
      <w:r>
        <w:rPr>
          <w:rFonts w:ascii="Google Sans" w:eastAsia="Google Sans" w:hAnsi="Google Sans" w:cs="Google Sans"/>
          <w:i/>
          <w:iCs/>
          <w:color w:val="1F1F1F"/>
        </w:rPr>
        <w:t xml:space="preserve">The </w:t>
      </w:r>
      <w:proofErr w:type="spellStart"/>
      <w:r>
        <w:rPr>
          <w:rFonts w:ascii="Google Sans" w:eastAsia="Google Sans" w:hAnsi="Google Sans" w:cs="Google Sans"/>
          <w:i/>
          <w:iCs/>
          <w:color w:val="1F1F1F"/>
        </w:rPr>
        <w:t>Innovator's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Dilemma</w:t>
      </w:r>
      <w:proofErr w:type="spellEnd"/>
      <w:r>
        <w:rPr>
          <w:rFonts w:ascii="Google Sans" w:eastAsia="Google Sans" w:hAnsi="Google Sans" w:cs="Google Sans"/>
          <w:color w:val="1F1F1F"/>
        </w:rPr>
        <w:t xml:space="preserve">. Harvard Business </w:t>
      </w:r>
      <w:proofErr w:type="spellStart"/>
      <w:r>
        <w:rPr>
          <w:rFonts w:ascii="Google Sans" w:eastAsia="Google Sans" w:hAnsi="Google Sans" w:cs="Google Sans"/>
          <w:color w:val="1F1F1F"/>
        </w:rPr>
        <w:t>Review</w:t>
      </w:r>
      <w:proofErr w:type="spellEnd"/>
      <w:r>
        <w:rPr>
          <w:rFonts w:ascii="Google Sans" w:eastAsia="Google Sans" w:hAnsi="Google Sans" w:cs="Google Sans"/>
          <w:color w:val="1F1F1F"/>
        </w:rPr>
        <w:t xml:space="preserve"> Press.</w:t>
      </w:r>
    </w:p>
    <w:p w14:paraId="00000021" w14:textId="77777777" w:rsidR="00A1583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 xml:space="preserve">Deloitte (2025). </w:t>
      </w:r>
      <w:proofErr w:type="spellStart"/>
      <w:r>
        <w:rPr>
          <w:rFonts w:ascii="Google Sans" w:eastAsia="Google Sans" w:hAnsi="Google Sans" w:cs="Google Sans"/>
          <w:i/>
          <w:iCs/>
          <w:color w:val="1F1F1F"/>
        </w:rPr>
        <w:t>Engineering</w:t>
      </w:r>
      <w:proofErr w:type="spellEnd"/>
      <w:r>
        <w:rPr>
          <w:rFonts w:ascii="Google Sans" w:eastAsia="Google Sans" w:hAnsi="Google Sans" w:cs="Google Sans"/>
          <w:i/>
          <w:iCs/>
          <w:color w:val="1F1F1F"/>
        </w:rPr>
        <w:t xml:space="preserve"> Human Performance: </w:t>
      </w:r>
      <w:proofErr w:type="spellStart"/>
      <w:r>
        <w:rPr>
          <w:rFonts w:ascii="Google Sans" w:eastAsia="Google Sans" w:hAnsi="Google Sans" w:cs="Google Sans"/>
          <w:i/>
          <w:iCs/>
          <w:color w:val="1F1F1F"/>
        </w:rPr>
        <w:t>Managing</w:t>
      </w:r>
      <w:proofErr w:type="spellEnd"/>
      <w:r>
        <w:rPr>
          <w:rFonts w:ascii="Google Sans" w:eastAsia="Google Sans" w:hAnsi="Google Sans" w:cs="Google Sans"/>
          <w:i/>
          <w:iCs/>
          <w:color w:val="1F1F1F"/>
        </w:rPr>
        <w:t xml:space="preserve"> Energy, </w:t>
      </w:r>
      <w:proofErr w:type="spellStart"/>
      <w:r>
        <w:rPr>
          <w:rFonts w:ascii="Google Sans" w:eastAsia="Google Sans" w:hAnsi="Google Sans" w:cs="Google Sans"/>
          <w:i/>
          <w:iCs/>
          <w:color w:val="1F1F1F"/>
        </w:rPr>
        <w:t>not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Volume</w:t>
      </w:r>
      <w:proofErr w:type="spellEnd"/>
      <w:r>
        <w:rPr>
          <w:rFonts w:ascii="Google Sans" w:eastAsia="Google Sans" w:hAnsi="Google Sans" w:cs="Google Sans"/>
          <w:color w:val="1F1F1F"/>
        </w:rPr>
        <w:t>.</w:t>
      </w:r>
    </w:p>
    <w:p w14:paraId="00000022" w14:textId="77777777" w:rsidR="00A1583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 xml:space="preserve">Siemens Energy (2025). </w:t>
      </w:r>
      <w:proofErr w:type="spellStart"/>
      <w:r>
        <w:rPr>
          <w:rFonts w:ascii="Google Sans" w:eastAsia="Google Sans" w:hAnsi="Google Sans" w:cs="Google Sans"/>
          <w:i/>
          <w:iCs/>
          <w:color w:val="1F1F1F"/>
        </w:rPr>
        <w:t>Actionable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Innovation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Roadmaps</w:t>
      </w:r>
      <w:proofErr w:type="spellEnd"/>
      <w:r>
        <w:rPr>
          <w:rFonts w:ascii="Google Sans" w:eastAsia="Google Sans" w:hAnsi="Google Sans" w:cs="Google Sans"/>
          <w:i/>
          <w:iCs/>
          <w:color w:val="1F1F1F"/>
        </w:rPr>
        <w:t xml:space="preserve">: ROI </w:t>
      </w:r>
      <w:proofErr w:type="spellStart"/>
      <w:r>
        <w:rPr>
          <w:rFonts w:ascii="Google Sans" w:eastAsia="Google Sans" w:hAnsi="Google Sans" w:cs="Google Sans"/>
          <w:i/>
          <w:iCs/>
          <w:color w:val="1F1F1F"/>
        </w:rPr>
        <w:t>of</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Structured</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Processes</w:t>
      </w:r>
      <w:proofErr w:type="spellEnd"/>
      <w:r>
        <w:rPr>
          <w:rFonts w:ascii="Google Sans" w:eastAsia="Google Sans" w:hAnsi="Google Sans" w:cs="Google Sans"/>
          <w:color w:val="1F1F1F"/>
        </w:rPr>
        <w:t>.</w:t>
      </w:r>
    </w:p>
    <w:p w14:paraId="00000023" w14:textId="20159C39" w:rsidR="00A422A2" w:rsidRDefault="00000000" w:rsidP="00A422A2">
      <w:pPr>
        <w:numPr>
          <w:ilvl w:val="0"/>
          <w:numId w:val="8"/>
        </w:numPr>
        <w:pBdr>
          <w:top w:val="nil"/>
          <w:left w:val="nil"/>
          <w:bottom w:val="nil"/>
          <w:right w:val="nil"/>
          <w:between w:val="nil"/>
        </w:pBdr>
        <w:spacing w:after="120" w:line="275" w:lineRule="auto"/>
      </w:pPr>
      <w:proofErr w:type="spellStart"/>
      <w:r>
        <w:rPr>
          <w:rFonts w:ascii="Google Sans" w:eastAsia="Google Sans" w:hAnsi="Google Sans" w:cs="Google Sans"/>
          <w:color w:val="1F1F1F"/>
        </w:rPr>
        <w:t>Lichtenthaler</w:t>
      </w:r>
      <w:proofErr w:type="spellEnd"/>
      <w:r>
        <w:rPr>
          <w:rFonts w:ascii="Google Sans" w:eastAsia="Google Sans" w:hAnsi="Google Sans" w:cs="Google Sans"/>
          <w:color w:val="1F1F1F"/>
        </w:rPr>
        <w:t xml:space="preserve">, U. (2025). </w:t>
      </w:r>
      <w:proofErr w:type="spellStart"/>
      <w:r>
        <w:rPr>
          <w:rFonts w:ascii="Google Sans" w:eastAsia="Google Sans" w:hAnsi="Google Sans" w:cs="Google Sans"/>
          <w:i/>
          <w:iCs/>
          <w:color w:val="1F1F1F"/>
        </w:rPr>
        <w:t>Navigating</w:t>
      </w:r>
      <w:proofErr w:type="spellEnd"/>
      <w:r>
        <w:rPr>
          <w:rFonts w:ascii="Google Sans" w:eastAsia="Google Sans" w:hAnsi="Google Sans" w:cs="Google Sans"/>
          <w:i/>
          <w:iCs/>
          <w:color w:val="1F1F1F"/>
        </w:rPr>
        <w:t xml:space="preserve"> a PUMO World: </w:t>
      </w:r>
      <w:proofErr w:type="spellStart"/>
      <w:r>
        <w:rPr>
          <w:rFonts w:ascii="Google Sans" w:eastAsia="Google Sans" w:hAnsi="Google Sans" w:cs="Google Sans"/>
          <w:i/>
          <w:iCs/>
          <w:color w:val="1F1F1F"/>
        </w:rPr>
        <w:t>Strategy</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beyond</w:t>
      </w:r>
      <w:proofErr w:type="spellEnd"/>
      <w:r>
        <w:rPr>
          <w:rFonts w:ascii="Google Sans" w:eastAsia="Google Sans" w:hAnsi="Google Sans" w:cs="Google Sans"/>
          <w:i/>
          <w:iCs/>
          <w:color w:val="1F1F1F"/>
        </w:rPr>
        <w:t xml:space="preserve"> VUCA and BANI</w:t>
      </w:r>
      <w:r>
        <w:rPr>
          <w:rFonts w:ascii="Google Sans" w:eastAsia="Google Sans" w:hAnsi="Google Sans" w:cs="Google Sans"/>
          <w:color w:val="1F1F1F"/>
        </w:rPr>
        <w:t>.</w:t>
      </w:r>
      <w:r w:rsidR="00A422A2">
        <w:t xml:space="preserve"> </w:t>
      </w:r>
    </w:p>
    <w:p w14:paraId="0000005B" w14:textId="3F387DFA" w:rsidR="00A15833" w:rsidRDefault="00A15833" w:rsidP="00A422A2">
      <w:pPr>
        <w:pBdr>
          <w:top w:val="nil"/>
          <w:left w:val="nil"/>
          <w:bottom w:val="nil"/>
          <w:right w:val="nil"/>
          <w:between w:val="nil"/>
        </w:pBdr>
      </w:pPr>
    </w:p>
    <w:sectPr w:rsidR="00A1583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09E7B80-6F7A-4064-8E0F-4F27A89B6913}"/>
  </w:font>
  <w:font w:name="Google Sans">
    <w:charset w:val="00"/>
    <w:family w:val="auto"/>
    <w:pitch w:val="default"/>
    <w:embedRegular r:id="rId2" w:fontKey="{778F2C08-A9B8-4C79-9E48-E15BAB689B01}"/>
    <w:embedBold r:id="rId3" w:fontKey="{488AA73F-1E9D-45BD-90BB-6D2A1FDF2BCA}"/>
    <w:embedItalic r:id="rId4" w:fontKey="{F3B2794B-9A5F-48AA-8A84-306CDD48D9A6}"/>
  </w:font>
  <w:font w:name="Calibri">
    <w:panose1 w:val="020F0502020204030204"/>
    <w:charset w:val="00"/>
    <w:family w:val="swiss"/>
    <w:pitch w:val="variable"/>
    <w:sig w:usb0="E4002EFF" w:usb1="C200247B" w:usb2="00000009" w:usb3="00000000" w:csb0="000001FF" w:csb1="00000000"/>
    <w:embedRegular r:id="rId5" w:fontKey="{9C8C5E34-F171-403B-A76C-435862CA46C0}"/>
  </w:font>
  <w:font w:name="Cambria">
    <w:panose1 w:val="02040503050406030204"/>
    <w:charset w:val="00"/>
    <w:family w:val="roman"/>
    <w:pitch w:val="variable"/>
    <w:sig w:usb0="E00006FF" w:usb1="420024FF" w:usb2="02000000" w:usb3="00000000" w:csb0="0000019F" w:csb1="00000000"/>
    <w:embedRegular r:id="rId6" w:fontKey="{09CB0E05-2E92-4AE7-9574-8AF53B9C5D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18B"/>
    <w:multiLevelType w:val="multilevel"/>
    <w:tmpl w:val="1BEA2F8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D03B3B"/>
    <w:multiLevelType w:val="multilevel"/>
    <w:tmpl w:val="1DA46B7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C555A2"/>
    <w:multiLevelType w:val="multilevel"/>
    <w:tmpl w:val="DF2EA15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9F061FF"/>
    <w:multiLevelType w:val="multilevel"/>
    <w:tmpl w:val="82E2796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FE5069A"/>
    <w:multiLevelType w:val="multilevel"/>
    <w:tmpl w:val="D67283C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F64686"/>
    <w:multiLevelType w:val="multilevel"/>
    <w:tmpl w:val="96E2D72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CB1658A"/>
    <w:multiLevelType w:val="multilevel"/>
    <w:tmpl w:val="7494BC4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6497E8B"/>
    <w:multiLevelType w:val="multilevel"/>
    <w:tmpl w:val="E0E0B0F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E677238"/>
    <w:multiLevelType w:val="multilevel"/>
    <w:tmpl w:val="24D09B5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D995FE5"/>
    <w:multiLevelType w:val="multilevel"/>
    <w:tmpl w:val="62189DB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3C06639"/>
    <w:multiLevelType w:val="multilevel"/>
    <w:tmpl w:val="C4EE76F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6FA3429"/>
    <w:multiLevelType w:val="multilevel"/>
    <w:tmpl w:val="6F28D9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7C920C2"/>
    <w:multiLevelType w:val="multilevel"/>
    <w:tmpl w:val="C24EE6B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8DB4D77"/>
    <w:multiLevelType w:val="multilevel"/>
    <w:tmpl w:val="1E2A7E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BCA4BB4"/>
    <w:multiLevelType w:val="multilevel"/>
    <w:tmpl w:val="19901EF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65B2E92"/>
    <w:multiLevelType w:val="multilevel"/>
    <w:tmpl w:val="8DB4B6D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FB86C56"/>
    <w:multiLevelType w:val="multilevel"/>
    <w:tmpl w:val="E5E05F8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23152773">
    <w:abstractNumId w:val="6"/>
  </w:num>
  <w:num w:numId="2" w16cid:durableId="1801416564">
    <w:abstractNumId w:val="1"/>
  </w:num>
  <w:num w:numId="3" w16cid:durableId="881215949">
    <w:abstractNumId w:val="3"/>
  </w:num>
  <w:num w:numId="4" w16cid:durableId="1600412058">
    <w:abstractNumId w:val="4"/>
  </w:num>
  <w:num w:numId="5" w16cid:durableId="572934250">
    <w:abstractNumId w:val="7"/>
  </w:num>
  <w:num w:numId="6" w16cid:durableId="1193689563">
    <w:abstractNumId w:val="12"/>
  </w:num>
  <w:num w:numId="7" w16cid:durableId="21252833">
    <w:abstractNumId w:val="9"/>
  </w:num>
  <w:num w:numId="8" w16cid:durableId="622226579">
    <w:abstractNumId w:val="13"/>
  </w:num>
  <w:num w:numId="9" w16cid:durableId="1645232531">
    <w:abstractNumId w:val="14"/>
  </w:num>
  <w:num w:numId="10" w16cid:durableId="1488932108">
    <w:abstractNumId w:val="10"/>
  </w:num>
  <w:num w:numId="11" w16cid:durableId="944382142">
    <w:abstractNumId w:val="16"/>
  </w:num>
  <w:num w:numId="12" w16cid:durableId="1615791845">
    <w:abstractNumId w:val="11"/>
  </w:num>
  <w:num w:numId="13" w16cid:durableId="363943811">
    <w:abstractNumId w:val="5"/>
  </w:num>
  <w:num w:numId="14" w16cid:durableId="964582519">
    <w:abstractNumId w:val="15"/>
  </w:num>
  <w:num w:numId="15" w16cid:durableId="1732922610">
    <w:abstractNumId w:val="8"/>
  </w:num>
  <w:num w:numId="16" w16cid:durableId="785659217">
    <w:abstractNumId w:val="2"/>
  </w:num>
  <w:num w:numId="17" w16cid:durableId="102290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833"/>
    <w:rsid w:val="008E54F8"/>
    <w:rsid w:val="00A15833"/>
    <w:rsid w:val="00A422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A5C6"/>
  <w15:docId w15:val="{41BFC6E5-F48E-4633-B923-07FAD1E9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492</Words>
  <Characters>2706</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2026-07-24T21:36:00Z</dcterms:created>
  <dcterms:modified xsi:type="dcterms:W3CDTF">2026-07-24T21:36:00Z</dcterms:modified>
</cp:coreProperties>
</file>