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2747" w14:textId="615E07EB" w:rsidR="00ED0BBD" w:rsidRDefault="00ED0BBD" w:rsidP="00ED0BBD">
      <w:r>
        <w:t>Tema3: Estrategias de intervención para fortalecer la identidad cultural y el compromiso laboral.</w:t>
      </w:r>
    </w:p>
    <w:p w14:paraId="57B4799D" w14:textId="77777777" w:rsidR="00ED0BBD" w:rsidRPr="00ED0BBD" w:rsidRDefault="00ED0BBD" w:rsidP="00ED0BBD"/>
    <w:p w14:paraId="00000027" w14:textId="77777777" w:rsidR="001621BB"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28" w14:textId="77777777" w:rsidR="001621BB"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intervención en cultura requiere pasar de los discursos a los hábitos. Este subtema aborda estrategias de intervención en procesos humanos y </w:t>
      </w:r>
      <w:proofErr w:type="spellStart"/>
      <w:r>
        <w:rPr>
          <w:rFonts w:ascii="Google Sans" w:eastAsia="Google Sans" w:hAnsi="Google Sans" w:cs="Google Sans"/>
          <w:color w:val="1F1F1F"/>
        </w:rPr>
        <w:t>tecnoestructurales</w:t>
      </w:r>
      <w:proofErr w:type="spellEnd"/>
      <w:r>
        <w:rPr>
          <w:rFonts w:ascii="Google Sans" w:eastAsia="Google Sans" w:hAnsi="Google Sans" w:cs="Google Sans"/>
          <w:color w:val="1F1F1F"/>
        </w:rPr>
        <w:t xml:space="preserve">, centradas en el </w:t>
      </w:r>
      <w:proofErr w:type="spellStart"/>
      <w:r>
        <w:rPr>
          <w:rFonts w:ascii="Google Sans" w:eastAsia="Google Sans" w:hAnsi="Google Sans" w:cs="Google Sans"/>
          <w:b/>
          <w:bCs/>
          <w:color w:val="1F1F1F"/>
        </w:rPr>
        <w:t>storytelling</w:t>
      </w:r>
      <w:proofErr w:type="spellEnd"/>
      <w:r>
        <w:rPr>
          <w:rFonts w:ascii="Google Sans" w:eastAsia="Google Sans" w:hAnsi="Google Sans" w:cs="Google Sans"/>
          <w:color w:val="1F1F1F"/>
        </w:rPr>
        <w:t>, los rituales corporativos y la alineación de propósitos. El especialista aprenderá a actuar como un "curador de la cultura", asegurando que los líderes no solo prediquen valores, sino que los ejemplifiquen en cada decisión operativa, especialmente ante la llegada de equipos híbridos y colaboraciones con agentes de IA.</w:t>
      </w:r>
    </w:p>
    <w:p w14:paraId="00000029" w14:textId="77777777" w:rsidR="001621BB"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2A" w14:textId="77777777" w:rsidR="001621B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 xml:space="preserve">Diseñar estrategias de comunicación interna y </w:t>
      </w:r>
      <w:proofErr w:type="spellStart"/>
      <w:r>
        <w:rPr>
          <w:rFonts w:ascii="Google Sans" w:eastAsia="Google Sans" w:hAnsi="Google Sans" w:cs="Google Sans"/>
          <w:color w:val="1F1F1F"/>
        </w:rPr>
        <w:t>storytelling</w:t>
      </w:r>
      <w:proofErr w:type="spellEnd"/>
      <w:r>
        <w:rPr>
          <w:rFonts w:ascii="Google Sans" w:eastAsia="Google Sans" w:hAnsi="Google Sans" w:cs="Google Sans"/>
          <w:color w:val="1F1F1F"/>
        </w:rPr>
        <w:t xml:space="preserve"> que conviertan el propósito organizacional en una narrativa movilizadora para el colaborador.</w:t>
      </w:r>
    </w:p>
    <w:p w14:paraId="0000002B" w14:textId="77777777" w:rsidR="001621BB"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Implementar prácticas de recordación, repetición y rituales como mecanismos para anclar nuevos comportamientos en el ADN de la empresa.</w:t>
      </w:r>
    </w:p>
    <w:p w14:paraId="0000002C" w14:textId="77777777" w:rsidR="001621BB"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Desarrollar modelos de intervención de alto rendimiento que orquesten la colaboración entre humanos y agentes autónomos de IA para el 2026.</w:t>
      </w:r>
    </w:p>
    <w:p w14:paraId="0000002D" w14:textId="77777777" w:rsidR="001621BB"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2E" w14:textId="77777777" w:rsidR="001621B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 xml:space="preserve">Parte 1: </w:t>
      </w:r>
      <w:proofErr w:type="spellStart"/>
      <w:r>
        <w:rPr>
          <w:rFonts w:ascii="Google Sans" w:eastAsia="Google Sans" w:hAnsi="Google Sans" w:cs="Google Sans"/>
          <w:b/>
          <w:bCs/>
          <w:color w:val="1F1F1F"/>
        </w:rPr>
        <w:t>Storytelling</w:t>
      </w:r>
      <w:proofErr w:type="spellEnd"/>
      <w:r>
        <w:rPr>
          <w:rFonts w:ascii="Google Sans" w:eastAsia="Google Sans" w:hAnsi="Google Sans" w:cs="Google Sans"/>
          <w:b/>
          <w:bCs/>
          <w:color w:val="1F1F1F"/>
        </w:rPr>
        <w:t xml:space="preserve"> y Propósito como Eje de Identidad:</w:t>
      </w:r>
      <w:r>
        <w:rPr>
          <w:rFonts w:ascii="Google Sans" w:eastAsia="Google Sans" w:hAnsi="Google Sans" w:cs="Google Sans"/>
          <w:color w:val="1F1F1F"/>
        </w:rPr>
        <w:t xml:space="preserve"> El propósito organizacional ya no puede ser un enunciado pasivo en la recepción. En 2026, la identidad cultural se fortalece a través del </w:t>
      </w:r>
      <w:proofErr w:type="spellStart"/>
      <w:r>
        <w:rPr>
          <w:rFonts w:ascii="Google Sans" w:eastAsia="Google Sans" w:hAnsi="Google Sans" w:cs="Google Sans"/>
          <w:color w:val="1F1F1F"/>
        </w:rPr>
        <w:t>storytelling</w:t>
      </w:r>
      <w:proofErr w:type="spellEnd"/>
      <w:r>
        <w:rPr>
          <w:rFonts w:ascii="Google Sans" w:eastAsia="Google Sans" w:hAnsi="Google Sans" w:cs="Google Sans"/>
          <w:color w:val="1F1F1F"/>
        </w:rPr>
        <w:t xml:space="preserve"> estratégico: la capacidad de narrar historias reales que conecten los valores de la empresa con la experiencia diaria del empleado. Los líderes deben ser entrenados para comunicar no solo el "qué" hacemos, sino el "por qué" lo hacemos, enfrentando preocupaciones de forma abierta y transparente. Las organizaciones que logran esta conexión ven un incremento del 63% en el compromiso de su fuerza laboral.</w:t>
      </w:r>
    </w:p>
    <w:p w14:paraId="0000002F" w14:textId="77777777" w:rsidR="001621BB"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Parte 2: Ritualización y Sostenibilidad del Cambio Cultural:</w:t>
      </w:r>
      <w:r>
        <w:rPr>
          <w:rFonts w:ascii="Google Sans" w:eastAsia="Google Sans" w:hAnsi="Google Sans" w:cs="Google Sans"/>
          <w:color w:val="1F1F1F"/>
        </w:rPr>
        <w:t xml:space="preserve"> Según Ibáñez, los rituales son el "pegamento emocional" de la cultura; son acciones simbólicas que transforman valores en experiencias inolvidables. La intervención exitosa se basa en tres pilares: </w:t>
      </w:r>
      <w:r>
        <w:rPr>
          <w:rFonts w:ascii="Google Sans" w:eastAsia="Google Sans" w:hAnsi="Google Sans" w:cs="Google Sans"/>
          <w:b/>
          <w:bCs/>
          <w:color w:val="1F1F1F"/>
        </w:rPr>
        <w:t>1) Recordación</w:t>
      </w:r>
      <w:r>
        <w:rPr>
          <w:rFonts w:ascii="Google Sans" w:eastAsia="Google Sans" w:hAnsi="Google Sans" w:cs="Google Sans"/>
          <w:color w:val="1F1F1F"/>
        </w:rPr>
        <w:t xml:space="preserve"> (mantener visibles los estándares); </w:t>
      </w:r>
      <w:r>
        <w:rPr>
          <w:rFonts w:ascii="Google Sans" w:eastAsia="Google Sans" w:hAnsi="Google Sans" w:cs="Google Sans"/>
          <w:b/>
          <w:bCs/>
          <w:color w:val="1F1F1F"/>
        </w:rPr>
        <w:t>2) Repetición</w:t>
      </w:r>
      <w:r>
        <w:rPr>
          <w:rFonts w:ascii="Google Sans" w:eastAsia="Google Sans" w:hAnsi="Google Sans" w:cs="Google Sans"/>
          <w:color w:val="1F1F1F"/>
        </w:rPr>
        <w:t xml:space="preserve"> (convertir los valores en hábitos diarios); y </w:t>
      </w:r>
      <w:r>
        <w:rPr>
          <w:rFonts w:ascii="Google Sans" w:eastAsia="Google Sans" w:hAnsi="Google Sans" w:cs="Google Sans"/>
          <w:b/>
          <w:bCs/>
          <w:color w:val="1F1F1F"/>
        </w:rPr>
        <w:t>3) Rituales</w:t>
      </w:r>
      <w:r>
        <w:rPr>
          <w:rFonts w:ascii="Google Sans" w:eastAsia="Google Sans" w:hAnsi="Google Sans" w:cs="Google Sans"/>
          <w:color w:val="1F1F1F"/>
        </w:rPr>
        <w:t xml:space="preserve"> (celebrar logros y anclar conductas). El especialista debe asegurar que estos rituales no sean obligaciones vacías, sino espacios genuinos de reconocimiento que mitiguen el miedo a la incertidumbre y refuercen la confianza, factor determinante en las organizaciones de alto rendimiento.</w:t>
      </w:r>
    </w:p>
    <w:p w14:paraId="00000030" w14:textId="77777777" w:rsidR="001621BB"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Parte 3: Intervenciones en la Era de la Orquestación Humano-IA:</w:t>
      </w:r>
      <w:r>
        <w:rPr>
          <w:rFonts w:ascii="Google Sans" w:eastAsia="Google Sans" w:hAnsi="Google Sans" w:cs="Google Sans"/>
          <w:color w:val="1F1F1F"/>
        </w:rPr>
        <w:t xml:space="preserve"> Para el 2026, la cultura debe integrar la "</w:t>
      </w:r>
      <w:proofErr w:type="spellStart"/>
      <w:r>
        <w:rPr>
          <w:rFonts w:ascii="Google Sans" w:eastAsia="Google Sans" w:hAnsi="Google Sans" w:cs="Google Sans"/>
          <w:color w:val="1F1F1F"/>
        </w:rPr>
        <w:t>agentización</w:t>
      </w:r>
      <w:proofErr w:type="spellEnd"/>
      <w:r>
        <w:rPr>
          <w:rFonts w:ascii="Google Sans" w:eastAsia="Google Sans" w:hAnsi="Google Sans" w:cs="Google Sans"/>
          <w:color w:val="1F1F1F"/>
        </w:rPr>
        <w:t xml:space="preserve">" del trabajo. El rediseño estructural debe permitir que agentes autónomos de IA compartan objetivos con las personas, liberando hasta un 25% del tiempo de los colaboradores para enfocarse en tareas de valor estratégico. Las estrategias de intervención deben centrarse en reducir la "resistencia organizacional" </w:t>
      </w:r>
      <w:r>
        <w:rPr>
          <w:rFonts w:ascii="Google Sans" w:eastAsia="Google Sans" w:hAnsi="Google Sans" w:cs="Google Sans"/>
          <w:color w:val="1F1F1F"/>
        </w:rPr>
        <w:lastRenderedPageBreak/>
        <w:t>mediante estructuras más planas y procesos democráticos de toma de decisiones. La clave será el liderazgo emocional y consciente, capaz de gestionar la ansiedad que provoca la tecnología y transformarla en una ventaja competitiva de colaboración aumentada.</w:t>
      </w:r>
    </w:p>
    <w:p w14:paraId="00000031" w14:textId="77777777" w:rsidR="001621BB"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32" w14:textId="77777777" w:rsidR="001621B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 xml:space="preserve">Kotter, J. P. (2025). </w:t>
      </w:r>
      <w:r>
        <w:rPr>
          <w:rFonts w:ascii="Google Sans" w:eastAsia="Google Sans" w:hAnsi="Google Sans" w:cs="Google Sans"/>
          <w:i/>
          <w:iCs/>
          <w:color w:val="1F1F1F"/>
        </w:rPr>
        <w:t>Los 8 pasos para la gestión del cambio en la empresa</w:t>
      </w:r>
      <w:r>
        <w:rPr>
          <w:rFonts w:ascii="Google Sans" w:eastAsia="Google Sans" w:hAnsi="Google Sans" w:cs="Google Sans"/>
          <w:color w:val="1F1F1F"/>
        </w:rPr>
        <w:t>.</w:t>
      </w:r>
    </w:p>
    <w:p w14:paraId="00000033" w14:textId="77777777" w:rsidR="001621B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 xml:space="preserve">Ibáñez, J. (2026). </w:t>
      </w:r>
      <w:r>
        <w:rPr>
          <w:rFonts w:ascii="Google Sans" w:eastAsia="Google Sans" w:hAnsi="Google Sans" w:cs="Google Sans"/>
          <w:i/>
          <w:iCs/>
          <w:color w:val="1F1F1F"/>
        </w:rPr>
        <w:t>Rituales y Recordación: La base de la cultura real</w:t>
      </w:r>
      <w:r>
        <w:rPr>
          <w:rFonts w:ascii="Google Sans" w:eastAsia="Google Sans" w:hAnsi="Google Sans" w:cs="Google Sans"/>
          <w:color w:val="1F1F1F"/>
        </w:rPr>
        <w:t>.</w:t>
      </w:r>
    </w:p>
    <w:p w14:paraId="00000034" w14:textId="77777777" w:rsidR="001621BB"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 xml:space="preserve">Great Place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Work (2026). </w:t>
      </w:r>
      <w:r>
        <w:rPr>
          <w:rFonts w:ascii="Google Sans" w:eastAsia="Google Sans" w:hAnsi="Google Sans" w:cs="Google Sans"/>
          <w:i/>
          <w:iCs/>
          <w:color w:val="1F1F1F"/>
        </w:rPr>
        <w:t>Tendencias RRHH: El rostro humano de la IA</w:t>
      </w:r>
      <w:r>
        <w:rPr>
          <w:rFonts w:ascii="Google Sans" w:eastAsia="Google Sans" w:hAnsi="Google Sans" w:cs="Google Sans"/>
          <w:color w:val="1F1F1F"/>
        </w:rPr>
        <w:t>.</w:t>
      </w:r>
    </w:p>
    <w:p w14:paraId="00000035" w14:textId="4398A775" w:rsidR="00ED0BBD" w:rsidRDefault="00000000" w:rsidP="00ED0BBD">
      <w:pPr>
        <w:numPr>
          <w:ilvl w:val="0"/>
          <w:numId w:val="10"/>
        </w:num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PwC (2025). </w:t>
      </w:r>
      <w:r>
        <w:rPr>
          <w:rFonts w:ascii="Google Sans" w:eastAsia="Google Sans" w:hAnsi="Google Sans" w:cs="Google Sans"/>
          <w:i/>
          <w:iCs/>
          <w:color w:val="1F1F1F"/>
        </w:rPr>
        <w:t xml:space="preserve">HR </w:t>
      </w:r>
      <w:proofErr w:type="spellStart"/>
      <w:r>
        <w:rPr>
          <w:rFonts w:ascii="Google Sans" w:eastAsia="Google Sans" w:hAnsi="Google Sans" w:cs="Google Sans"/>
          <w:i/>
          <w:iCs/>
          <w:color w:val="1F1F1F"/>
        </w:rPr>
        <w:t>Transformation</w:t>
      </w:r>
      <w:proofErr w:type="spellEnd"/>
      <w:r>
        <w:rPr>
          <w:rFonts w:ascii="Google Sans" w:eastAsia="Google Sans" w:hAnsi="Google Sans" w:cs="Google Sans"/>
          <w:i/>
          <w:iCs/>
          <w:color w:val="1F1F1F"/>
        </w:rPr>
        <w:t>: Cultura y agilidad del cambio</w:t>
      </w:r>
      <w:r>
        <w:rPr>
          <w:rFonts w:ascii="Google Sans" w:eastAsia="Google Sans" w:hAnsi="Google Sans" w:cs="Google Sans"/>
          <w:color w:val="1F1F1F"/>
        </w:rPr>
        <w:t>.</w:t>
      </w:r>
    </w:p>
    <w:p w14:paraId="0000005C" w14:textId="6F629C22" w:rsidR="001621BB" w:rsidRDefault="001621BB">
      <w:pPr>
        <w:pBdr>
          <w:top w:val="nil"/>
          <w:left w:val="nil"/>
          <w:bottom w:val="nil"/>
          <w:right w:val="nil"/>
          <w:between w:val="nil"/>
        </w:pBdr>
        <w:spacing w:before="240" w:after="150" w:line="275" w:lineRule="auto"/>
        <w:rPr>
          <w:rFonts w:ascii="Google Sans" w:eastAsia="Google Sans" w:hAnsi="Google Sans" w:cs="Google Sans"/>
          <w:color w:val="1F1F1F"/>
        </w:rPr>
      </w:pPr>
    </w:p>
    <w:sectPr w:rsidR="001621B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E6D4664-F59D-4FC9-8184-4C6AEA49C243}"/>
  </w:font>
  <w:font w:name="Google Sans">
    <w:charset w:val="00"/>
    <w:family w:val="auto"/>
    <w:pitch w:val="default"/>
    <w:embedRegular r:id="rId2" w:fontKey="{A30D7B42-64C2-40C6-8288-E8A31800ACBD}"/>
    <w:embedBold r:id="rId3" w:fontKey="{0E0A891E-6922-4A4A-B556-3377FF2652F1}"/>
    <w:embedItalic r:id="rId4" w:fontKey="{0CB38CCA-04A7-4021-B136-7F3D069ABBF4}"/>
  </w:font>
  <w:font w:name="Calibri">
    <w:panose1 w:val="020F0502020204030204"/>
    <w:charset w:val="00"/>
    <w:family w:val="swiss"/>
    <w:pitch w:val="variable"/>
    <w:sig w:usb0="E4002EFF" w:usb1="C200247B" w:usb2="00000009" w:usb3="00000000" w:csb0="000001FF" w:csb1="00000000"/>
    <w:embedRegular r:id="rId5" w:fontKey="{23BB8A04-C539-4258-92B2-7CA987B86D6C}"/>
  </w:font>
  <w:font w:name="Cambria">
    <w:panose1 w:val="02040503050406030204"/>
    <w:charset w:val="00"/>
    <w:family w:val="roman"/>
    <w:pitch w:val="variable"/>
    <w:sig w:usb0="E00006FF" w:usb1="420024FF" w:usb2="02000000" w:usb3="00000000" w:csb0="0000019F" w:csb1="00000000"/>
    <w:embedRegular r:id="rId6" w:fontKey="{3C046120-78E8-4067-883A-816699CEE1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518"/>
    <w:multiLevelType w:val="multilevel"/>
    <w:tmpl w:val="78468D6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7D4263"/>
    <w:multiLevelType w:val="multilevel"/>
    <w:tmpl w:val="34B0A56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3191DBB"/>
    <w:multiLevelType w:val="multilevel"/>
    <w:tmpl w:val="8B26C00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CE2594D"/>
    <w:multiLevelType w:val="multilevel"/>
    <w:tmpl w:val="30FEE12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FB12065"/>
    <w:multiLevelType w:val="multilevel"/>
    <w:tmpl w:val="1234BA4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5406599"/>
    <w:multiLevelType w:val="multilevel"/>
    <w:tmpl w:val="B20AA9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DE9196E"/>
    <w:multiLevelType w:val="multilevel"/>
    <w:tmpl w:val="5EE6239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00764B8"/>
    <w:multiLevelType w:val="multilevel"/>
    <w:tmpl w:val="5CA225A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31E51CB"/>
    <w:multiLevelType w:val="multilevel"/>
    <w:tmpl w:val="55EA7D2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3503C74"/>
    <w:multiLevelType w:val="multilevel"/>
    <w:tmpl w:val="EBB2963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3D541A7"/>
    <w:multiLevelType w:val="multilevel"/>
    <w:tmpl w:val="E24C07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0C744F2"/>
    <w:multiLevelType w:val="multilevel"/>
    <w:tmpl w:val="7820C99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3957873"/>
    <w:multiLevelType w:val="multilevel"/>
    <w:tmpl w:val="321CAB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5A63A5B"/>
    <w:multiLevelType w:val="multilevel"/>
    <w:tmpl w:val="E7F441B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90B5CDE"/>
    <w:multiLevelType w:val="multilevel"/>
    <w:tmpl w:val="099E69E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C175549"/>
    <w:multiLevelType w:val="multilevel"/>
    <w:tmpl w:val="30B854A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56268202">
    <w:abstractNumId w:val="6"/>
  </w:num>
  <w:num w:numId="2" w16cid:durableId="629897201">
    <w:abstractNumId w:val="15"/>
  </w:num>
  <w:num w:numId="3" w16cid:durableId="328560384">
    <w:abstractNumId w:val="12"/>
  </w:num>
  <w:num w:numId="4" w16cid:durableId="853958377">
    <w:abstractNumId w:val="5"/>
  </w:num>
  <w:num w:numId="5" w16cid:durableId="1132753945">
    <w:abstractNumId w:val="11"/>
  </w:num>
  <w:num w:numId="6" w16cid:durableId="1860773">
    <w:abstractNumId w:val="1"/>
  </w:num>
  <w:num w:numId="7" w16cid:durableId="1432432062">
    <w:abstractNumId w:val="13"/>
  </w:num>
  <w:num w:numId="8" w16cid:durableId="1467972465">
    <w:abstractNumId w:val="4"/>
  </w:num>
  <w:num w:numId="9" w16cid:durableId="1324241454">
    <w:abstractNumId w:val="9"/>
  </w:num>
  <w:num w:numId="10" w16cid:durableId="878321440">
    <w:abstractNumId w:val="0"/>
  </w:num>
  <w:num w:numId="11" w16cid:durableId="1237975874">
    <w:abstractNumId w:val="8"/>
  </w:num>
  <w:num w:numId="12" w16cid:durableId="387804388">
    <w:abstractNumId w:val="14"/>
  </w:num>
  <w:num w:numId="13" w16cid:durableId="291446392">
    <w:abstractNumId w:val="10"/>
  </w:num>
  <w:num w:numId="14" w16cid:durableId="834807403">
    <w:abstractNumId w:val="7"/>
  </w:num>
  <w:num w:numId="15" w16cid:durableId="1418746928">
    <w:abstractNumId w:val="2"/>
  </w:num>
  <w:num w:numId="16" w16cid:durableId="669405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1BB"/>
    <w:rsid w:val="001621BB"/>
    <w:rsid w:val="008415B2"/>
    <w:rsid w:val="00ED0B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82669"/>
  <w15:docId w15:val="{EAC69945-B46F-4AB4-9B5F-915C9D79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2855</Characters>
  <Application>Microsoft Office Word</Application>
  <DocSecurity>0</DocSecurity>
  <Lines>23</Lines>
  <Paragraphs>6</Paragraphs>
  <ScaleCrop>false</ScaleCrop>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2026-07-22T20:44:00Z</dcterms:created>
  <dcterms:modified xsi:type="dcterms:W3CDTF">2026-07-22T20:44:00Z</dcterms:modified>
</cp:coreProperties>
</file>