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D3C6D" w14:textId="77777777" w:rsidR="00BF5E32" w:rsidRDefault="00BF5E32" w:rsidP="00BF5E32"/>
    <w:p w14:paraId="7D5A3052" w14:textId="77777777" w:rsidR="00BF5E32" w:rsidRDefault="00BF5E32" w:rsidP="00BF5E32"/>
    <w:p w14:paraId="6A4F512D" w14:textId="24E5CF45" w:rsidR="00BF5E32" w:rsidRPr="00BF5E32" w:rsidRDefault="00BF5E32" w:rsidP="00BF5E32">
      <w:pPr>
        <w:rPr>
          <w:b/>
          <w:bCs/>
          <w:sz w:val="24"/>
          <w:szCs w:val="24"/>
        </w:rPr>
      </w:pPr>
      <w:r w:rsidRPr="00BF5E32">
        <w:rPr>
          <w:b/>
          <w:bCs/>
          <w:sz w:val="24"/>
          <w:szCs w:val="24"/>
        </w:rPr>
        <w:t>Tema 4: Mejora de Procesos y Autoaprendizaje Organizacional</w:t>
      </w:r>
    </w:p>
    <w:p w14:paraId="534B2C47" w14:textId="77777777" w:rsidR="00BF5E32" w:rsidRPr="00BF5E32" w:rsidRDefault="00BF5E32" w:rsidP="00BF5E32">
      <w:pPr>
        <w:rPr>
          <w:b/>
          <w:bCs/>
          <w:sz w:val="24"/>
          <w:szCs w:val="24"/>
        </w:rPr>
      </w:pPr>
    </w:p>
    <w:p w14:paraId="283313BC" w14:textId="77777777" w:rsidR="00BF5E32" w:rsidRPr="00BF5E32" w:rsidRDefault="00BF5E32" w:rsidP="00BF5E32">
      <w:pPr>
        <w:rPr>
          <w:b/>
          <w:bCs/>
          <w:sz w:val="24"/>
          <w:szCs w:val="24"/>
        </w:rPr>
      </w:pPr>
    </w:p>
    <w:p w14:paraId="00000035" w14:textId="77777777" w:rsidR="00BD6AEC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Introducción:</w:t>
      </w:r>
    </w:p>
    <w:p w14:paraId="00000036" w14:textId="77777777" w:rsidR="00BD6AEC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La excelencia operacional depende de la capacidad de la organización para aprender de su propia práctica. Este subtema integra la mejora de procesos con la teoría del aprendizaje organizacional de </w:t>
      </w:r>
      <w:r>
        <w:rPr>
          <w:rFonts w:ascii="Google Sans" w:eastAsia="Google Sans" w:hAnsi="Google Sans" w:cs="Google Sans"/>
          <w:b/>
          <w:bCs/>
          <w:color w:val="1F1F1F"/>
        </w:rPr>
        <w:t>Argyris y Schön</w:t>
      </w:r>
      <w:r>
        <w:rPr>
          <w:rFonts w:ascii="Google Sans" w:eastAsia="Google Sans" w:hAnsi="Google Sans" w:cs="Google Sans"/>
          <w:color w:val="1F1F1F"/>
        </w:rPr>
        <w:t>. El especialista aprenderá la diferencia crucial entre el aprendizaje de "bucle simple" (corregir errores) y el de "bucle doble" (cuestionar los valores que causaron el error). Se analiza cómo construir una "Organización Inteligente" capaz de autogestionar su conocimiento y evolucionar sus procedimientos de forma autónoma.</w:t>
      </w:r>
    </w:p>
    <w:p w14:paraId="00000037" w14:textId="77777777" w:rsidR="00BD6AEC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Objetivos de Aprendizaje:</w:t>
      </w:r>
    </w:p>
    <w:p w14:paraId="00000038" w14:textId="77777777" w:rsidR="00BD6AEC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Implementar metodologías de mejora continua que incorporen ciclos de retroalimentación de bucle doble para una transformación profunda.</w:t>
      </w:r>
    </w:p>
    <w:p w14:paraId="00000039" w14:textId="77777777" w:rsidR="00BD6AEC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Identificar y mitigar "rutinas defensivas" que bloquean el aprendizaje colectivo y la innovación en los procesos.</w:t>
      </w:r>
    </w:p>
    <w:p w14:paraId="0000003A" w14:textId="77777777" w:rsidR="00BD6AEC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Diseñar infraestructuras de aprendizaje en el flujo de trabajo que fomenten la autonomía y la creación de conocimiento organizacional.</w:t>
      </w:r>
    </w:p>
    <w:p w14:paraId="0000003B" w14:textId="77777777" w:rsidR="00BD6AE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Contenido:</w:t>
      </w:r>
    </w:p>
    <w:p w14:paraId="0000003C" w14:textId="77777777" w:rsidR="00BD6AE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Parte 1: Ciclos de Aprendizaje de Argyris y Schön:</w:t>
      </w:r>
      <w:r>
        <w:rPr>
          <w:rFonts w:ascii="Google Sans" w:eastAsia="Google Sans" w:hAnsi="Google Sans" w:cs="Google Sans"/>
          <w:color w:val="1F1F1F"/>
        </w:rPr>
        <w:t xml:space="preserve"> El aprendizaje organizacional ocurre cuando los desajustes entre intenciones y resultados son detectados y corregidos. El </w:t>
      </w:r>
      <w:r>
        <w:rPr>
          <w:rFonts w:ascii="Google Sans" w:eastAsia="Google Sans" w:hAnsi="Google Sans" w:cs="Google Sans"/>
          <w:b/>
          <w:bCs/>
          <w:color w:val="1F1F1F"/>
        </w:rPr>
        <w:t>Aprendizaje de Bucle Simple</w:t>
      </w:r>
      <w:r>
        <w:rPr>
          <w:rFonts w:ascii="Google Sans" w:eastAsia="Google Sans" w:hAnsi="Google Sans" w:cs="Google Sans"/>
          <w:color w:val="1F1F1F"/>
        </w:rPr>
        <w:t xml:space="preserve"> es reactivo: se ajusta la acción para cumplir la norma sin cuestionarla (ej. bajar precios por baja de ventas). El </w:t>
      </w:r>
      <w:r>
        <w:rPr>
          <w:rFonts w:ascii="Google Sans" w:eastAsia="Google Sans" w:hAnsi="Google Sans" w:cs="Google Sans"/>
          <w:b/>
          <w:bCs/>
          <w:color w:val="1F1F1F"/>
        </w:rPr>
        <w:t>Aprendizaje de Bucle Doble</w:t>
      </w:r>
      <w:r>
        <w:rPr>
          <w:rFonts w:ascii="Google Sans" w:eastAsia="Google Sans" w:hAnsi="Google Sans" w:cs="Google Sans"/>
          <w:color w:val="1F1F1F"/>
        </w:rPr>
        <w:t xml:space="preserve"> es reflexivo y transformador: se cuestionan los supuestos y objetivos mismos (ej. preguntarse si el modelo de negocio sigue siendo válido). El especialista debe incentivar este segundo nivel de aprendizaje para atacar las causas raíz de los problemas operativos y permitir que la organización se reinvente ante los desafíos de la era digital y la inteligencia artificial.</w:t>
      </w:r>
    </w:p>
    <w:p w14:paraId="0000003D" w14:textId="77777777" w:rsidR="00BD6AE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Parte 2: Teoría en Uso vs. Teoría Declarada:</w:t>
      </w:r>
      <w:r>
        <w:rPr>
          <w:rFonts w:ascii="Google Sans" w:eastAsia="Google Sans" w:hAnsi="Google Sans" w:cs="Google Sans"/>
          <w:color w:val="1F1F1F"/>
        </w:rPr>
        <w:t xml:space="preserve"> Existe a menudo una brecha entre lo que las organizaciones dicen que hacen (</w:t>
      </w:r>
      <w:r>
        <w:rPr>
          <w:rFonts w:ascii="Google Sans" w:eastAsia="Google Sans" w:hAnsi="Google Sans" w:cs="Google Sans"/>
          <w:b/>
          <w:bCs/>
          <w:color w:val="1F1F1F"/>
        </w:rPr>
        <w:t>Teoría Declarada</w:t>
      </w:r>
      <w:r>
        <w:rPr>
          <w:rFonts w:ascii="Google Sans" w:eastAsia="Google Sans" w:hAnsi="Google Sans" w:cs="Google Sans"/>
          <w:color w:val="1F1F1F"/>
        </w:rPr>
        <w:t>) y lo que realmente guía sus decisiones (</w:t>
      </w:r>
      <w:r>
        <w:rPr>
          <w:rFonts w:ascii="Google Sans" w:eastAsia="Google Sans" w:hAnsi="Google Sans" w:cs="Google Sans"/>
          <w:b/>
          <w:bCs/>
          <w:color w:val="1F1F1F"/>
        </w:rPr>
        <w:t>Teoría en Uso</w:t>
      </w:r>
      <w:r>
        <w:rPr>
          <w:rFonts w:ascii="Google Sans" w:eastAsia="Google Sans" w:hAnsi="Google Sans" w:cs="Google Sans"/>
          <w:color w:val="1F1F1F"/>
        </w:rPr>
        <w:t xml:space="preserve">). Las "rutinas defensivas" son comportamientos diseñados para evitar la incomodidad o el conflicto, pero que perpetúan el error y bloquean el aprendizaje. El especialista actúa como un facilitador que promueve la </w:t>
      </w:r>
      <w:r>
        <w:rPr>
          <w:rFonts w:ascii="Google Sans" w:eastAsia="Google Sans" w:hAnsi="Google Sans" w:cs="Google Sans"/>
          <w:b/>
          <w:bCs/>
          <w:color w:val="1F1F1F"/>
        </w:rPr>
        <w:t>comunicación abierta, la reflexión crítica y la participación colaborativa</w:t>
      </w:r>
      <w:r>
        <w:rPr>
          <w:rFonts w:ascii="Google Sans" w:eastAsia="Google Sans" w:hAnsi="Google Sans" w:cs="Google Sans"/>
          <w:color w:val="1F1F1F"/>
        </w:rPr>
        <w:t>, ayudando a los equipos a "desaprender" creencias limitantes. Este enfoque humanístico considera al individuo como el eje central y la palanca que impulsa el éxito organizacional a través de su energía psicológica y potencial.</w:t>
      </w:r>
    </w:p>
    <w:p w14:paraId="0000003E" w14:textId="77777777" w:rsidR="00BD6AE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Parte 3: Construcción de Organizaciones Inteligentes:</w:t>
      </w:r>
      <w:r>
        <w:rPr>
          <w:rFonts w:ascii="Google Sans" w:eastAsia="Google Sans" w:hAnsi="Google Sans" w:cs="Google Sans"/>
          <w:color w:val="1F1F1F"/>
        </w:rPr>
        <w:t xml:space="preserve"> Una organización inteligente </w:t>
      </w:r>
      <w:r>
        <w:rPr>
          <w:rFonts w:ascii="Google Sans" w:eastAsia="Google Sans" w:hAnsi="Google Sans" w:cs="Google Sans"/>
          <w:color w:val="1F1F1F"/>
        </w:rPr>
        <w:lastRenderedPageBreak/>
        <w:t xml:space="preserve">es aquella donde la gente expande continuamente su aptitud para crear los resultados que desea. Según Peter Senge, esto requiere dominar cinco disciplinas: </w:t>
      </w:r>
      <w:r>
        <w:rPr>
          <w:rFonts w:ascii="Google Sans" w:eastAsia="Google Sans" w:hAnsi="Google Sans" w:cs="Google Sans"/>
          <w:b/>
          <w:bCs/>
          <w:color w:val="1F1F1F"/>
        </w:rPr>
        <w:t>Pensamiento Sistémico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b/>
          <w:bCs/>
          <w:color w:val="1F1F1F"/>
        </w:rPr>
        <w:t>Dominio Personal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b/>
          <w:bCs/>
          <w:color w:val="1F1F1F"/>
        </w:rPr>
        <w:t>Modelos Mentales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b/>
          <w:bCs/>
          <w:color w:val="1F1F1F"/>
        </w:rPr>
        <w:t>Visión Compartida</w:t>
      </w:r>
      <w:r>
        <w:rPr>
          <w:rFonts w:ascii="Google Sans" w:eastAsia="Google Sans" w:hAnsi="Google Sans" w:cs="Google Sans"/>
          <w:color w:val="1F1F1F"/>
        </w:rPr>
        <w:t xml:space="preserve"> y </w:t>
      </w:r>
      <w:r>
        <w:rPr>
          <w:rFonts w:ascii="Google Sans" w:eastAsia="Google Sans" w:hAnsi="Google Sans" w:cs="Google Sans"/>
          <w:b/>
          <w:bCs/>
          <w:color w:val="1F1F1F"/>
        </w:rPr>
        <w:t>Aprendizaje en Equipo</w:t>
      </w:r>
      <w:r>
        <w:rPr>
          <w:rFonts w:ascii="Google Sans" w:eastAsia="Google Sans" w:hAnsi="Google Sans" w:cs="Google Sans"/>
          <w:color w:val="1F1F1F"/>
        </w:rPr>
        <w:t>. El diseño de procesos debe integrar herramientas tecnológicas que faciliten el aprendizaje social y las comunidades de práctica. En la Universidad de Córdoba, el autoaprendizaje se traduce en una mejora continua de la calidad educativa, donde el conocimiento individual de docentes y administrativos se convierte en patrimonio colectivo institucional para el desarrollo regional.</w:t>
      </w:r>
    </w:p>
    <w:p w14:paraId="0000003F" w14:textId="77777777" w:rsidR="00BD6AE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Referencias para ampliación:</w:t>
      </w:r>
    </w:p>
    <w:p w14:paraId="00000040" w14:textId="77777777" w:rsidR="00BD6AEC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Argyris, C., &amp; Schön, D. A. (1974). 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Theory in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Practice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Increasing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Professional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Effectiveness</w:t>
      </w:r>
      <w:proofErr w:type="spellEnd"/>
      <w:r>
        <w:rPr>
          <w:rFonts w:ascii="Google Sans" w:eastAsia="Google Sans" w:hAnsi="Google Sans" w:cs="Google Sans"/>
          <w:color w:val="1F1F1F"/>
        </w:rPr>
        <w:t>. Jossey-Bass.</w:t>
      </w:r>
    </w:p>
    <w:p w14:paraId="00000041" w14:textId="77777777" w:rsidR="00BD6AEC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Senge, P. M. (1990). </w:t>
      </w:r>
      <w:r>
        <w:rPr>
          <w:rFonts w:ascii="Google Sans" w:eastAsia="Google Sans" w:hAnsi="Google Sans" w:cs="Google Sans"/>
          <w:i/>
          <w:iCs/>
          <w:color w:val="1F1F1F"/>
        </w:rPr>
        <w:t>La Quinta Disciplina</w:t>
      </w:r>
      <w:r>
        <w:rPr>
          <w:rFonts w:ascii="Google Sans" w:eastAsia="Google Sans" w:hAnsi="Google Sans" w:cs="Google Sans"/>
          <w:color w:val="1F1F1F"/>
        </w:rPr>
        <w:t>. Ediciones Granica.</w:t>
      </w:r>
    </w:p>
    <w:p w14:paraId="00000042" w14:textId="77777777" w:rsidR="00BD6AEC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MentorDay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(2025). </w:t>
      </w:r>
      <w:r>
        <w:rPr>
          <w:rFonts w:ascii="Google Sans" w:eastAsia="Google Sans" w:hAnsi="Google Sans" w:cs="Google Sans"/>
          <w:i/>
          <w:iCs/>
          <w:color w:val="1F1F1F"/>
        </w:rPr>
        <w:t>Aprendizaje de Doble Bucle: Modelos de Reflexión para el Cambio</w:t>
      </w:r>
      <w:r>
        <w:rPr>
          <w:rFonts w:ascii="Google Sans" w:eastAsia="Google Sans" w:hAnsi="Google Sans" w:cs="Google Sans"/>
          <w:color w:val="1F1F1F"/>
        </w:rPr>
        <w:t>.</w:t>
      </w:r>
    </w:p>
    <w:p w14:paraId="3621EF8A" w14:textId="77777777" w:rsidR="00BF5E32" w:rsidRPr="00BF5E32" w:rsidRDefault="00000000" w:rsidP="00BF5E3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ConARH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Blog. (2024). </w:t>
      </w:r>
      <w:r>
        <w:rPr>
          <w:rFonts w:ascii="Google Sans" w:eastAsia="Google Sans" w:hAnsi="Google Sans" w:cs="Google Sans"/>
          <w:i/>
          <w:iCs/>
          <w:color w:val="1F1F1F"/>
        </w:rPr>
        <w:t>El Modelo de Aprendizaje Organizacional de Argyris</w:t>
      </w:r>
      <w:r>
        <w:rPr>
          <w:rFonts w:ascii="Google Sans" w:eastAsia="Google Sans" w:hAnsi="Google Sans" w:cs="Google Sans"/>
          <w:color w:val="1F1F1F"/>
        </w:rPr>
        <w:t>.</w:t>
      </w:r>
      <w:r>
        <w:pict w14:anchorId="5B5A363B">
          <v:rect id="_x0000_i1030" style="width:0;height:1.5pt" o:hralign="center" o:hrstd="t" o:hr="t" fillcolor="#a0a0a0" stroked="f"/>
        </w:pict>
      </w:r>
    </w:p>
    <w:p w14:paraId="1C97D531" w14:textId="77777777" w:rsidR="00BF5E32" w:rsidRDefault="00BF5E32" w:rsidP="00BF5E3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210"/>
        <w:rPr>
          <w:rFonts w:ascii="Google Sans" w:eastAsia="Google Sans" w:hAnsi="Google Sans" w:cs="Google Sans"/>
          <w:color w:val="1F1F1F"/>
        </w:rPr>
      </w:pPr>
    </w:p>
    <w:p w14:paraId="63B79799" w14:textId="77777777" w:rsidR="00BF5E32" w:rsidRDefault="00BF5E32" w:rsidP="00BF5E3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210"/>
        <w:rPr>
          <w:rFonts w:ascii="Google Sans" w:eastAsia="Google Sans" w:hAnsi="Google Sans" w:cs="Google Sans"/>
          <w:color w:val="1F1F1F"/>
        </w:rPr>
      </w:pPr>
    </w:p>
    <w:p w14:paraId="00000054" w14:textId="07DA7B44" w:rsidR="00BD6AEC" w:rsidRPr="00BF5E32" w:rsidRDefault="00000000" w:rsidP="00BF5E3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210"/>
        <w:rPr>
          <w:rFonts w:ascii="Google Sans" w:eastAsia="Google Sans" w:hAnsi="Google Sans" w:cs="Google Sans"/>
          <w:color w:val="1F1F1F"/>
        </w:rPr>
      </w:pPr>
      <w:r w:rsidRPr="00BF5E32">
        <w:rPr>
          <w:rFonts w:ascii="Google Sans" w:eastAsia="Google Sans" w:hAnsi="Google Sans" w:cs="Google Sans"/>
          <w:color w:val="1F1F1F"/>
        </w:rPr>
        <w:t xml:space="preserve">Integración con Google </w:t>
      </w:r>
      <w:proofErr w:type="spellStart"/>
      <w:r w:rsidRPr="00BF5E32">
        <w:rPr>
          <w:rFonts w:ascii="Google Sans" w:eastAsia="Google Sans" w:hAnsi="Google Sans" w:cs="Google Sans"/>
          <w:color w:val="1F1F1F"/>
        </w:rPr>
        <w:t>Docs</w:t>
      </w:r>
      <w:proofErr w:type="spellEnd"/>
      <w:r w:rsidRPr="00BF5E32">
        <w:rPr>
          <w:rFonts w:ascii="Google Sans" w:eastAsia="Google Sans" w:hAnsi="Google Sans" w:cs="Google Sans"/>
          <w:color w:val="1F1F1F"/>
        </w:rPr>
        <w:t xml:space="preserve"> y Guía Práctica</w:t>
      </w:r>
    </w:p>
    <w:p w14:paraId="00000055" w14:textId="77777777" w:rsidR="00BD6AEC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Este material de la </w:t>
      </w:r>
      <w:r>
        <w:rPr>
          <w:rFonts w:ascii="Google Sans" w:eastAsia="Google Sans" w:hAnsi="Google Sans" w:cs="Google Sans"/>
          <w:b/>
          <w:bCs/>
          <w:color w:val="1F1F1F"/>
        </w:rPr>
        <w:t>Unidad 02</w:t>
      </w:r>
      <w:r>
        <w:rPr>
          <w:rFonts w:ascii="Google Sans" w:eastAsia="Google Sans" w:hAnsi="Google Sans" w:cs="Google Sans"/>
          <w:color w:val="1F1F1F"/>
        </w:rPr>
        <w:t xml:space="preserve"> sirve como guía técnica para el desarrollo del </w:t>
      </w:r>
      <w:r>
        <w:rPr>
          <w:rFonts w:ascii="Google Sans" w:eastAsia="Google Sans" w:hAnsi="Google Sans" w:cs="Google Sans"/>
          <w:b/>
          <w:bCs/>
          <w:color w:val="1F1F1F"/>
        </w:rPr>
        <w:t>Cuerpo de la Propuesta de Intervención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56" w14:textId="77777777" w:rsidR="00BD6AEC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Actividades Sugeridas en el Aula Virtual:</w:t>
      </w:r>
    </w:p>
    <w:p w14:paraId="00000057" w14:textId="77777777" w:rsidR="00BD6A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Simulacro de Diseño Organizacional:</w:t>
      </w:r>
      <w:r>
        <w:rPr>
          <w:rFonts w:ascii="Google Sans" w:eastAsia="Google Sans" w:hAnsi="Google Sans" w:cs="Google Sans"/>
          <w:color w:val="1F1F1F"/>
        </w:rPr>
        <w:t xml:space="preserve"> El estudiante debe proponer una red de equipos autónomos para una unidad funcional de su empresa, eliminando un nivel jerárquico.</w:t>
      </w:r>
    </w:p>
    <w:p w14:paraId="00000058" w14:textId="77777777" w:rsidR="00BD6A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Taller de Gestión del Cambio:</w:t>
      </w:r>
      <w:r>
        <w:rPr>
          <w:rFonts w:ascii="Google Sans" w:eastAsia="Google Sans" w:hAnsi="Google Sans" w:cs="Google Sans"/>
          <w:color w:val="1F1F1F"/>
        </w:rPr>
        <w:t xml:space="preserve"> Creación de un plan de comunicación de 5 hitos para una transformación digital basada en los primeros 4 pasos de Kotter.</w:t>
      </w:r>
    </w:p>
    <w:p w14:paraId="00000059" w14:textId="77777777" w:rsidR="00BD6A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Análisis de Caso (Argyris):</w:t>
      </w:r>
      <w:r>
        <w:rPr>
          <w:rFonts w:ascii="Google Sans" w:eastAsia="Google Sans" w:hAnsi="Google Sans" w:cs="Google Sans"/>
          <w:color w:val="1F1F1F"/>
        </w:rPr>
        <w:t xml:space="preserve"> Identificar un caso de "aprendizaje de bucle simple" en su entorno laboral y proponer la intervención para convertirlo en "bucle doble".</w:t>
      </w:r>
    </w:p>
    <w:p w14:paraId="0000005A" w14:textId="77777777" w:rsidR="00BD6AE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Este diseño asegura que el especialista de la Universidad de Córdoba no solo aprenda conceptos, sino que adquiera las destrezas operativas y humanas para transformar positivamente sus organizaciones.</w:t>
      </w:r>
    </w:p>
    <w:sectPr w:rsidR="00BD6AE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DE7C7062-3203-422E-A4C7-D3CC25D0DE0B}"/>
  </w:font>
  <w:font w:name="Google Sans">
    <w:charset w:val="00"/>
    <w:family w:val="auto"/>
    <w:pitch w:val="default"/>
    <w:embedRegular r:id="rId2" w:fontKey="{1CDDDC4E-9C08-46E8-929A-5CFABE224C1F}"/>
    <w:embedBold r:id="rId3" w:fontKey="{02F7F632-4CEB-4E0F-962B-539E436C7BB9}"/>
    <w:embedItalic r:id="rId4" w:fontKey="{BCF6C168-726D-4AE1-AD35-3818E4A1EE6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6BC0ED6-A6D7-4382-9EF6-738DCBB715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9DFA796-B281-4C69-84FC-AB5A9042E1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B95633B"/>
    <w:multiLevelType w:val="hybridMultilevel"/>
    <w:tmpl w:val="3BB6203C"/>
    <w:lvl w:ilvl="0" w:tplc="DD90634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4AEB58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D8295B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F528E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AC8A8F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D504F6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CFE33E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980049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A41D7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0576110"/>
    <w:multiLevelType w:val="multilevel"/>
    <w:tmpl w:val="BDA047E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8C96752"/>
    <w:multiLevelType w:val="multilevel"/>
    <w:tmpl w:val="1DFEE6C6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A750ED2"/>
    <w:multiLevelType w:val="multilevel"/>
    <w:tmpl w:val="8CEA840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51D22C3"/>
    <w:multiLevelType w:val="multilevel"/>
    <w:tmpl w:val="7DAA420A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B5838B2"/>
    <w:multiLevelType w:val="multilevel"/>
    <w:tmpl w:val="93AE1D98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DC539C0"/>
    <w:multiLevelType w:val="multilevel"/>
    <w:tmpl w:val="8208168C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E380999"/>
    <w:multiLevelType w:val="multilevel"/>
    <w:tmpl w:val="B968691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6BD5F52"/>
    <w:multiLevelType w:val="multilevel"/>
    <w:tmpl w:val="2164765A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6BD65BD"/>
    <w:multiLevelType w:val="multilevel"/>
    <w:tmpl w:val="8C8A23C8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B291009"/>
    <w:multiLevelType w:val="multilevel"/>
    <w:tmpl w:val="9AA43458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FAA4609"/>
    <w:multiLevelType w:val="multilevel"/>
    <w:tmpl w:val="1FE27E12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875115C"/>
    <w:multiLevelType w:val="multilevel"/>
    <w:tmpl w:val="5C3C010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A4C2926"/>
    <w:multiLevelType w:val="multilevel"/>
    <w:tmpl w:val="831AE968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4A231EB"/>
    <w:multiLevelType w:val="multilevel"/>
    <w:tmpl w:val="93D0108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81A4388"/>
    <w:multiLevelType w:val="multilevel"/>
    <w:tmpl w:val="800EF7D0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79E920CE"/>
    <w:multiLevelType w:val="multilevel"/>
    <w:tmpl w:val="57F00A9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29191304">
    <w:abstractNumId w:val="15"/>
  </w:num>
  <w:num w:numId="2" w16cid:durableId="561139105">
    <w:abstractNumId w:val="13"/>
  </w:num>
  <w:num w:numId="3" w16cid:durableId="1483498781">
    <w:abstractNumId w:val="12"/>
  </w:num>
  <w:num w:numId="4" w16cid:durableId="674765710">
    <w:abstractNumId w:val="14"/>
  </w:num>
  <w:num w:numId="5" w16cid:durableId="1833063619">
    <w:abstractNumId w:val="11"/>
  </w:num>
  <w:num w:numId="6" w16cid:durableId="1676760152">
    <w:abstractNumId w:val="5"/>
  </w:num>
  <w:num w:numId="7" w16cid:durableId="723796437">
    <w:abstractNumId w:val="16"/>
  </w:num>
  <w:num w:numId="8" w16cid:durableId="283813">
    <w:abstractNumId w:val="9"/>
  </w:num>
  <w:num w:numId="9" w16cid:durableId="543103197">
    <w:abstractNumId w:val="3"/>
  </w:num>
  <w:num w:numId="10" w16cid:durableId="656541849">
    <w:abstractNumId w:val="10"/>
  </w:num>
  <w:num w:numId="11" w16cid:durableId="605500572">
    <w:abstractNumId w:val="6"/>
  </w:num>
  <w:num w:numId="12" w16cid:durableId="414598563">
    <w:abstractNumId w:val="4"/>
  </w:num>
  <w:num w:numId="13" w16cid:durableId="1219904679">
    <w:abstractNumId w:val="7"/>
  </w:num>
  <w:num w:numId="14" w16cid:durableId="285241422">
    <w:abstractNumId w:val="2"/>
  </w:num>
  <w:num w:numId="15" w16cid:durableId="80757387">
    <w:abstractNumId w:val="1"/>
  </w:num>
  <w:num w:numId="16" w16cid:durableId="1997950183">
    <w:abstractNumId w:val="8"/>
  </w:num>
  <w:num w:numId="17" w16cid:durableId="570232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AEC"/>
    <w:rsid w:val="003B070A"/>
    <w:rsid w:val="00BD6AEC"/>
    <w:rsid w:val="00BF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72592"/>
  <w15:docId w15:val="{D1445E0C-CCAC-4231-96C1-415CD13A3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BF5E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680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Monica Maria Trochez Arboleda</dc:creator>
  <cp:lastModifiedBy>Cristina Isabel Madera Gomez</cp:lastModifiedBy>
  <cp:revision>2</cp:revision>
  <dcterms:created xsi:type="dcterms:W3CDTF">2026-06-23T20:49:00Z</dcterms:created>
  <dcterms:modified xsi:type="dcterms:W3CDTF">2026-06-23T20:49:00Z</dcterms:modified>
</cp:coreProperties>
</file>