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299981e1bec75a3ad2aad8ca91f97c6bbf75c3"/>
    <w:p>
      <w:pPr>
        <w:pStyle w:val="Heading1"/>
      </w:pPr>
      <w:r>
        <w:t xml:space="preserve">Curso: Psicología Organizacional y Bienestar Humano</w:t>
      </w:r>
    </w:p>
    <w:bookmarkStart w:id="20" w:name="Xacf0f6f8a5591d828f35c941f1deb556f511917"/>
    <w:p>
      <w:pPr>
        <w:pStyle w:val="Heading2"/>
      </w:pPr>
      <w:r>
        <w:t xml:space="preserve">Unidad 2: Gestión de la Cultura Organizacional y Clima Laboral</w:t>
      </w:r>
    </w:p>
    <w:p>
      <w:pPr>
        <w:pStyle w:val="FirstParagraph"/>
      </w:pPr>
      <w:r>
        <w:t xml:space="preserve">La Unidad 2 profundiza en los activos intangibles más críticos de la organización: su personalidad (Cultura) y su estado de ánimo (Clima). En el horizonte de 2026, el especialista debe trascender el papel de observador para convertirse en un gestor activo de la</w:t>
      </w:r>
      <w:r>
        <w:t xml:space="preserve"> </w:t>
      </w:r>
      <w:r>
        <w:t xml:space="preserve">“</w:t>
      </w:r>
      <w:r>
        <w:t xml:space="preserve">agilidad cultural</w:t>
      </w:r>
      <w:r>
        <w:t xml:space="preserve">”</w:t>
      </w:r>
      <w:r>
        <w:t xml:space="preserve">, asegurando que los valores declarados se vivan en la práctica operativa diaria y que el ambiente de trabajo sea un motor de alto rendimiento y compromiso psicológico.</w:t>
      </w:r>
    </w:p>
    <w:p>
      <w:pPr>
        <w:pStyle w:val="BodyText"/>
      </w:pPr>
      <w:r>
        <w:rPr>
          <w:bCs/>
          <w:b/>
        </w:rPr>
        <w:t xml:space="preserve">Tema 5: Implementación de planes de mejora en clima laboral orientados al bienestar integral</w:t>
      </w:r>
    </w:p>
    <w:bookmarkEnd w:id="20"/>
    <w:bookmarkStart w:id="21" w:name="introducción"/>
    <w:p>
      <w:pPr>
        <w:pStyle w:val="Heading2"/>
      </w:pPr>
      <w:r>
        <w:t xml:space="preserve">Introducción</w:t>
      </w:r>
    </w:p>
    <w:p>
      <w:pPr>
        <w:pStyle w:val="FirstParagraph"/>
      </w:pPr>
      <w:r>
        <w:t xml:space="preserve">El plan de mejora es la culminación práctica de la intervención organizacional. En 2026, el bienestar laboral ha dejado de ser un beneficio extra para convertirse en una decisión de eficiencia basada en datos. Este subtema aborda el diseño de programas holísticos bajo el</w:t>
      </w:r>
      <w:r>
        <w:t xml:space="preserve"> </w:t>
      </w:r>
      <w:r>
        <w:rPr>
          <w:bCs/>
          <w:b/>
        </w:rPr>
        <w:t xml:space="preserve">Modelo PERMA</w:t>
      </w:r>
      <w:r>
        <w:t xml:space="preserve"> </w:t>
      </w:r>
      <w:r>
        <w:t xml:space="preserve">de Seligman y el concepto de</w:t>
      </w:r>
      <w:r>
        <w:t xml:space="preserve"> </w:t>
      </w:r>
      <w:r>
        <w:t xml:space="preserve">“</w:t>
      </w:r>
      <w:r>
        <w:t xml:space="preserve">Ruta de la Felicidad</w:t>
      </w:r>
      <w:r>
        <w:t xml:space="preserve">”</w:t>
      </w:r>
      <w:r>
        <w:t xml:space="preserve">, integrando salud mental, flexibilidad radical y desconexión digital como pilares de la sostenibilidad organizacional.</w:t>
      </w:r>
    </w:p>
    <w:bookmarkEnd w:id="21"/>
    <w:bookmarkStart w:id="22" w:name="contenido"/>
    <w:p>
      <w:pPr>
        <w:pStyle w:val="Heading2"/>
      </w:pPr>
      <w:r>
        <w:t xml:space="preserve">Contenido</w:t>
      </w:r>
    </w:p>
    <w:p>
      <w:pPr>
        <w:pStyle w:val="FirstParagraph"/>
      </w:pPr>
      <w:r>
        <w:rPr>
          <w:bCs/>
          <w:b/>
        </w:rPr>
        <w:t xml:space="preserve">Parte 1: El Modelo PERMA y el Bienestar Estratégico</w:t>
      </w:r>
    </w:p>
    <w:p>
      <w:pPr>
        <w:pStyle w:val="BodyText"/>
      </w:pPr>
      <w:r>
        <w:t xml:space="preserve">El bienestar en el trabajo no se resuelve solo con actividades recreativas; requiere un enfoque estructural. El</w:t>
      </w:r>
      <w:r>
        <w:t xml:space="preserve"> </w:t>
      </w:r>
      <w:r>
        <w:rPr>
          <w:bCs/>
          <w:b/>
        </w:rPr>
        <w:t xml:space="preserve">Modelo PERMA</w:t>
      </w:r>
      <w:r>
        <w:t xml:space="preserve"> </w:t>
      </w:r>
      <w:r>
        <w:t xml:space="preserve">propone cinco pilares:</w:t>
      </w:r>
      <w:r>
        <w:t xml:space="preserve"> </w:t>
      </w:r>
      <w:r>
        <w:rPr>
          <w:bCs/>
          <w:b/>
        </w:rPr>
        <w:t xml:space="preserve">P</w:t>
      </w:r>
      <w:r>
        <w:t xml:space="preserve">ositive Emotions (emociones positivas);</w:t>
      </w:r>
      <w:r>
        <w:t xml:space="preserve"> </w:t>
      </w:r>
      <w:r>
        <w:rPr>
          <w:bCs/>
          <w:b/>
        </w:rPr>
        <w:t xml:space="preserve">E</w:t>
      </w:r>
      <w:r>
        <w:t xml:space="preserve">ngagement (involucramiento profundo);</w:t>
      </w:r>
      <w:r>
        <w:t xml:space="preserve"> </w:t>
      </w:r>
      <w:r>
        <w:rPr>
          <w:bCs/>
          <w:b/>
        </w:rPr>
        <w:t xml:space="preserve">R</w:t>
      </w:r>
      <w:r>
        <w:t xml:space="preserve">elationships (vínculos de confianza);</w:t>
      </w:r>
      <w:r>
        <w:t xml:space="preserve"> </w:t>
      </w:r>
      <w:r>
        <w:rPr>
          <w:bCs/>
          <w:b/>
        </w:rPr>
        <w:t xml:space="preserve">M</w:t>
      </w:r>
      <w:r>
        <w:t xml:space="preserve">eaning (sentido de propósito); y</w:t>
      </w:r>
      <w:r>
        <w:t xml:space="preserve"> </w:t>
      </w:r>
      <w:r>
        <w:rPr>
          <w:bCs/>
          <w:b/>
        </w:rPr>
        <w:t xml:space="preserve">A</w:t>
      </w:r>
      <w:r>
        <w:t xml:space="preserve">ccomplishment (sensación de logro). El especialista debe diseñar intervenciones que permitan al individuo experimentar autonomía y desafío intelectual, asegurando que el trabajo no solo sea productivo, sino que dignifique y transforme al ser humano, tal como lo promueve la psicología positiva moderna.</w:t>
      </w:r>
    </w:p>
    <w:p>
      <w:pPr>
        <w:pStyle w:val="BodyText"/>
      </w:pPr>
      <w:r>
        <w:rPr>
          <w:bCs/>
          <w:b/>
        </w:rPr>
        <w:t xml:space="preserve">Parte 2: La</w:t>
      </w:r>
      <w:r>
        <w:rPr>
          <w:bCs/>
          <w:b/>
        </w:rPr>
        <w:t xml:space="preserve"> </w:t>
      </w:r>
      <w:r>
        <w:rPr>
          <w:bCs/>
          <w:b/>
        </w:rPr>
        <w:t xml:space="preserve">“</w:t>
      </w:r>
      <w:r>
        <w:rPr>
          <w:bCs/>
          <w:b/>
        </w:rPr>
        <w:t xml:space="preserve">Ruta de la Felicidad</w:t>
      </w:r>
      <w:r>
        <w:rPr>
          <w:bCs/>
          <w:b/>
        </w:rPr>
        <w:t xml:space="preserve">”</w:t>
      </w:r>
      <w:r>
        <w:rPr>
          <w:bCs/>
          <w:b/>
        </w:rPr>
        <w:t xml:space="preserve"> </w:t>
      </w:r>
      <w:r>
        <w:rPr>
          <w:bCs/>
          <w:b/>
        </w:rPr>
        <w:t xml:space="preserve">y el Salario Emocional</w:t>
      </w:r>
    </w:p>
    <w:p>
      <w:pPr>
        <w:pStyle w:val="BodyText"/>
      </w:pPr>
      <w:r>
        <w:t xml:space="preserve">Las organizaciones líderes en Colombia (ej. DIAN 2026) están implementando planes nacionales de bienestar basados en</w:t>
      </w:r>
      <w:r>
        <w:t xml:space="preserve"> </w:t>
      </w:r>
      <w:r>
        <w:t xml:space="preserve">“</w:t>
      </w:r>
      <w:r>
        <w:t xml:space="preserve">Rutas de Creación de Valor</w:t>
      </w:r>
      <w:r>
        <w:t xml:space="preserve">”</w:t>
      </w:r>
      <w:r>
        <w:t xml:space="preserve">. La</w:t>
      </w:r>
      <w:r>
        <w:t xml:space="preserve"> </w:t>
      </w:r>
      <w:r>
        <w:rPr>
          <w:bCs/>
          <w:b/>
        </w:rPr>
        <w:t xml:space="preserve">Ruta de la Felicidad</w:t>
      </w:r>
      <w:r>
        <w:t xml:space="preserve"> </w:t>
      </w:r>
      <w:r>
        <w:t xml:space="preserve">incluye: equilibrio vida-trabajo, planes de incentivos no monetarios (salario emocional) y hábitos saludables. El diseño debe ser inclusivo, asegurando que las acciones de bienestar impacten también al núcleo familiar e integren políticas de diversidad y equidad para mitigar riesgos psicosociales y reducir el absentismo, que en sectores críticos alcanza hasta el 34% por causas de salud mental.</w:t>
      </w:r>
    </w:p>
    <w:p>
      <w:pPr>
        <w:pStyle w:val="BodyText"/>
      </w:pPr>
      <w:r>
        <w:rPr>
          <w:bCs/>
          <w:b/>
        </w:rPr>
        <w:t xml:space="preserve">Parte 3: Flexibilidad Real y Desconexión Digital en 2026</w:t>
      </w:r>
    </w:p>
    <w:p>
      <w:pPr>
        <w:pStyle w:val="BodyText"/>
      </w:pPr>
      <w:r>
        <w:t xml:space="preserve">Hacia el 2026, la flexibilidad ya no significa solo teletrabajo, sino</w:t>
      </w:r>
      <w:r>
        <w:t xml:space="preserve"> </w:t>
      </w:r>
      <w:r>
        <w:rPr>
          <w:bCs/>
          <w:b/>
        </w:rPr>
        <w:t xml:space="preserve">autonomía real</w:t>
      </w:r>
      <w:r>
        <w:t xml:space="preserve"> </w:t>
      </w:r>
      <w:r>
        <w:t xml:space="preserve">para administrar la energía personal y los resultados. Los planes de mejora deben incorporar la</w:t>
      </w:r>
      <w:r>
        <w:t xml:space="preserve"> </w:t>
      </w:r>
      <w:r>
        <w:t xml:space="preserve">“</w:t>
      </w:r>
      <w:r>
        <w:t xml:space="preserve">presencialidad estratégica</w:t>
      </w:r>
      <w:r>
        <w:t xml:space="preserve">”</w:t>
      </w:r>
      <w:r>
        <w:t xml:space="preserve">, reservando la oficina solo para actividades de co-creación y conexión humana. Es imperativo establecer protocolos de</w:t>
      </w:r>
      <w:r>
        <w:t xml:space="preserve"> </w:t>
      </w:r>
      <w:r>
        <w:rPr>
          <w:bCs/>
          <w:b/>
        </w:rPr>
        <w:t xml:space="preserve">desconexión digital</w:t>
      </w:r>
      <w:r>
        <w:t xml:space="preserve"> </w:t>
      </w:r>
      <w:r>
        <w:t xml:space="preserve">como práctica cultural, evitando mensajes fuera de horario salvo emergencias reales, lo cual reduce el estrés crónico y el burnout. Las empresas que adoptan este cambio de paradigma ven una reducción del 25% en su rotación voluntaria.</w:t>
      </w:r>
    </w:p>
    <w:bookmarkEnd w:id="22"/>
    <w:bookmarkStart w:id="23" w:name="objetivos-de-aprendizaje"/>
    <w:p>
      <w:pPr>
        <w:pStyle w:val="Heading2"/>
      </w:pPr>
      <w:r>
        <w:t xml:space="preserve">Objetivos de Aprendizaje</w:t>
      </w:r>
    </w:p>
    <w:p>
      <w:pPr>
        <w:numPr>
          <w:ilvl w:val="0"/>
          <w:numId w:val="1001"/>
        </w:numPr>
        <w:pStyle w:val="Compact"/>
      </w:pPr>
      <w:r>
        <w:t xml:space="preserve">Diseñar programas de bienestar integral que aborden las dimensiones física, emocional, social, profesional y financiera del colaborador.</w:t>
      </w:r>
    </w:p>
    <w:p>
      <w:pPr>
        <w:numPr>
          <w:ilvl w:val="0"/>
          <w:numId w:val="1001"/>
        </w:numPr>
        <w:pStyle w:val="Compact"/>
      </w:pPr>
      <w:r>
        <w:t xml:space="preserve">Aplicar el modelo PERMA de psicología positiva para fomentar emociones positivas, compromiso (Engagement), relaciones, propósito y logro en el trabajo.</w:t>
      </w:r>
    </w:p>
    <w:p>
      <w:pPr>
        <w:numPr>
          <w:ilvl w:val="0"/>
          <w:numId w:val="1001"/>
        </w:numPr>
        <w:pStyle w:val="Compact"/>
      </w:pPr>
      <w:r>
        <w:t xml:space="preserve">Implementar políticas de</w:t>
      </w:r>
      <w:r>
        <w:t xml:space="preserve"> </w:t>
      </w:r>
      <w:r>
        <w:t xml:space="preserve">“</w:t>
      </w:r>
      <w:r>
        <w:t xml:space="preserve">flexibilidad real</w:t>
      </w:r>
      <w:r>
        <w:t xml:space="preserve">”</w:t>
      </w:r>
      <w:r>
        <w:t xml:space="preserve"> </w:t>
      </w:r>
      <w:r>
        <w:t xml:space="preserve">y desconexión digital cultural como estrategias de retención para modelos híbridos en 2026.</w:t>
      </w:r>
    </w:p>
    <w:bookmarkEnd w:id="23"/>
    <w:bookmarkStart w:id="24" w:name="autoevaluación"/>
    <w:p>
      <w:pPr>
        <w:pStyle w:val="Heading2"/>
      </w:pPr>
      <w:r>
        <w:t xml:space="preserve">Autoevaluación</w:t>
      </w:r>
    </w:p>
    <w:p>
      <w:pPr>
        <w:pStyle w:val="FirstParagraph"/>
      </w:pPr>
      <w:r>
        <w:t xml:space="preserve">Autoevaluación de selección múltiple (4 preguntas, una opción correcta cada una). Cada pregunta plantea un escenario aplicado —no de memorización— y entrega retroalimentación específica según la opción que el estudiante seleccione, para reforzar el razonamiento incluso cuando la respuesta es incorrecta.</w:t>
      </w:r>
    </w:p>
    <w:p>
      <w:pPr>
        <w:pStyle w:val="BodyText"/>
      </w:pPr>
      <w:r>
        <w:rPr>
          <w:bCs/>
          <w:b/>
        </w:rPr>
        <w:t xml:space="preserve">Pregunta 1</w:t>
      </w:r>
      <w:r>
        <w:t xml:space="preserve"> </w:t>
      </w:r>
      <w:r>
        <w:rPr>
          <w:iCs/>
          <w:i/>
        </w:rPr>
        <w:t xml:space="preserve">(Parte 1 — Modelo PERMA)</w:t>
      </w:r>
    </w:p>
    <w:p>
      <w:pPr>
        <w:pStyle w:val="BodyText"/>
      </w:pPr>
      <w:r>
        <w:t xml:space="preserve">Una organización solo implementa actividades recreativas (viernes de integración, gimnasio) para mejorar el bienestar de sus colaboradores, pero no evidencia cambios en el compromiso ni el desempeño. Desde la perspectiva del Modelo PERMA, ¿cuál es la explicación más adecuada?</w:t>
      </w:r>
    </w:p>
    <w:p>
      <w:pPr>
        <w:numPr>
          <w:ilvl w:val="0"/>
          <w:numId w:val="1002"/>
        </w:numPr>
        <w:pStyle w:val="Compact"/>
      </w:pPr>
      <w:r>
        <w:t xml:space="preserve">A. El bienestar depende exclusivamente de factores extrínsecos como el ocio, por lo que basta con aumentar la frecuencia de las actividades.</w:t>
      </w:r>
      <w:r>
        <w:t xml:space="preserve"> </w:t>
      </w:r>
      <w:r>
        <w:rPr>
          <w:iCs/>
          <w:i/>
        </w:rPr>
        <w:t xml:space="preserve">Retroalimentación: Incorrecto. El Modelo PERMA no reduce el bienestar a factores extrínsecos recreativos; aumentar su frecuencia no activa los demás pilares del modelo.</w:t>
      </w:r>
    </w:p>
    <w:p>
      <w:pPr>
        <w:numPr>
          <w:ilvl w:val="0"/>
          <w:numId w:val="1002"/>
        </w:numPr>
        <w:pStyle w:val="Compact"/>
      </w:pPr>
      <w:r>
        <w:t xml:space="preserve">B. El enfoque recreativo aislado no aborda los cinco pilares estructurales del bienestar (P-E-R-M-A), como el sentido de propósito o el compromiso profundo, que requieren intervenciones más integrales.</w:t>
      </w:r>
      <w:r>
        <w:t xml:space="preserve"> </w:t>
      </w:r>
      <w:r>
        <w:rPr>
          <w:bCs/>
          <w:b/>
        </w:rPr>
        <w:t xml:space="preserve">(Correcta)</w:t>
      </w:r>
      <w:r>
        <w:t xml:space="preserve"> </w:t>
      </w:r>
      <w:r>
        <w:rPr>
          <w:iCs/>
          <w:i/>
        </w:rPr>
        <w:t xml:space="preserve">Retroalimentación: Correcto. El Modelo PERMA plantea que el bienestar es multidimensional y estructural; las actividades recreativas pueden aportar al pilar de Emociones Positivas, pero sin intervenciones que también fortalezcan Engagement, Relationships, Meaning y Accomplishment, el impacto será superficial y no sostenible.</w:t>
      </w:r>
    </w:p>
    <w:p>
      <w:pPr>
        <w:numPr>
          <w:ilvl w:val="0"/>
          <w:numId w:val="1002"/>
        </w:numPr>
        <w:pStyle w:val="Compact"/>
      </w:pPr>
      <w:r>
        <w:t xml:space="preserve">C. El Modelo PERMA no aplica a organizaciones que ya realizan actividades de bienestar.</w:t>
      </w:r>
      <w:r>
        <w:t xml:space="preserve"> </w:t>
      </w:r>
      <w:r>
        <w:rPr>
          <w:iCs/>
          <w:i/>
        </w:rPr>
        <w:t xml:space="preserve">Retroalimentación: Incorrecto. El modelo aplica a cualquier organización; el punto no es si existen actividades, sino si abordan los cinco pilares de forma integral.</w:t>
      </w:r>
    </w:p>
    <w:p>
      <w:pPr>
        <w:numPr>
          <w:ilvl w:val="0"/>
          <w:numId w:val="1002"/>
        </w:numPr>
        <w:pStyle w:val="Compact"/>
      </w:pPr>
      <w:r>
        <w:t xml:space="preserve">D. La falta de resultados indica que el Modelo PERMA es principalmente teórico y difícil de aplicar en contextos reales.</w:t>
      </w:r>
      <w:r>
        <w:t xml:space="preserve"> </w:t>
      </w:r>
      <w:r>
        <w:rPr>
          <w:iCs/>
          <w:i/>
        </w:rPr>
        <w:t xml:space="preserve">Retroalimentación: Incorrecto. El caso no evidencia una limitación del modelo, sino una aplicación parcial de este por parte de la organización.</w:t>
      </w:r>
    </w:p>
    <w:p>
      <w:pPr>
        <w:pStyle w:val="FirstParagraph"/>
      </w:pPr>
      <w:r>
        <w:rPr>
          <w:bCs/>
          <w:b/>
        </w:rPr>
        <w:t xml:space="preserve">Pregunta 2</w:t>
      </w:r>
      <w:r>
        <w:t xml:space="preserve"> </w:t>
      </w:r>
      <w:r>
        <w:rPr>
          <w:iCs/>
          <w:i/>
        </w:rPr>
        <w:t xml:space="preserve">(Parte 2 — Ruta de la Felicidad y salario emocional)</w:t>
      </w:r>
    </w:p>
    <w:p>
      <w:pPr>
        <w:pStyle w:val="BodyText"/>
      </w:pPr>
      <w:r>
        <w:t xml:space="preserve">El área de Talento Humano de una empresa colombiana diseña una</w:t>
      </w:r>
      <w:r>
        <w:t xml:space="preserve"> </w:t>
      </w:r>
      <w:r>
        <w:t xml:space="preserve">“</w:t>
      </w:r>
      <w:r>
        <w:t xml:space="preserve">Ruta de la Felicidad</w:t>
      </w:r>
      <w:r>
        <w:t xml:space="preserve">”</w:t>
      </w:r>
      <w:r>
        <w:t xml:space="preserve"> </w:t>
      </w:r>
      <w:r>
        <w:t xml:space="preserve">que incluye bonos de gimnasio, día libre en cumpleaños y capacitaciones. Sin embargo, la rotación voluntaria no disminuye. ¿Cuál es la razón más probable, según el enfoque de salario emocional visto en el contenido?</w:t>
      </w:r>
    </w:p>
    <w:p>
      <w:pPr>
        <w:numPr>
          <w:ilvl w:val="0"/>
          <w:numId w:val="1003"/>
        </w:numPr>
        <w:pStyle w:val="Compact"/>
      </w:pPr>
      <w:r>
        <w:t xml:space="preserve">A. Los beneficios ofrecidos no son suficientes en cantidad; se necesita aumentar el número de incentivos no monetarios.</w:t>
      </w:r>
      <w:r>
        <w:t xml:space="preserve"> </w:t>
      </w:r>
      <w:r>
        <w:rPr>
          <w:iCs/>
          <w:i/>
        </w:rPr>
        <w:t xml:space="preserve">Retroalimentación: Incorrecto. El problema no es la cantidad de beneficios, sino que estén desconectados de las necesidades reales del colaborador y su entorno.</w:t>
      </w:r>
    </w:p>
    <w:p>
      <w:pPr>
        <w:numPr>
          <w:ilvl w:val="0"/>
          <w:numId w:val="1003"/>
        </w:numPr>
        <w:pStyle w:val="Compact"/>
      </w:pPr>
      <w:r>
        <w:t xml:space="preserve">B. La Ruta no considera el equilibrio vida-trabajo ni el impacto en el núcleo familiar del colaborador, ni políticas de equidad, elementos clave para que el salario emocional impacte la retención.</w:t>
      </w:r>
      <w:r>
        <w:t xml:space="preserve"> </w:t>
      </w:r>
      <w:r>
        <w:rPr>
          <w:bCs/>
          <w:b/>
        </w:rPr>
        <w:t xml:space="preserve">(Correcta)</w:t>
      </w:r>
      <w:r>
        <w:t xml:space="preserve"> </w:t>
      </w:r>
      <w:r>
        <w:rPr>
          <w:iCs/>
          <w:i/>
        </w:rPr>
        <w:t xml:space="preserve">Retroalimentación: Correcto. El contenido señala que el diseño debe ser inclusivo con el núcleo familiar e integrar equidad y diversidad; sin estos elementos, la Ruta de la Felicidad pierde impacto en la retención.</w:t>
      </w:r>
    </w:p>
    <w:p>
      <w:pPr>
        <w:numPr>
          <w:ilvl w:val="0"/>
          <w:numId w:val="1003"/>
        </w:numPr>
        <w:pStyle w:val="Compact"/>
      </w:pPr>
      <w:r>
        <w:t xml:space="preserve">C. El salario emocional únicamente sustituye los bonos económicos, por lo que la empresa debería enfocarse en aumentar los salarios.</w:t>
      </w:r>
      <w:r>
        <w:t xml:space="preserve"> </w:t>
      </w:r>
      <w:r>
        <w:rPr>
          <w:iCs/>
          <w:i/>
        </w:rPr>
        <w:t xml:space="preserve">Retroalimentación: Incorrecto. El salario emocional complementa, no sustituye, la compensación económica.</w:t>
      </w:r>
    </w:p>
    <w:p>
      <w:pPr>
        <w:numPr>
          <w:ilvl w:val="0"/>
          <w:numId w:val="1003"/>
        </w:numPr>
        <w:pStyle w:val="Compact"/>
      </w:pPr>
      <w:r>
        <w:t xml:space="preserve">D. La rotación voluntaria depende exclusivamente de factores externos al control de la organización, como el mercado laboral.</w:t>
      </w:r>
      <w:r>
        <w:t xml:space="preserve"> </w:t>
      </w:r>
      <w:r>
        <w:rPr>
          <w:iCs/>
          <w:i/>
        </w:rPr>
        <w:t xml:space="preserve">Retroalimentación: Incorrecto. El contenido enfatiza que las organizaciones pueden reducir la rotación voluntaria mediante estrategias internas bien diseñadas.</w:t>
      </w:r>
    </w:p>
    <w:p>
      <w:pPr>
        <w:pStyle w:val="FirstParagraph"/>
      </w:pPr>
      <w:r>
        <w:rPr>
          <w:bCs/>
          <w:b/>
        </w:rPr>
        <w:t xml:space="preserve">Pregunta 3</w:t>
      </w:r>
      <w:r>
        <w:t xml:space="preserve"> </w:t>
      </w:r>
      <w:r>
        <w:rPr>
          <w:iCs/>
          <w:i/>
        </w:rPr>
        <w:t xml:space="preserve">(Parte 3 — Flexibilidad real y desconexión digital)</w:t>
      </w:r>
    </w:p>
    <w:p>
      <w:pPr>
        <w:pStyle w:val="BodyText"/>
      </w:pPr>
      <w:r>
        <w:t xml:space="preserve">Una empresa permite el teletrabajo total, pero sus líderes continúan enviando mensajes y solicitando entregas fuera del horario laboral, generando agotamiento en los equipos. ¿Qué elemento del contenido explica mejor esta situación?</w:t>
      </w:r>
    </w:p>
    <w:p>
      <w:pPr>
        <w:numPr>
          <w:ilvl w:val="0"/>
          <w:numId w:val="1004"/>
        </w:numPr>
        <w:pStyle w:val="Compact"/>
      </w:pPr>
      <w:r>
        <w:t xml:space="preserve">A. El teletrabajo, por definición, ya garantiza la autonomía real y la desconexión digital de los colaboradores.</w:t>
      </w:r>
      <w:r>
        <w:t xml:space="preserve"> </w:t>
      </w:r>
      <w:r>
        <w:rPr>
          <w:iCs/>
          <w:i/>
        </w:rPr>
        <w:t xml:space="preserve">Retroalimentación: Incorrecto. El contenido distingue entre</w:t>
      </w:r>
      <w:r>
        <w:rPr>
          <w:iCs/>
          <w:i/>
        </w:rPr>
        <w:t xml:space="preserve"> </w:t>
      </w:r>
      <w:r>
        <w:rPr>
          <w:iCs/>
          <w:i/>
        </w:rPr>
        <w:t xml:space="preserve">“</w:t>
      </w:r>
      <w:r>
        <w:rPr>
          <w:iCs/>
          <w:i/>
        </w:rPr>
        <w:t xml:space="preserve">teletrabajo</w:t>
      </w:r>
      <w:r>
        <w:rPr>
          <w:iCs/>
          <w:i/>
        </w:rPr>
        <w:t xml:space="preserve">”</w:t>
      </w:r>
      <w:r>
        <w:rPr>
          <w:iCs/>
          <w:i/>
        </w:rPr>
        <w:t xml:space="preserve"> </w:t>
      </w:r>
      <w:r>
        <w:rPr>
          <w:iCs/>
          <w:i/>
        </w:rPr>
        <w:t xml:space="preserve">como modalidad y</w:t>
      </w:r>
      <w:r>
        <w:rPr>
          <w:iCs/>
          <w:i/>
        </w:rPr>
        <w:t xml:space="preserve"> </w:t>
      </w:r>
      <w:r>
        <w:rPr>
          <w:iCs/>
          <w:i/>
        </w:rPr>
        <w:t xml:space="preserve">“</w:t>
      </w:r>
      <w:r>
        <w:rPr>
          <w:iCs/>
          <w:i/>
        </w:rPr>
        <w:t xml:space="preserve">autonomía real</w:t>
      </w:r>
      <w:r>
        <w:rPr>
          <w:iCs/>
          <w:i/>
        </w:rPr>
        <w:t xml:space="preserve">”</w:t>
      </w:r>
      <w:r>
        <w:rPr>
          <w:iCs/>
          <w:i/>
        </w:rPr>
        <w:t xml:space="preserve"> </w:t>
      </w:r>
      <w:r>
        <w:rPr>
          <w:iCs/>
          <w:i/>
        </w:rPr>
        <w:t xml:space="preserve">como práctica cultural; tener la modalidad remota no garantiza, por sí sola, la desconexión digital.</w:t>
      </w:r>
    </w:p>
    <w:p>
      <w:pPr>
        <w:numPr>
          <w:ilvl w:val="0"/>
          <w:numId w:val="1004"/>
        </w:numPr>
        <w:pStyle w:val="Compact"/>
      </w:pPr>
      <w:r>
        <w:t xml:space="preserve">B. La flexibilidad real requiere protocolos culturales explícitos de desconexión digital, más allá de la modalidad de trabajo remoto en sí misma.</w:t>
      </w:r>
      <w:r>
        <w:t xml:space="preserve"> </w:t>
      </w:r>
      <w:r>
        <w:rPr>
          <w:bCs/>
          <w:b/>
        </w:rPr>
        <w:t xml:space="preserve">(Correcta)</w:t>
      </w:r>
      <w:r>
        <w:t xml:space="preserve"> </w:t>
      </w:r>
      <w:r>
        <w:rPr>
          <w:iCs/>
          <w:i/>
        </w:rPr>
        <w:t xml:space="preserve">Retroalimentación: Correcto. Hacia 2026 la flexibilidad exige protocolos culturales explícitos —no solo la modalidad remota— que eviten mensajes fuera de horario salvo emergencias reales.</w:t>
      </w:r>
    </w:p>
    <w:p>
      <w:pPr>
        <w:numPr>
          <w:ilvl w:val="0"/>
          <w:numId w:val="1004"/>
        </w:numPr>
        <w:pStyle w:val="Compact"/>
      </w:pPr>
      <w:r>
        <w:t xml:space="preserve">C. El agotamiento se debe únicamente a la carga de trabajo, sin relación con las prácticas de comunicación fuera de horario.</w:t>
      </w:r>
      <w:r>
        <w:t xml:space="preserve"> </w:t>
      </w:r>
      <w:r>
        <w:rPr>
          <w:iCs/>
          <w:i/>
        </w:rPr>
        <w:t xml:space="preserve">Retroalimentación: Incorrecto. El contenido identifica la falta de protocolos de desconexión digital como un factor directo de estrés crónico y burnout.</w:t>
      </w:r>
    </w:p>
    <w:p>
      <w:pPr>
        <w:numPr>
          <w:ilvl w:val="0"/>
          <w:numId w:val="1004"/>
        </w:numPr>
        <w:pStyle w:val="Compact"/>
      </w:pPr>
      <w:r>
        <w:t xml:space="preserve">D. La presencialidad estratégica es incompatible con el teletrabajo, por lo que la empresa debería eliminar la modalidad remota.</w:t>
      </w:r>
      <w:r>
        <w:t xml:space="preserve"> </w:t>
      </w:r>
      <w:r>
        <w:rPr>
          <w:iCs/>
          <w:i/>
        </w:rPr>
        <w:t xml:space="preserve">Retroalimentación: Incorrecto. El contenido presenta la presencialidad estratégica y el teletrabajo como complementarios, no excluyentes.</w:t>
      </w:r>
    </w:p>
    <w:p>
      <w:pPr>
        <w:pStyle w:val="FirstParagraph"/>
      </w:pPr>
      <w:r>
        <w:rPr>
          <w:bCs/>
          <w:b/>
        </w:rPr>
        <w:t xml:space="preserve">Pregunta 4</w:t>
      </w:r>
      <w:r>
        <w:t xml:space="preserve"> </w:t>
      </w:r>
      <w:r>
        <w:rPr>
          <w:iCs/>
          <w:i/>
        </w:rPr>
        <w:t xml:space="preserve">(Integradora — Partes 1-3)</w:t>
      </w:r>
    </w:p>
    <w:p>
      <w:pPr>
        <w:pStyle w:val="BodyText"/>
      </w:pPr>
      <w:r>
        <w:t xml:space="preserve">Un especialista en Talento Humano debe presentar ante la gerencia un plan de mejora de clima laboral, pero solo cuenta con presupuesto limitado para una sola iniciativa. ¿Cuál sería la decisión más alineada con el enfoque integral visto en esta guía?</w:t>
      </w:r>
    </w:p>
    <w:p>
      <w:pPr>
        <w:numPr>
          <w:ilvl w:val="0"/>
          <w:numId w:val="1005"/>
        </w:numPr>
        <w:pStyle w:val="Compact"/>
      </w:pPr>
      <w:r>
        <w:t xml:space="preserve">A. Priorizar exclusivamente una actividad recreativa masiva, ya que genera visibilidad inmediata ante la organización.</w:t>
      </w:r>
      <w:r>
        <w:t xml:space="preserve"> </w:t>
      </w:r>
      <w:r>
        <w:rPr>
          <w:iCs/>
          <w:i/>
        </w:rPr>
        <w:t xml:space="preserve">Retroalimentación: Incorrecto. Una actividad aislada, aunque visible, no aborda el carácter estructural del bienestar que exige el Modelo PERMA.</w:t>
      </w:r>
    </w:p>
    <w:p>
      <w:pPr>
        <w:numPr>
          <w:ilvl w:val="0"/>
          <w:numId w:val="1005"/>
        </w:numPr>
        <w:pStyle w:val="Compact"/>
      </w:pPr>
      <w:r>
        <w:t xml:space="preserve">B. Diseñar una intervención acotada pero que combine al menos un elemento de PERMA, uno de salario emocional/Ruta de la Felicidad y un protocolo de desconexión digital, sustentada en indicadores.</w:t>
      </w:r>
      <w:r>
        <w:t xml:space="preserve"> </w:t>
      </w:r>
      <w:r>
        <w:rPr>
          <w:bCs/>
          <w:b/>
        </w:rPr>
        <w:t xml:space="preserve">(Correcta)</w:t>
      </w:r>
      <w:r>
        <w:t xml:space="preserve"> </w:t>
      </w:r>
      <w:r>
        <w:rPr>
          <w:iCs/>
          <w:i/>
        </w:rPr>
        <w:t xml:space="preserve">Retroalimentación: Correcto. El enfoque integral del contenido sugiere combinar los tres ejes de forma articulada y basada en evidencia, incluso con recursos limitados.</w:t>
      </w:r>
    </w:p>
    <w:p>
      <w:pPr>
        <w:numPr>
          <w:ilvl w:val="0"/>
          <w:numId w:val="1005"/>
        </w:numPr>
        <w:pStyle w:val="Compact"/>
      </w:pPr>
      <w:r>
        <w:t xml:space="preserve">C. Enfocar todo el presupuesto en la medición del clima laboral, sin implementar ninguna acción de mejora este periodo.</w:t>
      </w:r>
      <w:r>
        <w:t xml:space="preserve"> </w:t>
      </w:r>
      <w:r>
        <w:rPr>
          <w:iCs/>
          <w:i/>
        </w:rPr>
        <w:t xml:space="preserve">Retroalimentación: Incorrecto. Medir sin intervenir no genera mejoras; el plan de mejora requiere diagnóstico y acción.</w:t>
      </w:r>
    </w:p>
    <w:p>
      <w:pPr>
        <w:numPr>
          <w:ilvl w:val="0"/>
          <w:numId w:val="1005"/>
        </w:numPr>
        <w:pStyle w:val="Compact"/>
      </w:pPr>
      <w:r>
        <w:t xml:space="preserve">D. Replicar exactamente un plan de bienestar de otra empresa del sector, sin adaptarlo a los indicadores propios de la organización.</w:t>
      </w:r>
      <w:r>
        <w:t xml:space="preserve"> </w:t>
      </w:r>
      <w:r>
        <w:rPr>
          <w:iCs/>
          <w:i/>
        </w:rPr>
        <w:t xml:space="preserve">Retroalimentación: Incorrecto. Replicar sin adaptar ignora el diagnóstico propio de la organización, principio central del diseño de planes de mejora basados en datos.</w:t>
      </w:r>
    </w:p>
    <w:p>
      <w:pPr>
        <w:pStyle w:val="FirstParagraph"/>
      </w:pPr>
      <w:r>
        <w:rPr>
          <w:bCs/>
          <w:b/>
        </w:rPr>
        <w:t xml:space="preserve">Requisitos funcionales de la autoevaluación:</w:t>
      </w:r>
    </w:p>
    <w:p>
      <w:pPr>
        <w:numPr>
          <w:ilvl w:val="0"/>
          <w:numId w:val="1006"/>
        </w:numPr>
        <w:pStyle w:val="Compact"/>
      </w:pPr>
      <w:r>
        <w:t xml:space="preserve">Selección única por pregunta (botones de radio), con retroalimentación inmediata al seleccionar una opción (correcta o incorrecta), sin bloquear el cambio de respuesta.</w:t>
      </w:r>
    </w:p>
    <w:p>
      <w:pPr>
        <w:numPr>
          <w:ilvl w:val="0"/>
          <w:numId w:val="1006"/>
        </w:numPr>
        <w:pStyle w:val="Compact"/>
      </w:pPr>
      <w:r>
        <w:t xml:space="preserve">Botón</w:t>
      </w:r>
      <w:r>
        <w:t xml:space="preserve"> </w:t>
      </w:r>
      <w:r>
        <w:rPr>
          <w:bCs/>
          <w:b/>
        </w:rPr>
        <w:t xml:space="preserve">“</w:t>
      </w:r>
      <w:r>
        <w:rPr>
          <w:bCs/>
          <w:b/>
        </w:rPr>
        <w:t xml:space="preserve">Limpiar / Reiniciar</w:t>
      </w:r>
      <w:r>
        <w:rPr>
          <w:bCs/>
          <w:b/>
        </w:rPr>
        <w:t xml:space="preserve">”</w:t>
      </w:r>
      <w:r>
        <w:t xml:space="preserve"> </w:t>
      </w:r>
      <w:r>
        <w:t xml:space="preserve">que borre todas las selecciones y retroalimentaciones, permitiendo al estudiante repetir la autoevaluación las veces que quiera.</w:t>
      </w:r>
    </w:p>
    <w:p>
      <w:pPr>
        <w:pStyle w:val="BlockText"/>
      </w:pPr>
      <w:r>
        <w:rPr>
          <w:iCs/>
          <w:i/>
        </w:rPr>
        <w:t xml:space="preserve">Nota de maquetación (Fase 3): componente de quiz accesible y responsivo — cada pregunta como tarjeta o acordeón, opciones como</w:t>
      </w:r>
      <w:r>
        <w:rPr>
          <w:iCs/>
          <w:i/>
        </w:rPr>
        <w:t xml:space="preserve"> </w:t>
      </w:r>
      <w:r>
        <w:rPr>
          <w:rStyle w:val="VerbatimChar"/>
          <w:iCs/>
          <w:i/>
        </w:rPr>
        <w:t xml:space="preserve">radio</w:t>
      </w:r>
      <w:r>
        <w:rPr>
          <w:iCs/>
          <w:i/>
        </w:rPr>
        <w:t xml:space="preserve"> </w:t>
      </w:r>
      <w:r>
        <w:rPr>
          <w:iCs/>
          <w:i/>
        </w:rPr>
        <w:t xml:space="preserve">con</w:t>
      </w:r>
      <w:r>
        <w:rPr>
          <w:iCs/>
          <w:i/>
        </w:rPr>
        <w:t xml:space="preserve"> </w:t>
      </w:r>
      <w:r>
        <w:rPr>
          <w:rStyle w:val="VerbatimChar"/>
          <w:iCs/>
          <w:i/>
        </w:rPr>
        <w:t xml:space="preserve">label</w:t>
      </w:r>
      <w:r>
        <w:rPr>
          <w:iCs/>
          <w:i/>
        </w:rPr>
        <w:t xml:space="preserve"> </w:t>
      </w:r>
      <w:r>
        <w:rPr>
          <w:iCs/>
          <w:i/>
        </w:rPr>
        <w:t xml:space="preserve">asociado (nunca solo color para indicar correcto/incorrecto, también ícono y texto), retroalimentación en una región</w:t>
      </w:r>
      <w:r>
        <w:rPr>
          <w:iCs/>
          <w:i/>
        </w:rPr>
        <w:t xml:space="preserve"> </w:t>
      </w:r>
      <w:r>
        <w:rPr>
          <w:rStyle w:val="VerbatimChar"/>
          <w:iCs/>
          <w:i/>
        </w:rPr>
        <w:t xml:space="preserve">aria-live</w:t>
      </w:r>
      <w:r>
        <w:rPr>
          <w:iCs/>
          <w:i/>
        </w:rPr>
        <w:t xml:space="preserve"> </w:t>
      </w:r>
      <w:r>
        <w:rPr>
          <w:iCs/>
          <w:i/>
        </w:rPr>
        <w:t xml:space="preserve">para que sea anunciada por lectores de pantalla, y botón</w:t>
      </w:r>
      <w:r>
        <w:rPr>
          <w:iCs/>
          <w:i/>
        </w:rPr>
        <w:t xml:space="preserve"> </w:t>
      </w:r>
      <w:r>
        <w:rPr>
          <w:iCs/>
          <w:i/>
        </w:rPr>
        <w:t xml:space="preserve">“</w:t>
      </w:r>
      <w:r>
        <w:rPr>
          <w:iCs/>
          <w:i/>
        </w:rPr>
        <w:t xml:space="preserve">Limpiar</w:t>
      </w:r>
      <w:r>
        <w:rPr>
          <w:iCs/>
          <w:i/>
        </w:rPr>
        <w:t xml:space="preserve">”</w:t>
      </w:r>
      <w:r>
        <w:rPr>
          <w:iCs/>
          <w:i/>
        </w:rPr>
        <w:t xml:space="preserve"> </w:t>
      </w:r>
      <w:r>
        <w:rPr>
          <w:iCs/>
          <w:i/>
        </w:rPr>
        <w:t xml:space="preserve">visible al final del formulario.</w:t>
      </w:r>
    </w:p>
    <w:bookmarkEnd w:id="24"/>
    <w:bookmarkStart w:id="25" w:name="actividad"/>
    <w:p>
      <w:pPr>
        <w:pStyle w:val="Heading2"/>
      </w:pPr>
      <w:r>
        <w:t xml:space="preserve">Actividad</w:t>
      </w:r>
    </w:p>
    <w:p>
      <w:pPr>
        <w:pStyle w:val="FirstParagraph"/>
      </w:pPr>
      <w:r>
        <w:rPr>
          <w:bCs/>
          <w:b/>
        </w:rPr>
        <w:t xml:space="preserve">Título:</w:t>
      </w:r>
      <w:r>
        <w:rPr>
          <w:bCs/>
          <w:b/>
        </w:rPr>
        <w:t xml:space="preserve"> </w:t>
      </w:r>
      <w:r>
        <w:rPr>
          <w:bCs/>
          <w:b/>
        </w:rPr>
        <w:t xml:space="preserve">“</w:t>
      </w:r>
      <w:r>
        <w:rPr>
          <w:bCs/>
          <w:b/>
        </w:rPr>
        <w:t xml:space="preserve">Diseña tu Ruta de Bienestar</w:t>
      </w:r>
      <w:r>
        <w:rPr>
          <w:bCs/>
          <w:b/>
        </w:rPr>
        <w:t xml:space="preserve">”</w:t>
      </w:r>
      <w:r>
        <w:rPr>
          <w:bCs/>
          <w:b/>
        </w:rPr>
        <w:t xml:space="preserve"> </w:t>
      </w:r>
      <w:r>
        <w:rPr>
          <w:bCs/>
          <w:b/>
        </w:rPr>
        <w:t xml:space="preserve">— Plan de mejora de clima laboral basado en evidencia</w:t>
      </w:r>
    </w:p>
    <w:p>
      <w:pPr>
        <w:pStyle w:val="BodyText"/>
      </w:pPr>
      <w:r>
        <w:rPr>
          <w:iCs/>
          <w:i/>
        </w:rPr>
        <w:t xml:space="preserve">Actividad de aplicación de nivel posgrado: exige argumentación teórica, uso de evidencia y proyección de impacto, no solo descripción de acciones.</w:t>
      </w:r>
    </w:p>
    <w:p>
      <w:pPr>
        <w:pStyle w:val="BodyText"/>
      </w:pPr>
      <w:r>
        <w:rPr>
          <w:bCs/>
          <w:b/>
        </w:rPr>
        <w:t xml:space="preserve">Objetivo de la actividad:</w:t>
      </w:r>
      <w:r>
        <w:t xml:space="preserve"> </w:t>
      </w:r>
      <w:r>
        <w:t xml:space="preserve">aplicar el Modelo PERMA, la Ruta de la Felicidad y los principios de flexibilidad real / desconexión digital al diseño de un plan de mejora de clima laboral para una organización real o simulada, sustentado en datos.</w:t>
      </w:r>
    </w:p>
    <w:p>
      <w:pPr>
        <w:pStyle w:val="BodyText"/>
      </w:pPr>
      <w:r>
        <w:rPr>
          <w:bCs/>
          <w:b/>
        </w:rPr>
        <w:t xml:space="preserve">Insumo de partida (caso breve):</w:t>
      </w:r>
      <w:r>
        <w:t xml:space="preserve"> </w:t>
      </w:r>
      <w:r>
        <w:t xml:space="preserve">se entrega al estudiante una ficha corta de diagnóstico organizacional (puede ser real, de su propia empresa, o el caso simulado que se incluirá en el curso) con 3-4 indicadores de referencia, por ejemplo: tasa de absentismo por causas de salud mental, rotación voluntaria anual, resultado de una encuesta de clima (ej. eNPS o similar) y una cita textual anónima de colaboradores sobre el ambiente de trabajo.</w:t>
      </w:r>
    </w:p>
    <w:p>
      <w:pPr>
        <w:pStyle w:val="BodyText"/>
      </w:pPr>
      <w:r>
        <w:rPr>
          <w:bCs/>
          <w:b/>
        </w:rPr>
        <w:t xml:space="preserve">Pasos que debe desarrollar el estudiante:</w:t>
      </w:r>
    </w:p>
    <w:p>
      <w:pPr>
        <w:numPr>
          <w:ilvl w:val="0"/>
          <w:numId w:val="1007"/>
        </w:numPr>
        <w:pStyle w:val="Compact"/>
      </w:pPr>
      <w:r>
        <w:rPr>
          <w:bCs/>
          <w:b/>
        </w:rPr>
        <w:t xml:space="preserve">Diagnóstico:</w:t>
      </w:r>
      <w:r>
        <w:t xml:space="preserve"> </w:t>
      </w:r>
      <w:r>
        <w:t xml:space="preserve">interpretar los indicadores del caso e identificar en qué pilar del Modelo PERMA hay mayor debilidad.</w:t>
      </w:r>
    </w:p>
    <w:p>
      <w:pPr>
        <w:numPr>
          <w:ilvl w:val="0"/>
          <w:numId w:val="1007"/>
        </w:numPr>
        <w:pStyle w:val="Compact"/>
      </w:pPr>
      <w:r>
        <w:rPr>
          <w:bCs/>
          <w:b/>
        </w:rPr>
        <w:t xml:space="preserve">Diseño:</w:t>
      </w:r>
      <w:r>
        <w:t xml:space="preserve"> </w:t>
      </w:r>
      <w:r>
        <w:t xml:space="preserve">proponer 3 acciones concretas de mejora, una por cada eje trabajado en el contenido (PERMA, Ruta de la Felicidad / salario emocional, flexibilidad real y desconexión digital), indicando responsable y tiempo estimado.</w:t>
      </w:r>
    </w:p>
    <w:p>
      <w:pPr>
        <w:numPr>
          <w:ilvl w:val="0"/>
          <w:numId w:val="1007"/>
        </w:numPr>
        <w:pStyle w:val="Compact"/>
      </w:pPr>
      <w:r>
        <w:rPr>
          <w:bCs/>
          <w:b/>
        </w:rPr>
        <w:t xml:space="preserve">Protocolo de desconexión digital:</w:t>
      </w:r>
      <w:r>
        <w:t xml:space="preserve"> </w:t>
      </w:r>
      <w:r>
        <w:t xml:space="preserve">redactar en máximo 5 líneas un mini-protocolo de desconexión digital aplicable al equipo del caso.</w:t>
      </w:r>
    </w:p>
    <w:p>
      <w:pPr>
        <w:numPr>
          <w:ilvl w:val="0"/>
          <w:numId w:val="1007"/>
        </w:numPr>
        <w:pStyle w:val="Compact"/>
      </w:pPr>
      <w:r>
        <w:rPr>
          <w:bCs/>
          <w:b/>
        </w:rPr>
        <w:t xml:space="preserve">Justificación con evidencia:</w:t>
      </w:r>
      <w:r>
        <w:t xml:space="preserve"> </w:t>
      </w:r>
      <w:r>
        <w:t xml:space="preserve">sustentar cada acción citando en formato APA al menos una fuente teórica de las referencias del curso, complementada con un dato o benchmark del sector.</w:t>
      </w:r>
    </w:p>
    <w:p>
      <w:pPr>
        <w:numPr>
          <w:ilvl w:val="0"/>
          <w:numId w:val="1007"/>
        </w:numPr>
        <w:pStyle w:val="Compact"/>
      </w:pPr>
      <w:r>
        <w:rPr>
          <w:bCs/>
          <w:b/>
        </w:rPr>
        <w:t xml:space="preserve">Indicador de éxito y proyección de impacto:</w:t>
      </w:r>
      <w:r>
        <w:t xml:space="preserve"> </w:t>
      </w:r>
      <w:r>
        <w:t xml:space="preserve">proponer una métrica cuantificable (ej. reducción % de rotación voluntaria, mejora en puntaje eNPS) y justificar la meta con literatura o benchmarks comparables, proyectando el impacto esperado a 6 meses.</w:t>
      </w:r>
    </w:p>
    <w:p>
      <w:pPr>
        <w:pStyle w:val="FirstParagraph"/>
      </w:pPr>
      <w:r>
        <w:rPr>
          <w:bCs/>
          <w:b/>
        </w:rPr>
        <w:t xml:space="preserve">Producto entregable:</w:t>
      </w:r>
      <w:r>
        <w:t xml:space="preserve"> </w:t>
      </w:r>
      <w:r>
        <w:t xml:space="preserve">un lienzo (canvas) de una página con las 4 secciones anteriores (Diagnóstico / Diseño / Protocolo / Indicador de éxito).</w:t>
      </w:r>
    </w:p>
    <w:p>
      <w:pPr>
        <w:pStyle w:val="BodyText"/>
      </w:pPr>
      <w:r>
        <w:rPr>
          <w:bCs/>
          <w:b/>
        </w:rPr>
        <w:t xml:space="preserve">Vínculo con la rúbrica del curso (Formato 088):</w:t>
      </w:r>
      <w:r>
        <w:t xml:space="preserve"> </w:t>
      </w:r>
      <w:r>
        <w:t xml:space="preserve">esta actividad permite evidenciar directamente los criterios</w:t>
      </w:r>
      <w:r>
        <w:t xml:space="preserve"> </w:t>
      </w:r>
      <w:r>
        <w:rPr>
          <w:iCs/>
          <w:i/>
        </w:rPr>
        <w:t xml:space="preserve">Aplicación práctica de conceptos</w:t>
      </w:r>
      <w:r>
        <w:t xml:space="preserve">,</w:t>
      </w:r>
      <w:r>
        <w:t xml:space="preserve"> </w:t>
      </w:r>
      <w:r>
        <w:rPr>
          <w:iCs/>
          <w:i/>
        </w:rPr>
        <w:t xml:space="preserve">Rigor técnico y calidad en evidencias</w:t>
      </w:r>
      <w:r>
        <w:t xml:space="preserve">,</w:t>
      </w:r>
      <w:r>
        <w:t xml:space="preserve"> </w:t>
      </w:r>
      <w:r>
        <w:rPr>
          <w:iCs/>
          <w:i/>
        </w:rPr>
        <w:t xml:space="preserve">Síntesis y pensamiento crítico</w:t>
      </w:r>
      <w:r>
        <w:t xml:space="preserve"> </w:t>
      </w:r>
      <w:r>
        <w:t xml:space="preserve">y</w:t>
      </w:r>
      <w:r>
        <w:t xml:space="preserve"> </w:t>
      </w:r>
      <w:r>
        <w:rPr>
          <w:iCs/>
          <w:i/>
        </w:rPr>
        <w:t xml:space="preserve">Originalidad, propiedad intelectual y uso ético de IA</w:t>
      </w:r>
      <w:r>
        <w:t xml:space="preserve"> </w:t>
      </w:r>
      <w:r>
        <w:t xml:space="preserve">(si el estudiante usa una herramienta de IA como apoyo, debe declararlo y citarla).</w:t>
      </w:r>
    </w:p>
    <w:p>
      <w:pPr>
        <w:pStyle w:val="BlockText"/>
      </w:pPr>
      <w:r>
        <w:rPr>
          <w:iCs/>
          <w:i/>
        </w:rPr>
        <w:t xml:space="preserve">Nota de maquetación (Fase 3): ideal para un componente de pestañas (tabs) — una pestaña por paso — o un formulario tipo wizard de 4 pantallas, con una tarjeta final de</w:t>
      </w:r>
      <w:r>
        <w:rPr>
          <w:iCs/>
          <w:i/>
        </w:rPr>
        <w:t xml:space="preserve"> </w:t>
      </w:r>
      <w:r>
        <w:rPr>
          <w:iCs/>
          <w:i/>
        </w:rPr>
        <w:t xml:space="preserve">“</w:t>
      </w:r>
      <w:r>
        <w:rPr>
          <w:iCs/>
          <w:i/>
        </w:rPr>
        <w:t xml:space="preserve">resumen</w:t>
      </w:r>
      <w:r>
        <w:rPr>
          <w:iCs/>
          <w:i/>
        </w:rPr>
        <w:t xml:space="preserve">”</w:t>
      </w:r>
      <w:r>
        <w:rPr>
          <w:iCs/>
          <w:i/>
        </w:rPr>
        <w:t xml:space="preserve"> </w:t>
      </w:r>
      <w:r>
        <w:rPr>
          <w:iCs/>
          <w:i/>
        </w:rPr>
        <w:t xml:space="preserve">que el estudiante pueda descargar o copiar.</w:t>
      </w:r>
    </w:p>
    <w:bookmarkEnd w:id="25"/>
    <w:bookmarkStart w:id="30" w:name="recursos"/>
    <w:p>
      <w:pPr>
        <w:pStyle w:val="Heading2"/>
      </w:pPr>
      <w:r>
        <w:t xml:space="preserve">Recursos</w:t>
      </w:r>
    </w:p>
    <w:p>
      <w:pPr>
        <w:pStyle w:val="FirstParagraph"/>
      </w:pPr>
      <w:r>
        <w:t xml:space="preserve">Videos y herramientas de apoyo para profundizar en los tres ejes del tema:</w:t>
      </w:r>
    </w:p>
    <w:p>
      <w:pPr>
        <w:numPr>
          <w:ilvl w:val="0"/>
          <w:numId w:val="1008"/>
        </w:numPr>
        <w:pStyle w:val="Compact"/>
      </w:pPr>
      <w:r>
        <w:rPr>
          <w:bCs/>
          <w:b/>
        </w:rPr>
        <w:t xml:space="preserve">Video — El Modelo PERMA explicado.</w:t>
      </w:r>
      <w:r>
        <w:t xml:space="preserve"> </w:t>
      </w:r>
      <w:r>
        <w:rPr>
          <w:iCs/>
          <w:i/>
        </w:rPr>
        <w:t xml:space="preserve">“</w:t>
      </w:r>
      <w:r>
        <w:rPr>
          <w:iCs/>
          <w:i/>
        </w:rPr>
        <w:t xml:space="preserve">MODELO PERMA o teoría del bienestar de Martin Seligman (La fórmula de la felicidad)</w:t>
      </w:r>
      <w:r>
        <w:rPr>
          <w:iCs/>
          <w:i/>
        </w:rPr>
        <w:t xml:space="preserve">”</w:t>
      </w:r>
      <w:r>
        <w:t xml:space="preserve">, YouTube. Introducción clara a los cinco pilares del modelo, útil como refuerzo visual de la Parte 1.</w:t>
      </w:r>
      <w:r>
        <w:t xml:space="preserve"> </w:t>
      </w:r>
      <w:hyperlink r:id="rId26">
        <w:r>
          <w:rPr>
            <w:rStyle w:val="Hyperlink"/>
          </w:rPr>
          <w:t xml:space="preserve">Ver video</w:t>
        </w:r>
      </w:hyperlink>
    </w:p>
    <w:p>
      <w:pPr>
        <w:numPr>
          <w:ilvl w:val="0"/>
          <w:numId w:val="1008"/>
        </w:numPr>
        <w:pStyle w:val="Compact"/>
      </w:pPr>
      <w:r>
        <w:rPr>
          <w:bCs/>
          <w:b/>
        </w:rPr>
        <w:t xml:space="preserve">Video — Desconexión digital y bienestar (TED Talk, con subtítulos disponibles en español).</w:t>
      </w:r>
      <w:r>
        <w:t xml:space="preserve"> </w:t>
      </w:r>
      <w:r>
        <w:rPr>
          <w:iCs/>
          <w:i/>
        </w:rPr>
        <w:t xml:space="preserve">“</w:t>
      </w:r>
      <w:r>
        <w:rPr>
          <w:iCs/>
          <w:i/>
        </w:rPr>
        <w:t xml:space="preserve">What I Learned from 10 Years of Digital Detox</w:t>
      </w:r>
      <w:r>
        <w:rPr>
          <w:iCs/>
          <w:i/>
        </w:rPr>
        <w:t xml:space="preserve">”</w:t>
      </w:r>
      <w:r>
        <w:t xml:space="preserve">, Josh Misner. Reflexión basada en investigación sobre los efectos de la hiperconectividad y estrategias de desconexión, aplicable a la Parte 3.</w:t>
      </w:r>
      <w:r>
        <w:t xml:space="preserve"> </w:t>
      </w:r>
      <w:hyperlink r:id="rId27">
        <w:r>
          <w:rPr>
            <w:rStyle w:val="Hyperlink"/>
          </w:rPr>
          <w:t xml:space="preserve">Ver video</w:t>
        </w:r>
      </w:hyperlink>
    </w:p>
    <w:p>
      <w:pPr>
        <w:numPr>
          <w:ilvl w:val="0"/>
          <w:numId w:val="1008"/>
        </w:numPr>
        <w:pStyle w:val="Compact"/>
      </w:pPr>
      <w:r>
        <w:rPr>
          <w:bCs/>
          <w:b/>
        </w:rPr>
        <w:t xml:space="preserve">Aplicación de IA — Wysa (Mental Wellbeing AI).</w:t>
      </w:r>
      <w:r>
        <w:t xml:space="preserve"> </w:t>
      </w:r>
      <w:r>
        <w:t xml:space="preserve">Chatbot de acompañamiento emocional basado en IA, usado por organizaciones como herramienta de bienestar individual dentro de programas corporativos; útil para ilustrar cómo la tecnología puede apoyar el pilar de emociones positivas (P) y el autocuidado del colaborador.</w:t>
      </w:r>
      <w:r>
        <w:t xml:space="preserve"> </w:t>
      </w:r>
      <w:hyperlink r:id="rId28">
        <w:r>
          <w:rPr>
            <w:rStyle w:val="Hyperlink"/>
          </w:rPr>
          <w:t xml:space="preserve">Conocer la app</w:t>
        </w:r>
      </w:hyperlink>
    </w:p>
    <w:p>
      <w:pPr>
        <w:numPr>
          <w:ilvl w:val="0"/>
          <w:numId w:val="1008"/>
        </w:numPr>
        <w:pStyle w:val="Compact"/>
      </w:pPr>
      <w:r>
        <w:rPr>
          <w:bCs/>
          <w:b/>
        </w:rPr>
        <w:t xml:space="preserve">Herramienta/lectura — IA aplicada al diagnóstico de clima laboral.</w:t>
      </w:r>
      <w:r>
        <w:t xml:space="preserve"> </w:t>
      </w:r>
      <w:r>
        <w:rPr>
          <w:iCs/>
          <w:i/>
        </w:rPr>
        <w:t xml:space="preserve">“</w:t>
      </w:r>
      <w:r>
        <w:rPr>
          <w:iCs/>
          <w:i/>
        </w:rPr>
        <w:t xml:space="preserve">Clima laboral con IA: cómo mejorar el bienestar en tu empresa</w:t>
      </w:r>
      <w:r>
        <w:rPr>
          <w:iCs/>
          <w:i/>
        </w:rPr>
        <w:t xml:space="preserve">”</w:t>
      </w:r>
      <w:r>
        <w:t xml:space="preserve">, Sesame HR. Artículo que ilustra el uso de analítica e IA para medir clima organizacional en tiempo real, complementando la discusión sobre indicadores del Contenido.</w:t>
      </w:r>
      <w:r>
        <w:t xml:space="preserve"> </w:t>
      </w:r>
      <w:hyperlink r:id="rId29">
        <w:r>
          <w:rPr>
            <w:rStyle w:val="Hyperlink"/>
          </w:rPr>
          <w:t xml:space="preserve">Leer artículo</w:t>
        </w:r>
      </w:hyperlink>
    </w:p>
    <w:p>
      <w:pPr>
        <w:pStyle w:val="BlockText"/>
      </w:pPr>
      <w:r>
        <w:rPr>
          <w:iCs/>
          <w:i/>
        </w:rPr>
        <w:t xml:space="preserve">Nota de maquetación (Fase 3): esta sección funciona bien como tarjetas con ícono (video / app / lectura) y un botón</w:t>
      </w:r>
      <w:r>
        <w:rPr>
          <w:iCs/>
          <w:i/>
        </w:rPr>
        <w:t xml:space="preserve"> </w:t>
      </w:r>
      <w:r>
        <w:rPr>
          <w:iCs/>
          <w:i/>
        </w:rPr>
        <w:t xml:space="preserve">“</w:t>
      </w:r>
      <w:r>
        <w:rPr>
          <w:iCs/>
          <w:i/>
        </w:rPr>
        <w:t xml:space="preserve">Abrir recurso</w:t>
      </w:r>
      <w:r>
        <w:rPr>
          <w:iCs/>
          <w:i/>
        </w:rPr>
        <w:t xml:space="preserve">”</w:t>
      </w:r>
      <w:r>
        <w:rPr>
          <w:iCs/>
          <w:i/>
        </w:rPr>
        <w:t xml:space="preserve">.</w:t>
      </w:r>
    </w:p>
    <w:bookmarkEnd w:id="30"/>
    <w:bookmarkStart w:id="31" w:name="Xb4a434605a4f4170d1e1b719c2db5dcc579f404"/>
    <w:p>
      <w:pPr>
        <w:pStyle w:val="Heading2"/>
      </w:pPr>
      <w:r>
        <w:t xml:space="preserve">Referencias para ampliación y/o bibliografía</w:t>
      </w:r>
    </w:p>
    <w:p>
      <w:pPr>
        <w:numPr>
          <w:ilvl w:val="0"/>
          <w:numId w:val="1009"/>
        </w:numPr>
        <w:pStyle w:val="Compact"/>
      </w:pPr>
      <w:r>
        <w:t xml:space="preserve">Seligman, M. (2011).</w:t>
      </w:r>
      <w:r>
        <w:t xml:space="preserve"> </w:t>
      </w:r>
      <w:r>
        <w:rPr>
          <w:iCs/>
          <w:i/>
        </w:rPr>
        <w:t xml:space="preserve">Flourish: A Visionary New Understanding of Happiness and Well-being</w:t>
      </w:r>
      <w:r>
        <w:t xml:space="preserve">.</w:t>
      </w:r>
    </w:p>
    <w:p>
      <w:pPr>
        <w:numPr>
          <w:ilvl w:val="0"/>
          <w:numId w:val="1009"/>
        </w:numPr>
        <w:pStyle w:val="Compact"/>
      </w:pPr>
      <w:r>
        <w:t xml:space="preserve">DIAN (2026).</w:t>
      </w:r>
      <w:r>
        <w:t xml:space="preserve"> </w:t>
      </w:r>
      <w:r>
        <w:rPr>
          <w:iCs/>
          <w:i/>
        </w:rPr>
        <w:t xml:space="preserve">Plan Nacional de Bienestar Integral e Incentivos</w:t>
      </w:r>
      <w:r>
        <w:t xml:space="preserve">.</w:t>
      </w:r>
    </w:p>
    <w:p>
      <w:pPr>
        <w:numPr>
          <w:ilvl w:val="0"/>
          <w:numId w:val="1009"/>
        </w:numPr>
        <w:pStyle w:val="Compact"/>
      </w:pPr>
      <w:r>
        <w:t xml:space="preserve">WorkMeter (2026).</w:t>
      </w:r>
      <w:r>
        <w:t xml:space="preserve"> </w:t>
      </w:r>
      <w:r>
        <w:rPr>
          <w:iCs/>
          <w:i/>
        </w:rPr>
        <w:t xml:space="preserve">Definiendo el bienestar laboral estratégico: Menos absentismo, más ROI</w:t>
      </w:r>
      <w:r>
        <w:t xml:space="preserve">.</w:t>
      </w:r>
    </w:p>
    <w:p>
      <w:pPr>
        <w:numPr>
          <w:ilvl w:val="0"/>
          <w:numId w:val="1009"/>
        </w:numPr>
        <w:pStyle w:val="Compact"/>
      </w:pPr>
      <w:r>
        <w:t xml:space="preserve">Deel (2026).</w:t>
      </w:r>
      <w:r>
        <w:t xml:space="preserve"> </w:t>
      </w:r>
      <w:r>
        <w:rPr>
          <w:iCs/>
          <w:i/>
        </w:rPr>
        <w:t xml:space="preserve">Tendencias en Bienestar Laboral: Flexibilidad y Desconexión</w:t>
      </w:r>
      <w:r>
        <w:t xml:space="preser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pps.apple.com/es/app/wysa-mental-wellbeing-ai/id1166585565" TargetMode="External" /><Relationship Type="http://schemas.openxmlformats.org/officeDocument/2006/relationships/hyperlink" Id="rId29" Target="https://www.sesamehr.es/blog/employee-experience/clima-laboral-ia/" TargetMode="External" /><Relationship Type="http://schemas.openxmlformats.org/officeDocument/2006/relationships/hyperlink" Id="rId27" Target="https://www.ted.com/talks/josh_misner_what_i_learned_from_10_years_of_digital_detox" TargetMode="External" /><Relationship Type="http://schemas.openxmlformats.org/officeDocument/2006/relationships/hyperlink" Id="rId26" Target="https://www.youtube.com/watch?v=4dmKKCKm2a8" TargetMode="External" /></Relationships>
</file>

<file path=word/_rels/footnotes.xml.rels><?xml version="1.0" encoding="UTF-8"?><Relationships xmlns="http://schemas.openxmlformats.org/package/2006/relationships"><Relationship Type="http://schemas.openxmlformats.org/officeDocument/2006/relationships/hyperlink" Id="rId28" Target="https://apps.apple.com/es/app/wysa-mental-wellbeing-ai/id1166585565" TargetMode="External" /><Relationship Type="http://schemas.openxmlformats.org/officeDocument/2006/relationships/hyperlink" Id="rId29" Target="https://www.sesamehr.es/blog/employee-experience/clima-laboral-ia/" TargetMode="External" /><Relationship Type="http://schemas.openxmlformats.org/officeDocument/2006/relationships/hyperlink" Id="rId27" Target="https://www.ted.com/talks/josh_misner_what_i_learned_from_10_years_of_digital_detox" TargetMode="External" /><Relationship Type="http://schemas.openxmlformats.org/officeDocument/2006/relationships/hyperlink" Id="rId26" Target="https://www.youtube.com/watch?v=4dmKKCKm2a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2026-08-14T17:26:53Z</dcterms:created>
  <dcterms:modified xsi:type="dcterms:W3CDTF">2026-08-14T17:26:53Z</dcterms:modified>
</cp:coreProperties>
</file>

<file path=docProps/custom.xml><?xml version="1.0" encoding="utf-8"?>
<Properties xmlns="http://schemas.openxmlformats.org/officeDocument/2006/custom-properties" xmlns:vt="http://schemas.openxmlformats.org/officeDocument/2006/docPropsVTypes"/>
</file>