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3942" w14:textId="77777777" w:rsidR="00D37A09" w:rsidRDefault="00D37A09" w:rsidP="00D37A09"/>
    <w:p w14:paraId="7AF13261" w14:textId="07A844CD" w:rsidR="00D37A09" w:rsidRDefault="00D37A09" w:rsidP="00D37A09">
      <w:r>
        <w:t>Tema 2: Estrategias modernas de atracción y selección basadas en competencias y valores organizacionales.</w:t>
      </w:r>
    </w:p>
    <w:p w14:paraId="71AAA8A0" w14:textId="77777777" w:rsidR="00D37A09" w:rsidRDefault="00D37A09" w:rsidP="00D37A09"/>
    <w:p w14:paraId="082BD38B" w14:textId="77777777" w:rsidR="00D37A09" w:rsidRPr="00D37A09" w:rsidRDefault="00D37A09" w:rsidP="00D37A09"/>
    <w:p w14:paraId="00000015" w14:textId="77777777" w:rsidR="009938B7"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16" w14:textId="77777777" w:rsidR="009938B7"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atracción y selección han dejado de ser procesos de descarte para convertirse en estrategias de ajuste mutuo. Este subtema explora el modelo de gestión por competencias —alineado con el </w:t>
      </w:r>
      <w:r>
        <w:rPr>
          <w:rFonts w:ascii="Google Sans" w:eastAsia="Google Sans" w:hAnsi="Google Sans" w:cs="Google Sans"/>
          <w:b/>
          <w:bCs/>
          <w:color w:val="1F1F1F"/>
        </w:rPr>
        <w:t>Proyecto Tuning América Latina</w:t>
      </w:r>
      <w:r>
        <w:rPr>
          <w:rFonts w:ascii="Google Sans" w:eastAsia="Google Sans" w:hAnsi="Google Sans" w:cs="Google Sans"/>
          <w:color w:val="1F1F1F"/>
        </w:rPr>
        <w:t>— y el uso de valores organizacionales e integridad como filtros primarios. El especialista aprenderá a diseñar procesos inclusivos, libres de sesgos y tecnológicamente avanzados que garanticen que el candidato no solo tenga la capacidad técnica, sino que comparta el propósito de la organización.</w:t>
      </w:r>
    </w:p>
    <w:p w14:paraId="00000017" w14:textId="77777777" w:rsidR="009938B7"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18" w14:textId="77777777" w:rsidR="009938B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Implementar el modelo de competencias del Proyecto Tuning para definir perfiles de cargo que integren el saber, el hacer y el ser.</w:t>
      </w:r>
    </w:p>
    <w:p w14:paraId="00000019" w14:textId="77777777" w:rsidR="009938B7"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Diseñar estrategias de </w:t>
      </w:r>
      <w:proofErr w:type="spellStart"/>
      <w:r>
        <w:rPr>
          <w:rFonts w:ascii="Google Sans" w:eastAsia="Google Sans" w:hAnsi="Google Sans" w:cs="Google Sans"/>
          <w:i/>
          <w:iCs/>
          <w:color w:val="1F1F1F"/>
        </w:rPr>
        <w:t>Employer</w:t>
      </w:r>
      <w:proofErr w:type="spellEnd"/>
      <w:r>
        <w:rPr>
          <w:rFonts w:ascii="Google Sans" w:eastAsia="Google Sans" w:hAnsi="Google Sans" w:cs="Google Sans"/>
          <w:i/>
          <w:iCs/>
          <w:color w:val="1F1F1F"/>
        </w:rPr>
        <w:t xml:space="preserve"> Branding</w:t>
      </w:r>
      <w:r>
        <w:rPr>
          <w:rFonts w:ascii="Google Sans" w:eastAsia="Google Sans" w:hAnsi="Google Sans" w:cs="Google Sans"/>
          <w:color w:val="1F1F1F"/>
        </w:rPr>
        <w:t xml:space="preserve"> e </w:t>
      </w:r>
      <w:proofErr w:type="spellStart"/>
      <w:r>
        <w:rPr>
          <w:rFonts w:ascii="Google Sans" w:eastAsia="Google Sans" w:hAnsi="Google Sans" w:cs="Google Sans"/>
          <w:i/>
          <w:iCs/>
          <w:color w:val="1F1F1F"/>
        </w:rPr>
        <w:t>Inbound</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Recruiting</w:t>
      </w:r>
      <w:proofErr w:type="spellEnd"/>
      <w:r>
        <w:rPr>
          <w:rFonts w:ascii="Google Sans" w:eastAsia="Google Sans" w:hAnsi="Google Sans" w:cs="Google Sans"/>
          <w:color w:val="1F1F1F"/>
        </w:rPr>
        <w:t xml:space="preserve"> que proyecten una cultura organizacional atractiva para las nuevas generaciones.</w:t>
      </w:r>
    </w:p>
    <w:p w14:paraId="0000001A" w14:textId="77777777" w:rsidR="009938B7"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Proyectar la evolución del reclutamiento digital hacia modelos de </w:t>
      </w:r>
      <w:proofErr w:type="spellStart"/>
      <w:r>
        <w:rPr>
          <w:rFonts w:ascii="Google Sans" w:eastAsia="Google Sans" w:hAnsi="Google Sans" w:cs="Google Sans"/>
          <w:b/>
          <w:bCs/>
          <w:color w:val="1F1F1F"/>
        </w:rPr>
        <w:t>hiper-personalización</w:t>
      </w:r>
      <w:proofErr w:type="spellEnd"/>
      <w:r>
        <w:rPr>
          <w:rFonts w:ascii="Google Sans" w:eastAsia="Google Sans" w:hAnsi="Google Sans" w:cs="Google Sans"/>
          <w:b/>
          <w:bCs/>
          <w:color w:val="1F1F1F"/>
        </w:rPr>
        <w:t xml:space="preserve"> y auditoría algorítmica para evitar sesgos en el 2026.</w:t>
      </w:r>
    </w:p>
    <w:p w14:paraId="0000001B" w14:textId="77777777" w:rsidR="009938B7"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1C" w14:textId="77777777" w:rsidR="009938B7"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Parte 1: Selección por Competencias e Integridad:</w:t>
      </w:r>
      <w:r>
        <w:rPr>
          <w:rFonts w:ascii="Google Sans" w:eastAsia="Google Sans" w:hAnsi="Google Sans" w:cs="Google Sans"/>
          <w:color w:val="1F1F1F"/>
        </w:rPr>
        <w:t xml:space="preserve"> El nuevo estándar prioriza las habilidades (</w:t>
      </w:r>
      <w:proofErr w:type="spellStart"/>
      <w:r>
        <w:rPr>
          <w:rFonts w:ascii="Google Sans" w:eastAsia="Google Sans" w:hAnsi="Google Sans" w:cs="Google Sans"/>
          <w:i/>
          <w:iCs/>
          <w:color w:val="1F1F1F"/>
        </w:rPr>
        <w:t>skills</w:t>
      </w:r>
      <w:proofErr w:type="spellEnd"/>
      <w:r>
        <w:rPr>
          <w:rFonts w:ascii="Google Sans" w:eastAsia="Google Sans" w:hAnsi="Google Sans" w:cs="Google Sans"/>
          <w:color w:val="1F1F1F"/>
        </w:rPr>
        <w:t>) sobre los títulos académicos tradicionales. Utilizando el marco del Proyecto Tuning, se evalúan competencias genéricas como el compromiso ético, la capacidad de aprendizaje permanente y el trabajo en equipo.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El proceso debe centrarse en la persona y no solo en la tarea, construyendo perfiles que reflejen los valores de la empresa y aseguren la vinculación de perfiles bajo criterios de excelencia y transparencia.</w:t>
      </w:r>
    </w:p>
    <w:p w14:paraId="0000001D" w14:textId="77777777" w:rsidR="009938B7"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Parte 2: El Método STAR y la Entrevista de Incidentes Críticos:</w:t>
      </w:r>
      <w:r>
        <w:rPr>
          <w:rFonts w:ascii="Google Sans" w:eastAsia="Google Sans" w:hAnsi="Google Sans" w:cs="Google Sans"/>
          <w:color w:val="1F1F1F"/>
        </w:rPr>
        <w:t xml:space="preserve"> Para predecir el comportamiento futuro es vital analizar el comportamiento pasado. El </w:t>
      </w:r>
      <w:r>
        <w:rPr>
          <w:rFonts w:ascii="Google Sans" w:eastAsia="Google Sans" w:hAnsi="Google Sans" w:cs="Google Sans"/>
          <w:b/>
          <w:bCs/>
          <w:color w:val="1F1F1F"/>
        </w:rPr>
        <w:t>Método STAR</w:t>
      </w:r>
      <w:r>
        <w:rPr>
          <w:rFonts w:ascii="Google Sans" w:eastAsia="Google Sans" w:hAnsi="Google Sans" w:cs="Google Sans"/>
          <w:color w:val="1F1F1F"/>
        </w:rPr>
        <w:t xml:space="preserve"> (Situación, Tarea, Acción, Resultado) es la herramienta predilecta para evaluar competencias de forma objetiva. El especialista debe entrenar a los líderes para formular preguntas abiertas que extraigan ejemplos concretos de la experiencia del candidato, permitiendo calificar respuestas bajo escalas de evaluación bien definidas alineadas con las competencias críticas del cargo.</w:t>
      </w:r>
    </w:p>
    <w:p w14:paraId="0000001E" w14:textId="77777777" w:rsidR="009938B7"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Parte 3: Reclutamiento "Human-</w:t>
      </w:r>
      <w:proofErr w:type="spellStart"/>
      <w:r>
        <w:rPr>
          <w:rFonts w:ascii="Google Sans" w:eastAsia="Google Sans" w:hAnsi="Google Sans" w:cs="Google Sans"/>
          <w:b/>
          <w:bCs/>
          <w:color w:val="1F1F1F"/>
        </w:rPr>
        <w:t>Centric</w:t>
      </w:r>
      <w:proofErr w:type="spellEnd"/>
      <w:r>
        <w:rPr>
          <w:rFonts w:ascii="Google Sans" w:eastAsia="Google Sans" w:hAnsi="Google Sans" w:cs="Google Sans"/>
          <w:b/>
          <w:bCs/>
          <w:color w:val="1F1F1F"/>
        </w:rPr>
        <w:t>" e IA en 2026:</w:t>
      </w:r>
      <w:r>
        <w:rPr>
          <w:rFonts w:ascii="Google Sans" w:eastAsia="Google Sans" w:hAnsi="Google Sans" w:cs="Google Sans"/>
          <w:color w:val="1F1F1F"/>
        </w:rPr>
        <w:t xml:space="preserve"> El reclutamiento moderno es un proceso de comunicación mediado por la tecnología. El uso de softwares de IA (ATS) permite agilizar el análisis de grandes volúmenes de datos. Sin embargo, la tendencia para 2026 exige un "toque humano" reforzado para evitar la desconexión del candidato. La marca empleadora debe reflejar una cultura de diversidad, equidad e inclusión (DEI) </w:t>
      </w:r>
      <w:r>
        <w:rPr>
          <w:rFonts w:ascii="Google Sans" w:eastAsia="Google Sans" w:hAnsi="Google Sans" w:cs="Google Sans"/>
          <w:color w:val="1F1F1F"/>
        </w:rPr>
        <w:lastRenderedPageBreak/>
        <w:t>para atraer a la Generación Z, que valora la autenticidad y el propósito social por encima de las promesas de marketing.</w:t>
      </w:r>
    </w:p>
    <w:p w14:paraId="0000001F" w14:textId="77777777" w:rsidR="009938B7"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20" w14:textId="77777777" w:rsidR="009938B7"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Proyecto Tuning América Latina (2014). </w:t>
      </w:r>
      <w:r>
        <w:rPr>
          <w:rFonts w:ascii="Google Sans" w:eastAsia="Google Sans" w:hAnsi="Google Sans" w:cs="Google Sans"/>
          <w:i/>
          <w:iCs/>
          <w:color w:val="1F1F1F"/>
        </w:rPr>
        <w:t>Informe Final: Competencias en Administración</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p>
    <w:p w14:paraId="00000021" w14:textId="77777777" w:rsidR="009938B7" w:rsidRDefault="00000000">
      <w:pPr>
        <w:numPr>
          <w:ilvl w:val="0"/>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Beetween</w:t>
      </w:r>
      <w:proofErr w:type="spellEnd"/>
      <w:r>
        <w:rPr>
          <w:rFonts w:ascii="Google Sans" w:eastAsia="Google Sans" w:hAnsi="Google Sans" w:cs="Google Sans"/>
          <w:color w:val="1F1F1F"/>
        </w:rPr>
        <w:t xml:space="preserve"> (2025). </w:t>
      </w:r>
      <w:r>
        <w:rPr>
          <w:rFonts w:ascii="Google Sans" w:eastAsia="Google Sans" w:hAnsi="Google Sans" w:cs="Google Sans"/>
          <w:i/>
          <w:iCs/>
          <w:color w:val="1F1F1F"/>
        </w:rPr>
        <w:t>IA con enfoque humano y contratación basada en competencias</w:t>
      </w:r>
      <w:r>
        <w:rPr>
          <w:rFonts w:ascii="Google Sans" w:eastAsia="Google Sans" w:hAnsi="Google Sans" w:cs="Google Sans"/>
          <w:color w:val="1F1F1F"/>
        </w:rPr>
        <w:t>.</w:t>
      </w:r>
    </w:p>
    <w:p w14:paraId="00000022" w14:textId="77777777" w:rsidR="009938B7" w:rsidRDefault="00000000">
      <w:pPr>
        <w:numPr>
          <w:ilvl w:val="0"/>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PrideCom</w:t>
      </w:r>
      <w:proofErr w:type="spellEnd"/>
      <w:r>
        <w:rPr>
          <w:rFonts w:ascii="Google Sans" w:eastAsia="Google Sans" w:hAnsi="Google Sans" w:cs="Google Sans"/>
          <w:color w:val="1F1F1F"/>
        </w:rPr>
        <w:t xml:space="preserve"> (2025). </w:t>
      </w:r>
      <w:r>
        <w:rPr>
          <w:rFonts w:ascii="Google Sans" w:eastAsia="Google Sans" w:hAnsi="Google Sans" w:cs="Google Sans"/>
          <w:i/>
          <w:iCs/>
          <w:color w:val="1F1F1F"/>
        </w:rPr>
        <w:t xml:space="preserve">Tendencias de reclutamiento: </w:t>
      </w:r>
      <w:proofErr w:type="spellStart"/>
      <w:r>
        <w:rPr>
          <w:rFonts w:ascii="Google Sans" w:eastAsia="Google Sans" w:hAnsi="Google Sans" w:cs="Google Sans"/>
          <w:i/>
          <w:iCs/>
          <w:color w:val="1F1F1F"/>
        </w:rPr>
        <w:t>Employer</w:t>
      </w:r>
      <w:proofErr w:type="spellEnd"/>
      <w:r>
        <w:rPr>
          <w:rFonts w:ascii="Google Sans" w:eastAsia="Google Sans" w:hAnsi="Google Sans" w:cs="Google Sans"/>
          <w:i/>
          <w:iCs/>
          <w:color w:val="1F1F1F"/>
        </w:rPr>
        <w:t xml:space="preserve"> Branding e IA</w:t>
      </w:r>
      <w:r>
        <w:rPr>
          <w:rFonts w:ascii="Google Sans" w:eastAsia="Google Sans" w:hAnsi="Google Sans" w:cs="Google Sans"/>
          <w:color w:val="1F1F1F"/>
        </w:rPr>
        <w:t>.</w:t>
      </w:r>
    </w:p>
    <w:p w14:paraId="0000005C" w14:textId="4AFD603F" w:rsidR="009938B7" w:rsidRDefault="00000000" w:rsidP="00D37A09">
      <w:pPr>
        <w:numPr>
          <w:ilvl w:val="0"/>
          <w:numId w:val="7"/>
        </w:numPr>
        <w:pBdr>
          <w:top w:val="nil"/>
          <w:left w:val="nil"/>
          <w:bottom w:val="nil"/>
          <w:right w:val="nil"/>
          <w:between w:val="nil"/>
        </w:pBdr>
        <w:spacing w:after="120" w:line="275" w:lineRule="auto"/>
      </w:pPr>
      <w:r>
        <w:rPr>
          <w:rFonts w:ascii="Google Sans" w:eastAsia="Google Sans" w:hAnsi="Google Sans" w:cs="Google Sans"/>
          <w:color w:val="1F1F1F"/>
        </w:rPr>
        <w:t xml:space="preserve">Humanos Reales (2025). </w:t>
      </w:r>
      <w:r>
        <w:rPr>
          <w:rFonts w:ascii="Google Sans" w:eastAsia="Google Sans" w:hAnsi="Google Sans" w:cs="Google Sans"/>
          <w:i/>
          <w:iCs/>
          <w:color w:val="1F1F1F"/>
        </w:rPr>
        <w:t>Guía del Método STAR para entrevistas por competencias</w:t>
      </w:r>
      <w:r>
        <w:rPr>
          <w:rFonts w:ascii="Google Sans" w:eastAsia="Google Sans" w:hAnsi="Google Sans" w:cs="Google Sans"/>
          <w:color w:val="1F1F1F"/>
        </w:rPr>
        <w:t>.</w:t>
      </w:r>
      <w:r w:rsidR="00D37A09">
        <w:t xml:space="preserve"> </w:t>
      </w:r>
    </w:p>
    <w:sectPr w:rsidR="009938B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2A051C-4D58-4E87-B985-1BAB726B5078}"/>
  </w:font>
  <w:font w:name="Google Sans">
    <w:altName w:val="Calibri"/>
    <w:charset w:val="00"/>
    <w:family w:val="auto"/>
    <w:pitch w:val="default"/>
    <w:embedRegular r:id="rId2" w:fontKey="{38B86C5D-F32D-468E-B963-0D20743EB69B}"/>
    <w:embedBold r:id="rId3" w:fontKey="{7EAD6FBF-EAAF-4AC6-A345-E90C560BB311}"/>
    <w:embedItalic r:id="rId4" w:fontKey="{2FC89D83-CB92-4234-A11E-4445B7FBA3C9}"/>
  </w:font>
  <w:font w:name="Calibri">
    <w:panose1 w:val="020F0502020204030204"/>
    <w:charset w:val="00"/>
    <w:family w:val="swiss"/>
    <w:pitch w:val="variable"/>
    <w:sig w:usb0="E4002EFF" w:usb1="C200247B" w:usb2="00000009" w:usb3="00000000" w:csb0="000001FF" w:csb1="00000000"/>
    <w:embedRegular r:id="rId5" w:fontKey="{0BC4AA8B-DA28-4209-AF1A-AC2FE9C9BD0D}"/>
  </w:font>
  <w:font w:name="Cambria">
    <w:panose1 w:val="02040503050406030204"/>
    <w:charset w:val="00"/>
    <w:family w:val="roman"/>
    <w:pitch w:val="variable"/>
    <w:sig w:usb0="E00006FF" w:usb1="420024FF" w:usb2="02000000" w:usb3="00000000" w:csb0="0000019F" w:csb1="00000000"/>
    <w:embedRegular r:id="rId6" w:fontKey="{FCF3BFAF-A8A5-42BB-8A34-3104A515B4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476C18"/>
    <w:multiLevelType w:val="multilevel"/>
    <w:tmpl w:val="473E7C6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AE2245"/>
    <w:multiLevelType w:val="multilevel"/>
    <w:tmpl w:val="C13468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A45103"/>
    <w:multiLevelType w:val="multilevel"/>
    <w:tmpl w:val="6E32ECF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9AB5B4C"/>
    <w:multiLevelType w:val="hybridMultilevel"/>
    <w:tmpl w:val="94260C92"/>
    <w:lvl w:ilvl="0" w:tplc="B20622F8">
      <w:start w:val="1"/>
      <w:numFmt w:val="bullet"/>
      <w:lvlText w:val=""/>
      <w:lvlPicBulletId w:val="0"/>
      <w:lvlJc w:val="left"/>
      <w:pPr>
        <w:tabs>
          <w:tab w:val="num" w:pos="720"/>
        </w:tabs>
        <w:ind w:left="720" w:hanging="360"/>
      </w:pPr>
      <w:rPr>
        <w:rFonts w:ascii="Symbol" w:hAnsi="Symbol" w:hint="default"/>
      </w:rPr>
    </w:lvl>
    <w:lvl w:ilvl="1" w:tplc="D64E0606" w:tentative="1">
      <w:start w:val="1"/>
      <w:numFmt w:val="bullet"/>
      <w:lvlText w:val=""/>
      <w:lvlJc w:val="left"/>
      <w:pPr>
        <w:tabs>
          <w:tab w:val="num" w:pos="1440"/>
        </w:tabs>
        <w:ind w:left="1440" w:hanging="360"/>
      </w:pPr>
      <w:rPr>
        <w:rFonts w:ascii="Symbol" w:hAnsi="Symbol" w:hint="default"/>
      </w:rPr>
    </w:lvl>
    <w:lvl w:ilvl="2" w:tplc="69D8F2C4" w:tentative="1">
      <w:start w:val="1"/>
      <w:numFmt w:val="bullet"/>
      <w:lvlText w:val=""/>
      <w:lvlJc w:val="left"/>
      <w:pPr>
        <w:tabs>
          <w:tab w:val="num" w:pos="2160"/>
        </w:tabs>
        <w:ind w:left="2160" w:hanging="360"/>
      </w:pPr>
      <w:rPr>
        <w:rFonts w:ascii="Symbol" w:hAnsi="Symbol" w:hint="default"/>
      </w:rPr>
    </w:lvl>
    <w:lvl w:ilvl="3" w:tplc="D03E7026" w:tentative="1">
      <w:start w:val="1"/>
      <w:numFmt w:val="bullet"/>
      <w:lvlText w:val=""/>
      <w:lvlJc w:val="left"/>
      <w:pPr>
        <w:tabs>
          <w:tab w:val="num" w:pos="2880"/>
        </w:tabs>
        <w:ind w:left="2880" w:hanging="360"/>
      </w:pPr>
      <w:rPr>
        <w:rFonts w:ascii="Symbol" w:hAnsi="Symbol" w:hint="default"/>
      </w:rPr>
    </w:lvl>
    <w:lvl w:ilvl="4" w:tplc="F9F26E90" w:tentative="1">
      <w:start w:val="1"/>
      <w:numFmt w:val="bullet"/>
      <w:lvlText w:val=""/>
      <w:lvlJc w:val="left"/>
      <w:pPr>
        <w:tabs>
          <w:tab w:val="num" w:pos="3600"/>
        </w:tabs>
        <w:ind w:left="3600" w:hanging="360"/>
      </w:pPr>
      <w:rPr>
        <w:rFonts w:ascii="Symbol" w:hAnsi="Symbol" w:hint="default"/>
      </w:rPr>
    </w:lvl>
    <w:lvl w:ilvl="5" w:tplc="01E28782" w:tentative="1">
      <w:start w:val="1"/>
      <w:numFmt w:val="bullet"/>
      <w:lvlText w:val=""/>
      <w:lvlJc w:val="left"/>
      <w:pPr>
        <w:tabs>
          <w:tab w:val="num" w:pos="4320"/>
        </w:tabs>
        <w:ind w:left="4320" w:hanging="360"/>
      </w:pPr>
      <w:rPr>
        <w:rFonts w:ascii="Symbol" w:hAnsi="Symbol" w:hint="default"/>
      </w:rPr>
    </w:lvl>
    <w:lvl w:ilvl="6" w:tplc="30F48EC8" w:tentative="1">
      <w:start w:val="1"/>
      <w:numFmt w:val="bullet"/>
      <w:lvlText w:val=""/>
      <w:lvlJc w:val="left"/>
      <w:pPr>
        <w:tabs>
          <w:tab w:val="num" w:pos="5040"/>
        </w:tabs>
        <w:ind w:left="5040" w:hanging="360"/>
      </w:pPr>
      <w:rPr>
        <w:rFonts w:ascii="Symbol" w:hAnsi="Symbol" w:hint="default"/>
      </w:rPr>
    </w:lvl>
    <w:lvl w:ilvl="7" w:tplc="12F0BFF2" w:tentative="1">
      <w:start w:val="1"/>
      <w:numFmt w:val="bullet"/>
      <w:lvlText w:val=""/>
      <w:lvlJc w:val="left"/>
      <w:pPr>
        <w:tabs>
          <w:tab w:val="num" w:pos="5760"/>
        </w:tabs>
        <w:ind w:left="5760" w:hanging="360"/>
      </w:pPr>
      <w:rPr>
        <w:rFonts w:ascii="Symbol" w:hAnsi="Symbol" w:hint="default"/>
      </w:rPr>
    </w:lvl>
    <w:lvl w:ilvl="8" w:tplc="50B2349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C936FC7"/>
    <w:multiLevelType w:val="multilevel"/>
    <w:tmpl w:val="EA625C3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BD2430"/>
    <w:multiLevelType w:val="multilevel"/>
    <w:tmpl w:val="D800EF5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7D0004E"/>
    <w:multiLevelType w:val="multilevel"/>
    <w:tmpl w:val="B9B4AFF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9125A0D"/>
    <w:multiLevelType w:val="multilevel"/>
    <w:tmpl w:val="B900ECC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B481DA3"/>
    <w:multiLevelType w:val="multilevel"/>
    <w:tmpl w:val="55D400E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E9F395B"/>
    <w:multiLevelType w:val="multilevel"/>
    <w:tmpl w:val="1CF40F4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2A07128"/>
    <w:multiLevelType w:val="multilevel"/>
    <w:tmpl w:val="CE60DFD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1AB735F"/>
    <w:multiLevelType w:val="multilevel"/>
    <w:tmpl w:val="B48E20A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0667AA1"/>
    <w:multiLevelType w:val="multilevel"/>
    <w:tmpl w:val="81E6F2C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26E3BED"/>
    <w:multiLevelType w:val="multilevel"/>
    <w:tmpl w:val="4866001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598245E"/>
    <w:multiLevelType w:val="multilevel"/>
    <w:tmpl w:val="A7ACF3B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5CE2F54"/>
    <w:multiLevelType w:val="multilevel"/>
    <w:tmpl w:val="E042C9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DC673AF"/>
    <w:multiLevelType w:val="multilevel"/>
    <w:tmpl w:val="B7B415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62072322">
    <w:abstractNumId w:val="13"/>
  </w:num>
  <w:num w:numId="2" w16cid:durableId="2004314615">
    <w:abstractNumId w:val="16"/>
  </w:num>
  <w:num w:numId="3" w16cid:durableId="1043021615">
    <w:abstractNumId w:val="1"/>
  </w:num>
  <w:num w:numId="4" w16cid:durableId="811290906">
    <w:abstractNumId w:val="4"/>
  </w:num>
  <w:num w:numId="5" w16cid:durableId="1624728018">
    <w:abstractNumId w:val="7"/>
  </w:num>
  <w:num w:numId="6" w16cid:durableId="40515680">
    <w:abstractNumId w:val="15"/>
  </w:num>
  <w:num w:numId="7" w16cid:durableId="377583830">
    <w:abstractNumId w:val="5"/>
  </w:num>
  <w:num w:numId="8" w16cid:durableId="1088233019">
    <w:abstractNumId w:val="14"/>
  </w:num>
  <w:num w:numId="9" w16cid:durableId="2141066831">
    <w:abstractNumId w:val="0"/>
  </w:num>
  <w:num w:numId="10" w16cid:durableId="2140567869">
    <w:abstractNumId w:val="12"/>
  </w:num>
  <w:num w:numId="11" w16cid:durableId="1070271023">
    <w:abstractNumId w:val="6"/>
  </w:num>
  <w:num w:numId="12" w16cid:durableId="1993410653">
    <w:abstractNumId w:val="2"/>
  </w:num>
  <w:num w:numId="13" w16cid:durableId="329717058">
    <w:abstractNumId w:val="11"/>
  </w:num>
  <w:num w:numId="14" w16cid:durableId="1754542235">
    <w:abstractNumId w:val="9"/>
  </w:num>
  <w:num w:numId="15" w16cid:durableId="1419014010">
    <w:abstractNumId w:val="8"/>
  </w:num>
  <w:num w:numId="16" w16cid:durableId="1495682613">
    <w:abstractNumId w:val="10"/>
  </w:num>
  <w:num w:numId="17" w16cid:durableId="84689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8B7"/>
    <w:rsid w:val="00807DBD"/>
    <w:rsid w:val="009938B7"/>
    <w:rsid w:val="00D3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9083"/>
  <w15:docId w15:val="{CCDD2C7A-664A-4A31-8F9C-E54FE12D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D37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468</Words>
  <Characters>2579</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2026-07-06T20:09:00Z</dcterms:created>
  <dcterms:modified xsi:type="dcterms:W3CDTF">2026-07-06T20:09:00Z</dcterms:modified>
</cp:coreProperties>
</file>