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8B2D" w14:textId="77777777" w:rsidR="006A3B3A" w:rsidRDefault="006A3B3A" w:rsidP="006A3B3A"/>
    <w:p w14:paraId="4EB3DC8F" w14:textId="09912D6F" w:rsidR="006A3B3A" w:rsidRPr="006A3B3A" w:rsidRDefault="006A3B3A" w:rsidP="006A3B3A">
      <w:pPr>
        <w:rPr>
          <w:b/>
          <w:bCs/>
        </w:rPr>
      </w:pPr>
      <w:r w:rsidRPr="006A3B3A">
        <w:rPr>
          <w:b/>
          <w:bCs/>
        </w:rPr>
        <w:t xml:space="preserve">Tema 5: </w:t>
      </w:r>
      <w:r w:rsidRPr="006A3B3A">
        <w:rPr>
          <w:b/>
          <w:bCs/>
        </w:rPr>
        <w:t>Diseño de proyectos orientados a la solución de problemas organizacionales</w:t>
      </w:r>
    </w:p>
    <w:p w14:paraId="1212E251" w14:textId="77777777" w:rsidR="006A3B3A" w:rsidRDefault="006A3B3A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49" w14:textId="2188A446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  <w:r>
        <w:rPr>
          <w:rFonts w:ascii="Google Sans" w:eastAsia="Google Sans" w:hAnsi="Google Sans" w:cs="Google Sans"/>
          <w:color w:val="1F1F1F"/>
        </w:rPr>
        <w:t xml:space="preserve"> El diseño del proyecto es la síntesis de todo el conocimiento previo. En esta etapa, el especialista traduce el diagnóstico y la metodología en un plan de acción concreto, con objetivos claros e indicadores de éxito. Este subtema se enfoca en la creación de valor y el retorno de inversión, asegurando que la propuesta sea atractiva para la organización y cumpla con el estándar de excelencia de un especialista en Gerencia del Talento Humano.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</w:p>
    <w:p w14:paraId="0000004A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4B" w14:textId="77777777" w:rsidR="0067342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Formular proyectos orientados a resultados, alineando los objetivos individuales con las metas estratégicas de la organización.</w:t>
      </w:r>
    </w:p>
    <w:p w14:paraId="0000004C" w14:textId="77777777" w:rsidR="0067342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Diseñar propuestas de valor (EVP) y planes de intervención que integren el bienestar emocional y la eficiencia operativa.</w:t>
      </w:r>
    </w:p>
    <w:p w14:paraId="0000004D" w14:textId="77777777" w:rsidR="0067342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Desarrollar indicadores de impacto y metas alcanzables (SMART) para el seguimiento y evaluación del proyecto.</w:t>
      </w:r>
    </w:p>
    <w:p w14:paraId="0000004E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4F" w14:textId="77777777" w:rsidR="006734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Estructuración de la Solución de Problemas:</w:t>
      </w:r>
      <w:r>
        <w:rPr>
          <w:rFonts w:ascii="Google Sans" w:eastAsia="Google Sans" w:hAnsi="Google Sans" w:cs="Google Sans"/>
          <w:color w:val="1F1F1F"/>
        </w:rPr>
        <w:t xml:space="preserve"> El diseño de un proyecto debe ir más allá de la teoría. Se basa en un modelo de </w:t>
      </w:r>
      <w:r>
        <w:rPr>
          <w:rFonts w:ascii="Google Sans" w:eastAsia="Google Sans" w:hAnsi="Google Sans" w:cs="Google Sans"/>
          <w:b/>
          <w:bCs/>
          <w:color w:val="1F1F1F"/>
        </w:rPr>
        <w:t>Socio Estratégico</w:t>
      </w:r>
      <w:r>
        <w:rPr>
          <w:rFonts w:ascii="Google Sans" w:eastAsia="Google Sans" w:hAnsi="Google Sans" w:cs="Google Sans"/>
          <w:color w:val="1F1F1F"/>
        </w:rPr>
        <w:t>, donde RR. HH. participa en decisiones clave que impactan en finanzas, operaciones o tecnología. El proyecto debe estar estructurado por fases: desde la planificación y asignación de recursos hasta la ejecución y control. Un diseño sólido identifica no solo el "qué hacer", sino el costo-beneficio de la intervención, demostrando cómo la solución reducirá la rotación, aumentará la productividad o mejorará el clima emocional, convirtiendo el bienestar en una ventaja competitiva.</w:t>
      </w:r>
    </w:p>
    <w:p w14:paraId="00000050" w14:textId="77777777" w:rsidR="006734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El Modelo Centrado en la Tarea y en el Humano:</w:t>
      </w:r>
      <w:r>
        <w:rPr>
          <w:rFonts w:ascii="Google Sans" w:eastAsia="Google Sans" w:hAnsi="Google Sans" w:cs="Google Sans"/>
          <w:color w:val="1F1F1F"/>
        </w:rPr>
        <w:t xml:space="preserve"> Para proyectos aplicados, es efectivo utilizar el </w:t>
      </w:r>
      <w:r>
        <w:rPr>
          <w:rFonts w:ascii="Google Sans" w:eastAsia="Google Sans" w:hAnsi="Google Sans" w:cs="Google Sans"/>
          <w:b/>
          <w:bCs/>
          <w:color w:val="1F1F1F"/>
        </w:rPr>
        <w:t>Modelo Centrado en la Tarea</w:t>
      </w:r>
      <w:r>
        <w:rPr>
          <w:rFonts w:ascii="Google Sans" w:eastAsia="Google Sans" w:hAnsi="Google Sans" w:cs="Google Sans"/>
          <w:color w:val="1F1F1F"/>
        </w:rPr>
        <w:t xml:space="preserve">, el cual se enfoca en identificar problemas específicos y trabajar en metas concretas y alcanzables de forma colaborativa entre el especialista y la empresa. Al mismo tiempo, el diseño debe ser </w:t>
      </w:r>
      <w:r>
        <w:rPr>
          <w:rFonts w:ascii="Google Sans" w:eastAsia="Google Sans" w:hAnsi="Google Sans" w:cs="Google Sans"/>
          <w:b/>
          <w:bCs/>
          <w:color w:val="1F1F1F"/>
        </w:rPr>
        <w:t>EX-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driven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(impulsado por la experiencia del empleado), asegurando que la intervención fortalezca la Propuesta de Valor al Empleado (EVP) y promueva un entorno laboral saludable, inclusivo y resiliente. Esta dualidad garantiza que la eficiencia operativa no se logre a costa del desgaste del capital humano.</w:t>
      </w:r>
    </w:p>
    <w:p w14:paraId="00000051" w14:textId="77777777" w:rsidR="006734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Evaluación del Impacto y Mejora Continua:</w:t>
      </w:r>
      <w:r>
        <w:rPr>
          <w:rFonts w:ascii="Google Sans" w:eastAsia="Google Sans" w:hAnsi="Google Sans" w:cs="Google Sans"/>
          <w:color w:val="1F1F1F"/>
        </w:rPr>
        <w:t xml:space="preserve"> Todo diseño debe incluir un sistema de seguimiento con indicadores cuantitativos y cualitativos. El especialista debe ser capaz de proyectar el impacto a largo plazo de su intervención, utilizando herramientas de analítica para medir el progreso. Un proyecto exitoso incluye un plan de comunicación para socializar los resultados y un esquema de mejora continua que permita ajustar la intervención según los hallazgos en la fase de observación. En el </w:t>
      </w:r>
      <w:r>
        <w:rPr>
          <w:rFonts w:ascii="Google Sans" w:eastAsia="Google Sans" w:hAnsi="Google Sans" w:cs="Google Sans"/>
          <w:color w:val="1F1F1F"/>
        </w:rPr>
        <w:lastRenderedPageBreak/>
        <w:t>contexto de la Universidad de Córdoba, el diseño del proyecto debe reflejar la idoneidad y el compromiso ético, contribuyendo al desarrollo socioeconómico de la región.</w:t>
      </w:r>
    </w:p>
    <w:p w14:paraId="00000052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53" w14:textId="77777777" w:rsidR="006734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Quality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Service. (2025). </w:t>
      </w:r>
      <w:r>
        <w:rPr>
          <w:rFonts w:ascii="Google Sans" w:eastAsia="Google Sans" w:hAnsi="Google Sans" w:cs="Google Sans"/>
          <w:i/>
          <w:iCs/>
          <w:color w:val="1F1F1F"/>
        </w:rPr>
        <w:t>De lo Operativo a lo Estratégico: Evolución de RRHH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4" w14:textId="77777777" w:rsidR="006734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Poliverso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Blog. (2024). </w:t>
      </w:r>
      <w:r>
        <w:rPr>
          <w:rFonts w:ascii="Google Sans" w:eastAsia="Google Sans" w:hAnsi="Google Sans" w:cs="Google Sans"/>
          <w:i/>
          <w:iCs/>
          <w:color w:val="1F1F1F"/>
        </w:rPr>
        <w:t>Modelos de Intervención Estructurados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5" w14:textId="77777777" w:rsidR="006734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Dessler, G. (2021). </w:t>
      </w:r>
      <w:r>
        <w:rPr>
          <w:rFonts w:ascii="Google Sans" w:eastAsia="Google Sans" w:hAnsi="Google Sans" w:cs="Google Sans"/>
          <w:i/>
          <w:iCs/>
          <w:color w:val="1F1F1F"/>
        </w:rPr>
        <w:t>Administración de Recursos Humanos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6" w14:textId="77777777" w:rsidR="006734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A16D072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Integración con Google </w:t>
      </w:r>
      <w:proofErr w:type="spellStart"/>
      <w:r>
        <w:rPr>
          <w:rFonts w:ascii="Google Sans" w:eastAsia="Google Sans" w:hAnsi="Google Sans" w:cs="Google Sans"/>
          <w:color w:val="1F1F1F"/>
        </w:rPr>
        <w:t>Docs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 Guía para el Estudiante</w:t>
      </w:r>
    </w:p>
    <w:p w14:paraId="00000057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Este material de la </w:t>
      </w:r>
      <w:r>
        <w:rPr>
          <w:rFonts w:ascii="Google Sans" w:eastAsia="Google Sans" w:hAnsi="Google Sans" w:cs="Google Sans"/>
          <w:b/>
          <w:bCs/>
          <w:color w:val="1F1F1F"/>
        </w:rPr>
        <w:t>Unidad 01</w:t>
      </w:r>
      <w:r>
        <w:rPr>
          <w:rFonts w:ascii="Google Sans" w:eastAsia="Google Sans" w:hAnsi="Google Sans" w:cs="Google Sans"/>
          <w:color w:val="1F1F1F"/>
        </w:rPr>
        <w:t xml:space="preserve"> sirve como base documental para la construcción del </w:t>
      </w:r>
      <w:r>
        <w:rPr>
          <w:rFonts w:ascii="Google Sans" w:eastAsia="Google Sans" w:hAnsi="Google Sans" w:cs="Google Sans"/>
          <w:b/>
          <w:bCs/>
          <w:color w:val="1F1F1F"/>
        </w:rPr>
        <w:t>Anteproyecto de Grado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8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Actividades Sugeridas en el Aula Virtual:</w:t>
      </w:r>
    </w:p>
    <w:p w14:paraId="00000059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Taller de Mapeo:</w:t>
      </w:r>
      <w:r>
        <w:rPr>
          <w:rFonts w:ascii="Google Sans" w:eastAsia="Google Sans" w:hAnsi="Google Sans" w:cs="Google Sans"/>
          <w:color w:val="1F1F1F"/>
        </w:rPr>
        <w:t xml:space="preserve"> El estudiante debe diagramar un proceso administrativo actual de su organización usando la simbología BPMN básica.</w:t>
      </w:r>
    </w:p>
    <w:p w14:paraId="0000005A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Laboratorio de Priorización:</w:t>
      </w:r>
      <w:r>
        <w:rPr>
          <w:rFonts w:ascii="Google Sans" w:eastAsia="Google Sans" w:hAnsi="Google Sans" w:cs="Google Sans"/>
          <w:color w:val="1F1F1F"/>
        </w:rPr>
        <w:t xml:space="preserve"> Uso de una hoja de cálculo para calificar tres problemas identificados bajo los criterios de Alcance, Gravedad y Urgencia.</w:t>
      </w:r>
    </w:p>
    <w:p w14:paraId="0000005B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Foro Normativo:</w:t>
      </w:r>
      <w:r>
        <w:rPr>
          <w:rFonts w:ascii="Google Sans" w:eastAsia="Google Sans" w:hAnsi="Google Sans" w:cs="Google Sans"/>
          <w:color w:val="1F1F1F"/>
        </w:rPr>
        <w:t xml:space="preserve"> Debate sobre las implicaciones del Decreto 1330 en el rigor de los trabajos de grado de especialización en Colombia.</w:t>
      </w:r>
    </w:p>
    <w:p w14:paraId="0000005C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Este diseño pedagógico asegura que el estudiante de la Universidad de Córdoba inicie su proyecto de intervención con un sustento teórico sólido, un método probado y una visión estratégica de alto nivel.</w:t>
      </w:r>
    </w:p>
    <w:p w14:paraId="0000005D" w14:textId="77777777" w:rsidR="0067342C" w:rsidRDefault="00000000">
      <w:pPr>
        <w:pStyle w:val="Ttulo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Fuentes citadas</w:t>
      </w:r>
    </w:p>
    <w:p w14:paraId="0000005E" w14:textId="77777777" w:rsidR="006734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Desarrollo Organizacional y Gestión del Talento Humano - CUN, acceso: abril 12, 2026, </w:t>
      </w:r>
      <w:hyperlink r:id="rId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https://cun.edu.co/especializacion-desarrollo-organizacional-y-gestion-del-talento-humano/</w:t>
        </w:r>
      </w:hyperlink>
    </w:p>
    <w:p w14:paraId="0000005F" w14:textId="77777777" w:rsidR="006734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gerencia de talento humano en Montería - UCC, acceso: abril 12, 2026, </w:t>
      </w:r>
      <w:hyperlink r:id="rId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https://ucc.edu.co/programas/posgrados/Paginas/monteria/especializacion-en-gerencia-del-talento-humano-monteria.aspx</w:t>
        </w:r>
      </w:hyperlink>
    </w:p>
    <w:sectPr w:rsidR="006734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876AFE-74CF-4838-A6CF-FFA9AB51DF0C}"/>
  </w:font>
  <w:font w:name="Google Sans">
    <w:charset w:val="00"/>
    <w:family w:val="auto"/>
    <w:pitch w:val="default"/>
    <w:embedRegular r:id="rId2" w:fontKey="{15E115C5-2F7B-4856-A83B-9702A36EB407}"/>
    <w:embedBold r:id="rId3" w:fontKey="{227EC35F-2DED-4270-B191-4991CA8267D2}"/>
    <w:embedItalic r:id="rId4" w:fontKey="{7F2AC5F7-B783-43AA-95DF-032F794EEB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9ABA1A6-2387-43F9-A842-E090DCDCF0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F6FB71-9A18-435E-A102-5F0283D3B7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038"/>
    <w:multiLevelType w:val="multilevel"/>
    <w:tmpl w:val="7B5AB17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8C36DB"/>
    <w:multiLevelType w:val="multilevel"/>
    <w:tmpl w:val="509830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CE21F9"/>
    <w:multiLevelType w:val="multilevel"/>
    <w:tmpl w:val="FA06745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862546"/>
    <w:multiLevelType w:val="multilevel"/>
    <w:tmpl w:val="421A3FE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7FB7198"/>
    <w:multiLevelType w:val="multilevel"/>
    <w:tmpl w:val="376A42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D6093D"/>
    <w:multiLevelType w:val="multilevel"/>
    <w:tmpl w:val="1C2E56C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3771534"/>
    <w:multiLevelType w:val="multilevel"/>
    <w:tmpl w:val="597E8C8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A133541"/>
    <w:multiLevelType w:val="multilevel"/>
    <w:tmpl w:val="7CC28EC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1D0D0C"/>
    <w:multiLevelType w:val="multilevel"/>
    <w:tmpl w:val="65FAA76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63364BC"/>
    <w:multiLevelType w:val="multilevel"/>
    <w:tmpl w:val="9568341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9220BC"/>
    <w:multiLevelType w:val="multilevel"/>
    <w:tmpl w:val="13B2F0A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ED2374"/>
    <w:multiLevelType w:val="multilevel"/>
    <w:tmpl w:val="981C094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ADB4ED1"/>
    <w:multiLevelType w:val="multilevel"/>
    <w:tmpl w:val="C7663DC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BF91B72"/>
    <w:multiLevelType w:val="multilevel"/>
    <w:tmpl w:val="189A53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6691C26"/>
    <w:multiLevelType w:val="multilevel"/>
    <w:tmpl w:val="36165B5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7F86464"/>
    <w:multiLevelType w:val="multilevel"/>
    <w:tmpl w:val="4A3422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97F720F"/>
    <w:multiLevelType w:val="multilevel"/>
    <w:tmpl w:val="F1D4097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BE15381"/>
    <w:multiLevelType w:val="multilevel"/>
    <w:tmpl w:val="72C4491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9D70E39"/>
    <w:multiLevelType w:val="multilevel"/>
    <w:tmpl w:val="B4DE1C8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1291209">
    <w:abstractNumId w:val="9"/>
  </w:num>
  <w:num w:numId="2" w16cid:durableId="1995721134">
    <w:abstractNumId w:val="18"/>
  </w:num>
  <w:num w:numId="3" w16cid:durableId="1970088226">
    <w:abstractNumId w:val="1"/>
  </w:num>
  <w:num w:numId="4" w16cid:durableId="1115639467">
    <w:abstractNumId w:val="11"/>
  </w:num>
  <w:num w:numId="5" w16cid:durableId="2013218611">
    <w:abstractNumId w:val="5"/>
  </w:num>
  <w:num w:numId="6" w16cid:durableId="1812093275">
    <w:abstractNumId w:val="12"/>
  </w:num>
  <w:num w:numId="7" w16cid:durableId="1751199197">
    <w:abstractNumId w:val="2"/>
  </w:num>
  <w:num w:numId="8" w16cid:durableId="305204476">
    <w:abstractNumId w:val="16"/>
  </w:num>
  <w:num w:numId="9" w16cid:durableId="1114056571">
    <w:abstractNumId w:val="4"/>
  </w:num>
  <w:num w:numId="10" w16cid:durableId="757675219">
    <w:abstractNumId w:val="14"/>
  </w:num>
  <w:num w:numId="11" w16cid:durableId="195044940">
    <w:abstractNumId w:val="10"/>
  </w:num>
  <w:num w:numId="12" w16cid:durableId="1546025340">
    <w:abstractNumId w:val="6"/>
  </w:num>
  <w:num w:numId="13" w16cid:durableId="1656715470">
    <w:abstractNumId w:val="17"/>
  </w:num>
  <w:num w:numId="14" w16cid:durableId="604579566">
    <w:abstractNumId w:val="13"/>
  </w:num>
  <w:num w:numId="15" w16cid:durableId="915087346">
    <w:abstractNumId w:val="7"/>
  </w:num>
  <w:num w:numId="16" w16cid:durableId="1981765435">
    <w:abstractNumId w:val="15"/>
  </w:num>
  <w:num w:numId="17" w16cid:durableId="1635328449">
    <w:abstractNumId w:val="3"/>
  </w:num>
  <w:num w:numId="18" w16cid:durableId="821505219">
    <w:abstractNumId w:val="8"/>
  </w:num>
  <w:num w:numId="19" w16cid:durableId="189819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2C"/>
    <w:rsid w:val="0067342C"/>
    <w:rsid w:val="006A3B3A"/>
    <w:rsid w:val="00A5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31CA"/>
  <w15:docId w15:val="{B1C2F1D4-4B45-4648-9479-F8B6561F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cc.edu.co/programas/posgrados/Paginas/monteria/especializacion-en-gerencia-del-talento-humano-monteria.aspx" TargetMode="External"/><Relationship Id="rId5" Type="http://schemas.openxmlformats.org/officeDocument/2006/relationships/hyperlink" Target="https://cun.edu.co/especializacion-desarrollo-organizacional-y-gestion-del-talento-human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706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Isabel Madera Gomez</cp:lastModifiedBy>
  <cp:revision>2</cp:revision>
  <dcterms:created xsi:type="dcterms:W3CDTF">2026-06-19T16:56:00Z</dcterms:created>
  <dcterms:modified xsi:type="dcterms:W3CDTF">2026-06-19T16:57:00Z</dcterms:modified>
</cp:coreProperties>
</file>