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6" w14:textId="3C2381C5" w:rsidR="00966072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Subtema 3: Modelos y metodologías de formulación de propuestas de intervención</w:t>
      </w:r>
    </w:p>
    <w:p w14:paraId="00000027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28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Una propuesta de intervención exitosa requiere un diseño metodológico que garantice la rigurosidad en la ejecución. Este subtema explora desde los modelos predictivos tradicionales (cascada) hasta los enfoques ágiles y de investigación-acción, permitiendo al especialista elegir el marco que mejor se adapte a la volatilidad del entorno actual y a la complejidad del comportamiento humano en la organización.</w:t>
      </w:r>
    </w:p>
    <w:p w14:paraId="00000029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2A" w14:textId="77777777" w:rsidR="0096607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Diferenciar las metodologías predictivas de las ágiles, evaluando su aplicabilidad según la definición de los requisitos del proyecto.</w:t>
      </w:r>
    </w:p>
    <w:p w14:paraId="0000002B" w14:textId="77777777" w:rsidR="0096607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Implementar el ciclo de la Investigación-Acción (Planear, Actuar, Observar, Reflexionar) como motor de aprendizaje y cambio.</w:t>
      </w:r>
    </w:p>
    <w:p w14:paraId="0000002C" w14:textId="77777777" w:rsidR="00966072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Diseñar esquemas de gobernanza para la propuesta, definiendo roles, responsabilidades y mecanismos de rendición de cuentas.</w:t>
      </w:r>
    </w:p>
    <w:p w14:paraId="0000002D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2E" w14:textId="77777777" w:rsidR="0096607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Metodologías Predictivas vs. Ágiles:</w:t>
      </w:r>
      <w:r>
        <w:rPr>
          <w:rFonts w:ascii="Google Sans" w:eastAsia="Google Sans" w:hAnsi="Google Sans" w:cs="Google Sans"/>
          <w:color w:val="1F1F1F"/>
        </w:rPr>
        <w:t xml:space="preserve"> El enfoque tradicional o de </w:t>
      </w:r>
      <w:r>
        <w:rPr>
          <w:rFonts w:ascii="Google Sans" w:eastAsia="Google Sans" w:hAnsi="Google Sans" w:cs="Google Sans"/>
          <w:b/>
          <w:bCs/>
          <w:color w:val="1F1F1F"/>
        </w:rPr>
        <w:t>Cascada</w:t>
      </w:r>
      <w:r>
        <w:rPr>
          <w:rFonts w:ascii="Google Sans" w:eastAsia="Google Sans" w:hAnsi="Google Sans" w:cs="Google Sans"/>
          <w:color w:val="1F1F1F"/>
        </w:rPr>
        <w:t xml:space="preserve"> es ideal para intervenciones con requisitos bien definidos y poco cambio esperado, donde cada fase debe completarse antes de pasar a la siguiente. Sin embargo, en la era de la transformación digital, las </w:t>
      </w:r>
      <w:r>
        <w:rPr>
          <w:rFonts w:ascii="Google Sans" w:eastAsia="Google Sans" w:hAnsi="Google Sans" w:cs="Google Sans"/>
          <w:b/>
          <w:bCs/>
          <w:color w:val="1F1F1F"/>
        </w:rPr>
        <w:t>Metodologías Ágiles</w:t>
      </w:r>
      <w:r>
        <w:rPr>
          <w:rFonts w:ascii="Google Sans" w:eastAsia="Google Sans" w:hAnsi="Google Sans" w:cs="Google Sans"/>
          <w:color w:val="1F1F1F"/>
        </w:rPr>
        <w:t xml:space="preserve"> (Scrum, Kanban) ganan terreno al ser colaborativas, iterativas y valoran a las personas por encima de los procesos. Para el especialista, el nuevo estándar es la </w:t>
      </w:r>
      <w:r>
        <w:rPr>
          <w:rFonts w:ascii="Google Sans" w:eastAsia="Google Sans" w:hAnsi="Google Sans" w:cs="Google Sans"/>
          <w:b/>
          <w:bCs/>
          <w:color w:val="1F1F1F"/>
        </w:rPr>
        <w:t>Gestión Híbrida</w:t>
      </w:r>
      <w:r>
        <w:rPr>
          <w:rFonts w:ascii="Google Sans" w:eastAsia="Google Sans" w:hAnsi="Google Sans" w:cs="Google Sans"/>
          <w:color w:val="1F1F1F"/>
        </w:rPr>
        <w:t xml:space="preserve">, que selecciona y </w:t>
      </w:r>
      <w:proofErr w:type="gramStart"/>
      <w:r>
        <w:rPr>
          <w:rFonts w:ascii="Google Sans" w:eastAsia="Google Sans" w:hAnsi="Google Sans" w:cs="Google Sans"/>
          <w:color w:val="1F1F1F"/>
        </w:rPr>
        <w:t>combina prácticas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según las características específicas de cada proyecto, permitiendo la rigurosidad de un plan sólido con la flexibilidad de responder a cambios en tiempo real.</w:t>
      </w:r>
    </w:p>
    <w:p w14:paraId="0000002F" w14:textId="77777777" w:rsidR="0096607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El Modelo de Investigación-Acción (IA) en DO:</w:t>
      </w:r>
      <w:r>
        <w:rPr>
          <w:rFonts w:ascii="Google Sans" w:eastAsia="Google Sans" w:hAnsi="Google Sans" w:cs="Google Sans"/>
          <w:color w:val="1F1F1F"/>
        </w:rPr>
        <w:t xml:space="preserve"> La IA es una de las metodologías más potentes en Desarrollo Organizacional porque disuelve la brecha entre el investigador y el investigado. Se basa en un ciclo iterativo: </w:t>
      </w:r>
      <w:r>
        <w:rPr>
          <w:rFonts w:ascii="Google Sans" w:eastAsia="Google Sans" w:hAnsi="Google Sans" w:cs="Google Sans"/>
          <w:b/>
          <w:bCs/>
          <w:color w:val="1F1F1F"/>
        </w:rPr>
        <w:t>Identificación del problema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Planificación de la acción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Implementación</w:t>
      </w:r>
      <w:r>
        <w:rPr>
          <w:rFonts w:ascii="Google Sans" w:eastAsia="Google Sans" w:hAnsi="Google Sans" w:cs="Google Sans"/>
          <w:color w:val="1F1F1F"/>
        </w:rPr>
        <w:t xml:space="preserve">, </w:t>
      </w:r>
      <w:r>
        <w:rPr>
          <w:rFonts w:ascii="Google Sans" w:eastAsia="Google Sans" w:hAnsi="Google Sans" w:cs="Google Sans"/>
          <w:b/>
          <w:bCs/>
          <w:color w:val="1F1F1F"/>
        </w:rPr>
        <w:t>Observación de resultados</w:t>
      </w:r>
      <w:r>
        <w:rPr>
          <w:rFonts w:ascii="Google Sans" w:eastAsia="Google Sans" w:hAnsi="Google Sans" w:cs="Google Sans"/>
          <w:color w:val="1F1F1F"/>
        </w:rPr>
        <w:t xml:space="preserve"> y </w:t>
      </w:r>
      <w:r>
        <w:rPr>
          <w:rFonts w:ascii="Google Sans" w:eastAsia="Google Sans" w:hAnsi="Google Sans" w:cs="Google Sans"/>
          <w:b/>
          <w:bCs/>
          <w:color w:val="1F1F1F"/>
        </w:rPr>
        <w:t>Reflexión crítica</w:t>
      </w:r>
      <w:r>
        <w:rPr>
          <w:rFonts w:ascii="Google Sans" w:eastAsia="Google Sans" w:hAnsi="Google Sans" w:cs="Google Sans"/>
          <w:color w:val="1F1F1F"/>
        </w:rPr>
        <w:t xml:space="preserve">. Este enfoque no solo busca resolver un problema técnico, sino generar aprendizaje mutuo y construir conocimiento a través de la experiencia práctica. Al ser participativo, reduce drásticamente la resistencia al cambio, ya que los colaboradores se convierten en </w:t>
      </w:r>
      <w:proofErr w:type="spellStart"/>
      <w:r>
        <w:rPr>
          <w:rFonts w:ascii="Google Sans" w:eastAsia="Google Sans" w:hAnsi="Google Sans" w:cs="Google Sans"/>
          <w:color w:val="1F1F1F"/>
        </w:rPr>
        <w:t>co-autores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 la solución.</w:t>
      </w:r>
    </w:p>
    <w:p w14:paraId="00000030" w14:textId="77777777" w:rsidR="00966072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Estructuración y Gobernanza de la Propuesta:</w:t>
      </w:r>
      <w:r>
        <w:rPr>
          <w:rFonts w:ascii="Google Sans" w:eastAsia="Google Sans" w:hAnsi="Google Sans" w:cs="Google Sans"/>
          <w:color w:val="1F1F1F"/>
        </w:rPr>
        <w:t xml:space="preserve"> La formulación de la propuesta debe seguir un esquema lógico que incluya: justificación, objetivos (SMART), marco teórico aplicado, cronograma y presupuesto. Es vital definir el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Operating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Model</w:t>
      </w:r>
      <w:r>
        <w:rPr>
          <w:rFonts w:ascii="Google Sans" w:eastAsia="Google Sans" w:hAnsi="Google Sans" w:cs="Google Sans"/>
          <w:color w:val="1F1F1F"/>
        </w:rPr>
        <w:t xml:space="preserve"> de la intervención: quién toma las decisiones (gobernanza), qué tecnología habilitadora se usará (IA, Big Data) y cómo se comunicará el progreso a los directivos y equipos. El </w:t>
      </w:r>
      <w:r>
        <w:rPr>
          <w:rFonts w:ascii="Google Sans" w:eastAsia="Google Sans" w:hAnsi="Google Sans" w:cs="Google Sans"/>
          <w:color w:val="1F1F1F"/>
        </w:rPr>
        <w:lastRenderedPageBreak/>
        <w:t>especialista actúa como un líder que traza hacia dónde quiere ir, incorporando estrategias que aseguren la resiliencia y el crecimiento sostenible de la organización intervenida.</w:t>
      </w:r>
    </w:p>
    <w:p w14:paraId="00000031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32" w14:textId="77777777" w:rsidR="0096607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Prosci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(2024). </w:t>
      </w:r>
      <w:r>
        <w:rPr>
          <w:rFonts w:ascii="Google Sans" w:eastAsia="Google Sans" w:hAnsi="Google Sans" w:cs="Google Sans"/>
          <w:i/>
          <w:iCs/>
          <w:color w:val="1F1F1F"/>
        </w:rPr>
        <w:t>Modelos de Gestión del Cambio y ADKAR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3" w14:textId="77777777" w:rsidR="00966072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Asana </w:t>
      </w:r>
      <w:proofErr w:type="spellStart"/>
      <w:r>
        <w:rPr>
          <w:rFonts w:ascii="Google Sans" w:eastAsia="Google Sans" w:hAnsi="Google Sans" w:cs="Google Sans"/>
          <w:color w:val="1F1F1F"/>
        </w:rPr>
        <w:t>Resources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(2025). </w:t>
      </w:r>
      <w:r>
        <w:rPr>
          <w:rFonts w:ascii="Google Sans" w:eastAsia="Google Sans" w:hAnsi="Google Sans" w:cs="Google Sans"/>
          <w:i/>
          <w:iCs/>
          <w:color w:val="1F1F1F"/>
        </w:rPr>
        <w:t>Las 12 Metodologías más populares para la Gestión de Proyectos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4" w14:textId="1D2ADD5A" w:rsidR="000966B1" w:rsidRDefault="00000000" w:rsidP="000966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Lewin, K. (1946).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Action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Research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Minority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Problems</w:t>
      </w:r>
      <w:proofErr w:type="spellEnd"/>
      <w:r>
        <w:rPr>
          <w:rFonts w:ascii="Google Sans" w:eastAsia="Google Sans" w:hAnsi="Google Sans" w:cs="Google Sans"/>
          <w:color w:val="1F1F1F"/>
        </w:rPr>
        <w:t>. (Sustento del Modelo de Investigación-Acción).</w:t>
      </w:r>
    </w:p>
    <w:p w14:paraId="00000055" w14:textId="39362B66" w:rsidR="009660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 xml:space="preserve"> Humanos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6" w14:textId="77777777" w:rsidR="00966072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8E03991">
          <v:rect id="_x0000_i1030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 xml:space="preserve">Integración con Google </w:t>
      </w:r>
      <w:proofErr w:type="spellStart"/>
      <w:r>
        <w:rPr>
          <w:rFonts w:ascii="Google Sans" w:eastAsia="Google Sans" w:hAnsi="Google Sans" w:cs="Google Sans"/>
          <w:color w:val="1F1F1F"/>
        </w:rPr>
        <w:t>Docs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 Guía para el Estudiante</w:t>
      </w:r>
    </w:p>
    <w:p w14:paraId="00000057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Este material de la </w:t>
      </w:r>
      <w:r>
        <w:rPr>
          <w:rFonts w:ascii="Google Sans" w:eastAsia="Google Sans" w:hAnsi="Google Sans" w:cs="Google Sans"/>
          <w:b/>
          <w:bCs/>
          <w:color w:val="1F1F1F"/>
        </w:rPr>
        <w:t>Unidad 01</w:t>
      </w:r>
      <w:r>
        <w:rPr>
          <w:rFonts w:ascii="Google Sans" w:eastAsia="Google Sans" w:hAnsi="Google Sans" w:cs="Google Sans"/>
          <w:color w:val="1F1F1F"/>
        </w:rPr>
        <w:t xml:space="preserve"> sirve como base documental para la construcción del </w:t>
      </w:r>
      <w:r>
        <w:rPr>
          <w:rFonts w:ascii="Google Sans" w:eastAsia="Google Sans" w:hAnsi="Google Sans" w:cs="Google Sans"/>
          <w:b/>
          <w:bCs/>
          <w:color w:val="1F1F1F"/>
        </w:rPr>
        <w:t>Anteproyecto de Grado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8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Actividades Sugeridas en el Aula Virtual:</w:t>
      </w:r>
    </w:p>
    <w:p w14:paraId="00000059" w14:textId="77777777" w:rsidR="009660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Taller de Mapeo:</w:t>
      </w:r>
      <w:r>
        <w:rPr>
          <w:rFonts w:ascii="Google Sans" w:eastAsia="Google Sans" w:hAnsi="Google Sans" w:cs="Google Sans"/>
          <w:color w:val="1F1F1F"/>
        </w:rPr>
        <w:t xml:space="preserve"> El estudiante debe diagramar un proceso administrativo actual de su organización usando la simbología BPMN básica.</w:t>
      </w:r>
    </w:p>
    <w:p w14:paraId="0000005A" w14:textId="77777777" w:rsidR="009660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Laboratorio de Priorización:</w:t>
      </w:r>
      <w:r>
        <w:rPr>
          <w:rFonts w:ascii="Google Sans" w:eastAsia="Google Sans" w:hAnsi="Google Sans" w:cs="Google Sans"/>
          <w:color w:val="1F1F1F"/>
        </w:rPr>
        <w:t xml:space="preserve"> Uso de una hoja de cálculo para calificar tres problemas identificados bajo los criterios de Alcance, Gravedad y Urgencia.</w:t>
      </w:r>
    </w:p>
    <w:p w14:paraId="0000005B" w14:textId="77777777" w:rsidR="0096607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Foro Normativo:</w:t>
      </w:r>
      <w:r>
        <w:rPr>
          <w:rFonts w:ascii="Google Sans" w:eastAsia="Google Sans" w:hAnsi="Google Sans" w:cs="Google Sans"/>
          <w:color w:val="1F1F1F"/>
        </w:rPr>
        <w:t xml:space="preserve"> Debate sobre las implicaciones del Decreto 1330 en el rigor de los trabajos de grado de especialización en Colombia.</w:t>
      </w:r>
    </w:p>
    <w:p w14:paraId="0000005C" w14:textId="77777777" w:rsidR="0096607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Este diseño pedagógico asegura que el estudiante de la Universidad de Córdoba inicie su proyecto de intervención con un sustento teórico sólido, un método probado y una visión estratégica de alto nivel.</w:t>
      </w:r>
    </w:p>
    <w:p w14:paraId="0000005D" w14:textId="77777777" w:rsidR="00966072" w:rsidRDefault="00000000">
      <w:pPr>
        <w:pStyle w:val="Ttulo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Fuentes citadas</w:t>
      </w:r>
    </w:p>
    <w:p w14:paraId="0000005E" w14:textId="77777777" w:rsidR="0096607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Desarrollo Organizacional y Gestión del Talento Humano - CUN, acceso: abril 12, 2026, </w:t>
      </w:r>
      <w:hyperlink r:id="rId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https://cun.edu.co/especializacion-desarrollo-organizacional-y-gestion-del-talento-humano/</w:t>
        </w:r>
      </w:hyperlink>
    </w:p>
    <w:p w14:paraId="0000005F" w14:textId="77777777" w:rsidR="0096607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Especialización en gerencia de talento humano en Montería - UCC, acceso: abril 12, 2026, </w:t>
      </w:r>
      <w:hyperlink r:id="rId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https://ucc.edu.co/programas/posgrados/Paginas/monteria/especializacion-en-gerencia-del-talento-humano-monteria.aspx</w:t>
        </w:r>
      </w:hyperlink>
    </w:p>
    <w:sectPr w:rsidR="009660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04D16F9-A094-4867-8A81-8D2289BD2553}"/>
  </w:font>
  <w:font w:name="Google Sans">
    <w:charset w:val="00"/>
    <w:family w:val="auto"/>
    <w:pitch w:val="default"/>
    <w:embedRegular r:id="rId2" w:fontKey="{942150AC-E535-4179-9C0B-00E03FC148BB}"/>
    <w:embedBold r:id="rId3" w:fontKey="{8825E8CB-9BF6-40C9-B340-9398E61E5423}"/>
    <w:embedItalic r:id="rId4" w:fontKey="{F74B2154-B812-4353-BB9E-5C703D9E43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94DC6F-1CC6-4622-93E2-584F94E10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FDCCFE-8DEE-40D4-8477-A147E0AAEF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822"/>
    <w:multiLevelType w:val="multilevel"/>
    <w:tmpl w:val="D4C053F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513FDB"/>
    <w:multiLevelType w:val="multilevel"/>
    <w:tmpl w:val="0D9C8F7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A11ABA"/>
    <w:multiLevelType w:val="multilevel"/>
    <w:tmpl w:val="2904FC2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013A78"/>
    <w:multiLevelType w:val="multilevel"/>
    <w:tmpl w:val="7F684DF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1917E34"/>
    <w:multiLevelType w:val="multilevel"/>
    <w:tmpl w:val="A73C220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2740125"/>
    <w:multiLevelType w:val="multilevel"/>
    <w:tmpl w:val="1C9ABDE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3884B7E"/>
    <w:multiLevelType w:val="multilevel"/>
    <w:tmpl w:val="DAEADF2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67E59A2"/>
    <w:multiLevelType w:val="multilevel"/>
    <w:tmpl w:val="EAE6004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EC447F0"/>
    <w:multiLevelType w:val="multilevel"/>
    <w:tmpl w:val="2584BB6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9E54640"/>
    <w:multiLevelType w:val="multilevel"/>
    <w:tmpl w:val="9BF80D6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6980605"/>
    <w:multiLevelType w:val="multilevel"/>
    <w:tmpl w:val="36C8F98C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8B80543"/>
    <w:multiLevelType w:val="multilevel"/>
    <w:tmpl w:val="3138B66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CB5734B"/>
    <w:multiLevelType w:val="multilevel"/>
    <w:tmpl w:val="8B26B9E4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EBF40E3"/>
    <w:multiLevelType w:val="multilevel"/>
    <w:tmpl w:val="2B884BC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5A31F25"/>
    <w:multiLevelType w:val="multilevel"/>
    <w:tmpl w:val="21562F0A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C6F699D"/>
    <w:multiLevelType w:val="multilevel"/>
    <w:tmpl w:val="F5A440F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BA67E0B"/>
    <w:multiLevelType w:val="multilevel"/>
    <w:tmpl w:val="8862A76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32110F8"/>
    <w:multiLevelType w:val="multilevel"/>
    <w:tmpl w:val="66B6D1B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94D4ED8"/>
    <w:multiLevelType w:val="multilevel"/>
    <w:tmpl w:val="D730F11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1306037">
    <w:abstractNumId w:val="17"/>
  </w:num>
  <w:num w:numId="2" w16cid:durableId="508712477">
    <w:abstractNumId w:val="11"/>
  </w:num>
  <w:num w:numId="3" w16cid:durableId="326446971">
    <w:abstractNumId w:val="13"/>
  </w:num>
  <w:num w:numId="4" w16cid:durableId="1546523189">
    <w:abstractNumId w:val="12"/>
  </w:num>
  <w:num w:numId="5" w16cid:durableId="786968131">
    <w:abstractNumId w:val="18"/>
  </w:num>
  <w:num w:numId="6" w16cid:durableId="1892158358">
    <w:abstractNumId w:val="15"/>
  </w:num>
  <w:num w:numId="7" w16cid:durableId="1781219968">
    <w:abstractNumId w:val="3"/>
  </w:num>
  <w:num w:numId="8" w16cid:durableId="1223373043">
    <w:abstractNumId w:val="16"/>
  </w:num>
  <w:num w:numId="9" w16cid:durableId="846942213">
    <w:abstractNumId w:val="7"/>
  </w:num>
  <w:num w:numId="10" w16cid:durableId="1394503249">
    <w:abstractNumId w:val="0"/>
  </w:num>
  <w:num w:numId="11" w16cid:durableId="1515850103">
    <w:abstractNumId w:val="4"/>
  </w:num>
  <w:num w:numId="12" w16cid:durableId="965504005">
    <w:abstractNumId w:val="8"/>
  </w:num>
  <w:num w:numId="13" w16cid:durableId="1260721399">
    <w:abstractNumId w:val="1"/>
  </w:num>
  <w:num w:numId="14" w16cid:durableId="686904520">
    <w:abstractNumId w:val="6"/>
  </w:num>
  <w:num w:numId="15" w16cid:durableId="802962040">
    <w:abstractNumId w:val="10"/>
  </w:num>
  <w:num w:numId="16" w16cid:durableId="336424065">
    <w:abstractNumId w:val="14"/>
  </w:num>
  <w:num w:numId="17" w16cid:durableId="586499203">
    <w:abstractNumId w:val="5"/>
  </w:num>
  <w:num w:numId="18" w16cid:durableId="1223324642">
    <w:abstractNumId w:val="9"/>
  </w:num>
  <w:num w:numId="19" w16cid:durableId="563950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072"/>
    <w:rsid w:val="000966B1"/>
    <w:rsid w:val="002234F9"/>
    <w:rsid w:val="0096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3A4E"/>
  <w15:docId w15:val="{A2358917-80E8-4CAC-A90B-33C38AB1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cc.edu.co/programas/posgrados/Paginas/monteria/especializacion-en-gerencia-del-talento-humano-monteria.aspx" TargetMode="External"/><Relationship Id="rId5" Type="http://schemas.openxmlformats.org/officeDocument/2006/relationships/hyperlink" Target="https://cun.edu.co/especializacion-desarrollo-organizacional-y-gestion-del-talento-humano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709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Maria Trochez Arboleda</dc:creator>
  <cp:lastModifiedBy>Cristina Isabel Madera Gomez</cp:lastModifiedBy>
  <cp:revision>2</cp:revision>
  <dcterms:created xsi:type="dcterms:W3CDTF">2026-06-18T20:46:00Z</dcterms:created>
  <dcterms:modified xsi:type="dcterms:W3CDTF">2026-06-18T20:46:00Z</dcterms:modified>
</cp:coreProperties>
</file>