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91467" w14:textId="77777777" w:rsidR="00190D2A" w:rsidRDefault="00190D2A" w:rsidP="00190D2A"/>
    <w:p w14:paraId="61176B32" w14:textId="68C892DB" w:rsidR="00190D2A" w:rsidRPr="00190D2A" w:rsidRDefault="00190D2A" w:rsidP="00190D2A">
      <w:pPr>
        <w:rPr>
          <w:sz w:val="24"/>
          <w:szCs w:val="24"/>
        </w:rPr>
      </w:pPr>
      <w:r w:rsidRPr="00190D2A">
        <w:rPr>
          <w:sz w:val="24"/>
          <w:szCs w:val="24"/>
        </w:rPr>
        <w:t>Tema 5: Diseño de propuestas de mejora para la retención corporativa con criterios éticos y normativos.</w:t>
      </w:r>
    </w:p>
    <w:p w14:paraId="5321D92B" w14:textId="77777777" w:rsidR="00190D2A" w:rsidRPr="00190D2A" w:rsidRDefault="00190D2A" w:rsidP="00190D2A">
      <w:pPr>
        <w:rPr>
          <w:sz w:val="24"/>
          <w:szCs w:val="24"/>
        </w:rPr>
      </w:pPr>
    </w:p>
    <w:p w14:paraId="7AF0BF2B" w14:textId="77777777" w:rsidR="00190D2A" w:rsidRPr="00190D2A" w:rsidRDefault="00190D2A" w:rsidP="00190D2A"/>
    <w:p w14:paraId="00000045" w14:textId="77777777" w:rsidR="00834818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Introducción:</w:t>
      </w:r>
    </w:p>
    <w:p w14:paraId="00000046" w14:textId="77777777" w:rsidR="00834818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La mejora en la retención debe alinearse con la ley colombiana y los estándares éticos universales. Este subtema aborda cómo la </w:t>
      </w:r>
      <w:r>
        <w:rPr>
          <w:rFonts w:ascii="Google Sans" w:eastAsia="Google Sans" w:hAnsi="Google Sans" w:cs="Google Sans"/>
          <w:b/>
          <w:bCs/>
          <w:color w:val="1F1F1F"/>
        </w:rPr>
        <w:t>Reforma Laboral 2025</w:t>
      </w:r>
      <w:r>
        <w:rPr>
          <w:rFonts w:ascii="Google Sans" w:eastAsia="Google Sans" w:hAnsi="Google Sans" w:cs="Google Sans"/>
          <w:color w:val="1F1F1F"/>
        </w:rPr>
        <w:t xml:space="preserve"> redefine los contratos y jornadas, y cómo la ética profesional exige transparencia y respeto por la dignidad humana. El especialista diseñará propuestas integrales que fortalezcan la inclusión y la conducta ética como pilares de la permanencia.</w:t>
      </w:r>
    </w:p>
    <w:p w14:paraId="00000047" w14:textId="77777777" w:rsidR="00834818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Objetivos de Aprendizaje:</w:t>
      </w:r>
    </w:p>
    <w:p w14:paraId="00000048" w14:textId="77777777" w:rsidR="00834818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Evaluar las implicaciones de la Reforma Laboral 2025 (Colombia) en el diseño de jornadas flexibles y estabilidad contractual.</w:t>
      </w:r>
    </w:p>
    <w:p w14:paraId="00000049" w14:textId="77777777" w:rsidR="00834818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Aplicar los principios de integridad y recursos morales para mitigar conductas hostiles y asegurar un debido proceso disciplinario.</w:t>
      </w:r>
    </w:p>
    <w:p w14:paraId="0000004A" w14:textId="77777777" w:rsidR="00834818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Desarrollar protocolos de gobernanza ética para la supervisión humana de procesos de gestión de personas asistidos por IA.</w:t>
      </w:r>
    </w:p>
    <w:p w14:paraId="0000004B" w14:textId="77777777" w:rsidR="00834818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15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Contenido:</w:t>
      </w:r>
    </w:p>
    <w:p w14:paraId="0000004C" w14:textId="77777777" w:rsidR="00834818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Parte 1: Cumplimiento Normativo y Reforma Laboral 2025:</w:t>
      </w:r>
      <w:r>
        <w:rPr>
          <w:rFonts w:ascii="Google Sans" w:eastAsia="Google Sans" w:hAnsi="Google Sans" w:cs="Google Sans"/>
          <w:color w:val="1F1F1F"/>
        </w:rPr>
        <w:t xml:space="preserve"> La retención en Colombia se basa hoy en el </w:t>
      </w:r>
      <w:r>
        <w:rPr>
          <w:rFonts w:ascii="Google Sans" w:eastAsia="Google Sans" w:hAnsi="Google Sans" w:cs="Google Sans"/>
          <w:b/>
          <w:bCs/>
          <w:color w:val="1F1F1F"/>
        </w:rPr>
        <w:t>Contrato Indefinido como regla general</w:t>
      </w:r>
      <w:r>
        <w:rPr>
          <w:rFonts w:ascii="Google Sans" w:eastAsia="Google Sans" w:hAnsi="Google Sans" w:cs="Google Sans"/>
          <w:color w:val="1F1F1F"/>
        </w:rPr>
        <w:t>, limitando la temporalidad para dar estabilidad al trabajador.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6</w:t>
      </w:r>
      <w:r>
        <w:rPr>
          <w:rFonts w:ascii="Google Sans" w:eastAsia="Google Sans" w:hAnsi="Google Sans" w:cs="Google Sans"/>
          <w:color w:val="1F1F1F"/>
        </w:rPr>
        <w:t xml:space="preserve"> El rediseño de turnos es imperativo ante la jornada nocturna que inicia a las </w:t>
      </w:r>
      <w:r>
        <w:rPr>
          <w:rFonts w:ascii="Google Sans" w:eastAsia="Google Sans" w:hAnsi="Google Sans" w:cs="Google Sans"/>
          <w:b/>
          <w:bCs/>
          <w:color w:val="1F1F1F"/>
        </w:rPr>
        <w:t>6:00 p.m.</w:t>
      </w:r>
      <w:r>
        <w:rPr>
          <w:rFonts w:ascii="Google Sans" w:eastAsia="Google Sans" w:hAnsi="Google Sans" w:cs="Google Sans"/>
          <w:color w:val="1F1F1F"/>
        </w:rPr>
        <w:t xml:space="preserve"> y los recargos dominicales del </w:t>
      </w:r>
      <w:r>
        <w:rPr>
          <w:rFonts w:ascii="Google Sans" w:eastAsia="Google Sans" w:hAnsi="Google Sans" w:cs="Google Sans"/>
          <w:b/>
          <w:bCs/>
          <w:color w:val="1F1F1F"/>
        </w:rPr>
        <w:t>100%</w:t>
      </w:r>
      <w:r>
        <w:rPr>
          <w:rFonts w:ascii="Google Sans" w:eastAsia="Google Sans" w:hAnsi="Google Sans" w:cs="Google Sans"/>
          <w:color w:val="1F1F1F"/>
        </w:rPr>
        <w:t xml:space="preserve">. Además, el </w:t>
      </w:r>
      <w:r>
        <w:rPr>
          <w:rFonts w:ascii="Google Sans" w:eastAsia="Google Sans" w:hAnsi="Google Sans" w:cs="Google Sans"/>
          <w:b/>
          <w:bCs/>
          <w:color w:val="1F1F1F"/>
        </w:rPr>
        <w:t>Contrato de Aprendizaje</w:t>
      </w:r>
      <w:r>
        <w:rPr>
          <w:rFonts w:ascii="Google Sans" w:eastAsia="Google Sans" w:hAnsi="Google Sans" w:cs="Google Sans"/>
          <w:color w:val="1F1F1F"/>
        </w:rPr>
        <w:t xml:space="preserve"> se profesionaliza con aportes plenos a seguridad social, exigiendo planes de mentoría que garanticen el retorno de la inversión.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6</w:t>
      </w:r>
    </w:p>
    <w:p w14:paraId="0000004D" w14:textId="77777777" w:rsidR="00834818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Parte 2: Ética Profesional y Prevención del Acoso:</w:t>
      </w:r>
      <w:r>
        <w:rPr>
          <w:rFonts w:ascii="Google Sans" w:eastAsia="Google Sans" w:hAnsi="Google Sans" w:cs="Google Sans"/>
          <w:color w:val="1F1F1F"/>
        </w:rPr>
        <w:t xml:space="preserve"> Las propuestas de mejora deben garantizar entornos libres de hostigamiento. Se deben implementar protocolos para la prevención del acoso laboral y sexual, fundamentados en la </w:t>
      </w:r>
      <w:r>
        <w:rPr>
          <w:rFonts w:ascii="Google Sans" w:eastAsia="Google Sans" w:hAnsi="Google Sans" w:cs="Google Sans"/>
          <w:b/>
          <w:bCs/>
          <w:color w:val="1F1F1F"/>
        </w:rPr>
        <w:t>Resolución 3461 de 2025</w:t>
      </w:r>
      <w:r>
        <w:rPr>
          <w:rFonts w:ascii="Google Sans" w:eastAsia="Google Sans" w:hAnsi="Google Sans" w:cs="Google Sans"/>
          <w:color w:val="1F1F1F"/>
        </w:rPr>
        <w:t xml:space="preserve"> que reforma los Comités de Convivencia. La ética organizacional exige activar "recursos morales" como el diálogo para resolver conflictos de integridad y asegurar que el trabajo no mortifique el espíritu del colaborador.</w:t>
      </w:r>
    </w:p>
    <w:p w14:paraId="0000004E" w14:textId="77777777" w:rsidR="00834818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Parte 3: Inclusión y Ciudadanía Organizacional del Futuro:</w:t>
      </w:r>
      <w:r>
        <w:rPr>
          <w:rFonts w:ascii="Google Sans" w:eastAsia="Google Sans" w:hAnsi="Google Sans" w:cs="Google Sans"/>
          <w:color w:val="1F1F1F"/>
        </w:rPr>
        <w:t xml:space="preserve"> La retención exitosa se apoya en la </w:t>
      </w:r>
      <w:r>
        <w:rPr>
          <w:rFonts w:ascii="Google Sans" w:eastAsia="Google Sans" w:hAnsi="Google Sans" w:cs="Google Sans"/>
          <w:b/>
          <w:bCs/>
          <w:color w:val="1F1F1F"/>
        </w:rPr>
        <w:t>inclusión laboral</w:t>
      </w:r>
      <w:r>
        <w:rPr>
          <w:rFonts w:ascii="Google Sans" w:eastAsia="Google Sans" w:hAnsi="Google Sans" w:cs="Google Sans"/>
          <w:color w:val="1F1F1F"/>
        </w:rPr>
        <w:t xml:space="preserve"> y el fomento de virtudes cívicas. El especialista debe proponer cuotas de contratación para personas con discapacidad y políticas de no discriminación. Estas acciones mejoran el </w:t>
      </w:r>
      <w:r>
        <w:rPr>
          <w:rFonts w:ascii="Google Sans" w:eastAsia="Google Sans" w:hAnsi="Google Sans" w:cs="Google Sans"/>
          <w:b/>
          <w:bCs/>
          <w:color w:val="1F1F1F"/>
        </w:rPr>
        <w:t>Comportamiento de Ciudadanía Organizacional (CCO)</w:t>
      </w:r>
      <w:r>
        <w:rPr>
          <w:rFonts w:ascii="Google Sans" w:eastAsia="Google Sans" w:hAnsi="Google Sans" w:cs="Google Sans"/>
          <w:color w:val="1F1F1F"/>
        </w:rPr>
        <w:t>, donde el empleado se compromete porque percibe a su empresa como un miembro responsable y ético de la sociedad global.</w:t>
      </w:r>
    </w:p>
    <w:p w14:paraId="0000004F" w14:textId="77777777" w:rsidR="00834818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15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Referencias para ampliación:</w:t>
      </w:r>
    </w:p>
    <w:p w14:paraId="00000050" w14:textId="77777777" w:rsidR="00834818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lastRenderedPageBreak/>
        <w:t xml:space="preserve">EY Colombia (2025). </w:t>
      </w:r>
      <w:r>
        <w:rPr>
          <w:rFonts w:ascii="Google Sans" w:eastAsia="Google Sans" w:hAnsi="Google Sans" w:cs="Google Sans"/>
          <w:i/>
          <w:iCs/>
          <w:color w:val="1F1F1F"/>
        </w:rPr>
        <w:t>Guía sobre la Reforma Laboral y el Cumplimiento Normativo</w:t>
      </w:r>
      <w:r>
        <w:rPr>
          <w:rFonts w:ascii="Google Sans" w:eastAsia="Google Sans" w:hAnsi="Google Sans" w:cs="Google Sans"/>
          <w:color w:val="1F1F1F"/>
        </w:rPr>
        <w:t>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7</w:t>
      </w:r>
    </w:p>
    <w:p w14:paraId="00000051" w14:textId="77777777" w:rsidR="00834818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Ministerio del Trabajo (2025). </w:t>
      </w:r>
      <w:r>
        <w:rPr>
          <w:rFonts w:ascii="Google Sans" w:eastAsia="Google Sans" w:hAnsi="Google Sans" w:cs="Google Sans"/>
          <w:i/>
          <w:iCs/>
          <w:color w:val="1F1F1F"/>
        </w:rPr>
        <w:t>Compendio Normativo de la Reforma Laboral</w:t>
      </w:r>
      <w:r>
        <w:rPr>
          <w:rFonts w:ascii="Google Sans" w:eastAsia="Google Sans" w:hAnsi="Google Sans" w:cs="Google Sans"/>
          <w:color w:val="1F1F1F"/>
        </w:rPr>
        <w:t>.</w:t>
      </w:r>
    </w:p>
    <w:p w14:paraId="00000052" w14:textId="77777777" w:rsidR="00834818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UNESCO (2025). </w:t>
      </w:r>
      <w:r>
        <w:rPr>
          <w:rFonts w:ascii="Google Sans" w:eastAsia="Google Sans" w:hAnsi="Google Sans" w:cs="Google Sans"/>
          <w:i/>
          <w:iCs/>
          <w:color w:val="1F1F1F"/>
        </w:rPr>
        <w:t>Recomendación sobre la Ética de la Inteligencia Artificial</w:t>
      </w:r>
      <w:r>
        <w:rPr>
          <w:rFonts w:ascii="Google Sans" w:eastAsia="Google Sans" w:hAnsi="Google Sans" w:cs="Google Sans"/>
          <w:color w:val="1F1F1F"/>
        </w:rPr>
        <w:t>.</w:t>
      </w:r>
    </w:p>
    <w:p w14:paraId="00000054" w14:textId="71B6BE50" w:rsidR="00834818" w:rsidRPr="00190D2A" w:rsidRDefault="00000000" w:rsidP="00190D2A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RSM Global (2026). </w:t>
      </w:r>
      <w:r>
        <w:rPr>
          <w:rFonts w:ascii="Google Sans" w:eastAsia="Google Sans" w:hAnsi="Google Sans" w:cs="Google Sans"/>
          <w:i/>
          <w:iCs/>
          <w:color w:val="1F1F1F"/>
        </w:rPr>
        <w:t>Gobernanza ética de la IA: Mejores prácticas</w:t>
      </w:r>
      <w:r>
        <w:rPr>
          <w:rFonts w:ascii="Google Sans" w:eastAsia="Google Sans" w:hAnsi="Google Sans" w:cs="Google Sans"/>
          <w:color w:val="1F1F1F"/>
        </w:rPr>
        <w:t>.</w:t>
      </w:r>
    </w:p>
    <w:p w14:paraId="1A0A8107" w14:textId="77777777" w:rsidR="00190D2A" w:rsidRDefault="00190D2A" w:rsidP="00190D2A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</w:p>
    <w:p w14:paraId="00000055" w14:textId="77777777" w:rsidR="00834818" w:rsidRDefault="00000000">
      <w:pPr>
        <w:pStyle w:val="Ttulo4"/>
        <w:spacing w:before="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Fuentes citadas</w:t>
      </w:r>
    </w:p>
    <w:p w14:paraId="00000056" w14:textId="77777777" w:rsidR="0083481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Tuning-América Latina: un proyecto de las universidades - Argentina, acceso: abril 12, 2026, </w:t>
      </w:r>
      <w:hyperlink r:id="rId5">
        <w:r w:rsidR="00834818"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https://rieoei.org/historico/documentos/rie35a08.htm</w:t>
        </w:r>
      </w:hyperlink>
    </w:p>
    <w:p w14:paraId="00000057" w14:textId="77777777" w:rsidR="0083481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Reflexiones y perspectivas de la Educación ... - Tuning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Academy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, acceso: abril 12, 2026, </w:t>
      </w:r>
      <w:hyperlink r:id="rId6">
        <w:r w:rsidR="00834818"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https://tuningacademy.org/wp-content/uploads/2014/02/TuningLAIII_Final-Report_SP.pdf</w:t>
        </w:r>
      </w:hyperlink>
    </w:p>
    <w:p w14:paraId="00000058" w14:textId="77777777" w:rsidR="0083481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COMPETENCIAS PROYECTO TUNING-EUROPA, </w:t>
      </w:r>
      <w:proofErr w:type="gramStart"/>
      <w:r>
        <w:rPr>
          <w:rFonts w:ascii="Google Sans" w:eastAsia="Google Sans" w:hAnsi="Google Sans" w:cs="Google Sans"/>
          <w:sz w:val="24"/>
          <w:szCs w:val="24"/>
        </w:rPr>
        <w:t>TUNING.-</w:t>
      </w:r>
      <w:proofErr w:type="gramEnd"/>
      <w:r>
        <w:rPr>
          <w:rFonts w:ascii="Google Sans" w:eastAsia="Google Sans" w:hAnsi="Google Sans" w:cs="Google Sans"/>
          <w:sz w:val="24"/>
          <w:szCs w:val="24"/>
        </w:rPr>
        <w:t xml:space="preserve">AMERICA LATINA Introducción - Portal Académico del IEMS, acceso: abril 12, 2026, </w:t>
      </w:r>
      <w:hyperlink r:id="rId7">
        <w:r w:rsidR="00834818"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http://academicos.iems.edu.mx/cired/docs/tg/macroacademiaquimica/Competencias%20proyecto%20Tuning-Europa,%20Tuning-AmericaLatina_BravoSalinas.pdf</w:t>
        </w:r>
      </w:hyperlink>
    </w:p>
    <w:p w14:paraId="00000059" w14:textId="77777777" w:rsidR="0083481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¿Cómo generar valor desde el talento humano con People Analytics? - PwC, acceso: abril 12, 2026, </w:t>
      </w:r>
      <w:hyperlink r:id="rId8">
        <w:r w:rsidR="00834818"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https://www.pwc.com/co/es/pwc-insights/genera-valor-con-people-analytics.html</w:t>
        </w:r>
      </w:hyperlink>
    </w:p>
    <w:p w14:paraId="0000005A" w14:textId="77777777" w:rsidR="0083481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¿Por qué es importante aplicar el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people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analytics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en la gestión del personal? - ESAN, acceso: abril 12, 2026, </w:t>
      </w:r>
      <w:hyperlink r:id="rId9">
        <w:r w:rsidR="00834818"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https://www.esan.edu.pe/conexion-esan/por-que-es-importante-aplicar-el-people-analytics-en-la-gestion-del-personal</w:t>
        </w:r>
      </w:hyperlink>
    </w:p>
    <w:p w14:paraId="0000005B" w14:textId="77777777" w:rsidR="0083481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Reforma laboral Colombia 2025: cambios clave para empresas |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Pluxee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, acceso: abril 12, 2026, </w:t>
      </w:r>
      <w:hyperlink r:id="rId10">
        <w:r w:rsidR="00834818"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https://www.pluxee.co/blog/cambios-reforma-laboral-2025-colombia/</w:t>
        </w:r>
      </w:hyperlink>
    </w:p>
    <w:p w14:paraId="0000005C" w14:textId="77777777" w:rsidR="0083481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Guía completa para la reforma laboral 2025 - EY, acceso: abril 12, 2026, </w:t>
      </w:r>
      <w:hyperlink r:id="rId11">
        <w:r w:rsidR="00834818"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https://www.ey.com/es_co/insights/tax/reforma-laboral-colombia</w:t>
        </w:r>
      </w:hyperlink>
    </w:p>
    <w:sectPr w:rsidR="00834818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D02F622-7548-4139-9FE7-F5787108EDE1}"/>
  </w:font>
  <w:font w:name="Google Sans">
    <w:altName w:val="Calibri"/>
    <w:charset w:val="00"/>
    <w:family w:val="auto"/>
    <w:pitch w:val="default"/>
    <w:embedRegular r:id="rId2" w:fontKey="{4A5D565A-6219-4286-8130-B73D42488066}"/>
    <w:embedBold r:id="rId3" w:fontKey="{62DEB203-20AB-4169-9FBA-38EBACBD5C42}"/>
    <w:embedItalic r:id="rId4" w:fontKey="{FB3E3BA6-98C3-4AF8-9F68-6A55263B500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0EE1BF14-68D4-4C12-82F5-40651DD6C4C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78AB2DA0-6D06-4220-8B9E-94D9C856150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B1F8F"/>
    <w:multiLevelType w:val="multilevel"/>
    <w:tmpl w:val="E0B4DD00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6FD3AAF"/>
    <w:multiLevelType w:val="multilevel"/>
    <w:tmpl w:val="0360EF52"/>
    <w:lvl w:ilvl="0">
      <w:start w:val="1"/>
      <w:numFmt w:val="decimal"/>
      <w:lvlText w:val="%1.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08AA18D1"/>
    <w:multiLevelType w:val="multilevel"/>
    <w:tmpl w:val="990000AA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17F416D9"/>
    <w:multiLevelType w:val="multilevel"/>
    <w:tmpl w:val="7052836C"/>
    <w:lvl w:ilvl="0">
      <w:start w:val="1"/>
      <w:numFmt w:val="decimal"/>
      <w:lvlText w:val="%1.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186804A8"/>
    <w:multiLevelType w:val="multilevel"/>
    <w:tmpl w:val="7F5A1DA4"/>
    <w:lvl w:ilvl="0">
      <w:start w:val="1"/>
      <w:numFmt w:val="decimal"/>
      <w:lvlText w:val="%1.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1E573703"/>
    <w:multiLevelType w:val="multilevel"/>
    <w:tmpl w:val="6492C7F4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29684794"/>
    <w:multiLevelType w:val="multilevel"/>
    <w:tmpl w:val="7F8CBA5A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32535BCC"/>
    <w:multiLevelType w:val="multilevel"/>
    <w:tmpl w:val="DF0EC2CE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3B3D41B5"/>
    <w:multiLevelType w:val="multilevel"/>
    <w:tmpl w:val="E120195A"/>
    <w:lvl w:ilvl="0">
      <w:start w:val="1"/>
      <w:numFmt w:val="decimal"/>
      <w:lvlText w:val="%1.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48E004EA"/>
    <w:multiLevelType w:val="multilevel"/>
    <w:tmpl w:val="79460274"/>
    <w:lvl w:ilvl="0">
      <w:start w:val="1"/>
      <w:numFmt w:val="decimal"/>
      <w:lvlText w:val="%1.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51835988"/>
    <w:multiLevelType w:val="multilevel"/>
    <w:tmpl w:val="EF60F738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530650AC"/>
    <w:multiLevelType w:val="multilevel"/>
    <w:tmpl w:val="4F2EFA06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576048CE"/>
    <w:multiLevelType w:val="multilevel"/>
    <w:tmpl w:val="9698B2F2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65C344F6"/>
    <w:multiLevelType w:val="multilevel"/>
    <w:tmpl w:val="CE74B67C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6BB13182"/>
    <w:multiLevelType w:val="multilevel"/>
    <w:tmpl w:val="FA2CF878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781178E6"/>
    <w:multiLevelType w:val="multilevel"/>
    <w:tmpl w:val="E982CDC4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680473014">
    <w:abstractNumId w:val="1"/>
  </w:num>
  <w:num w:numId="2" w16cid:durableId="686978210">
    <w:abstractNumId w:val="14"/>
  </w:num>
  <w:num w:numId="3" w16cid:durableId="1388332752">
    <w:abstractNumId w:val="6"/>
  </w:num>
  <w:num w:numId="4" w16cid:durableId="1789742034">
    <w:abstractNumId w:val="12"/>
  </w:num>
  <w:num w:numId="5" w16cid:durableId="326832852">
    <w:abstractNumId w:val="4"/>
  </w:num>
  <w:num w:numId="6" w16cid:durableId="1987929222">
    <w:abstractNumId w:val="7"/>
  </w:num>
  <w:num w:numId="7" w16cid:durableId="1326011981">
    <w:abstractNumId w:val="10"/>
  </w:num>
  <w:num w:numId="8" w16cid:durableId="1011491183">
    <w:abstractNumId w:val="8"/>
  </w:num>
  <w:num w:numId="9" w16cid:durableId="19092472">
    <w:abstractNumId w:val="5"/>
  </w:num>
  <w:num w:numId="10" w16cid:durableId="1376658458">
    <w:abstractNumId w:val="0"/>
  </w:num>
  <w:num w:numId="11" w16cid:durableId="1108770118">
    <w:abstractNumId w:val="9"/>
  </w:num>
  <w:num w:numId="12" w16cid:durableId="442070412">
    <w:abstractNumId w:val="2"/>
  </w:num>
  <w:num w:numId="13" w16cid:durableId="686713456">
    <w:abstractNumId w:val="15"/>
  </w:num>
  <w:num w:numId="14" w16cid:durableId="1716157823">
    <w:abstractNumId w:val="3"/>
  </w:num>
  <w:num w:numId="15" w16cid:durableId="1637485593">
    <w:abstractNumId w:val="11"/>
  </w:num>
  <w:num w:numId="16" w16cid:durableId="156336775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4818"/>
    <w:rsid w:val="00190D2A"/>
    <w:rsid w:val="00367EDE"/>
    <w:rsid w:val="00416924"/>
    <w:rsid w:val="00632B20"/>
    <w:rsid w:val="00834818"/>
    <w:rsid w:val="00DB6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DFDF15"/>
  <w15:docId w15:val="{7399D5C0-4869-492D-80F3-EFF2A8A23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wc.com/co/es/pwc-insights/genera-valor-con-people-analytics.html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academicos.iems.edu.mx/cired/docs/tg/macroacademiaquimica/Competencias%20proyecto%20Tuning-Europa,%20Tuning-AmericaLatina_BravoSalinas.pdf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uningacademy.org/wp-content/uploads/2014/02/TuningLAIII_Final-Report_SP.pdf" TargetMode="External"/><Relationship Id="rId11" Type="http://schemas.openxmlformats.org/officeDocument/2006/relationships/hyperlink" Target="https://www.ey.com/es_co/insights/tax/reforma-laboral-colombia" TargetMode="External"/><Relationship Id="rId5" Type="http://schemas.openxmlformats.org/officeDocument/2006/relationships/hyperlink" Target="https://rieoei.org/historico/documentos/rie35a08.htm" TargetMode="External"/><Relationship Id="rId10" Type="http://schemas.openxmlformats.org/officeDocument/2006/relationships/hyperlink" Target="https://www.pluxee.co/blog/cambios-reforma-laboral-2025-colombia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esan.edu.pe/conexion-esan/por-que-es-importante-aplicar-el-people-analytics-en-la-gestion-del-personal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2</Pages>
  <Words>725</Words>
  <Characters>3992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Cristina Isabel Madera Gomez</cp:lastModifiedBy>
  <cp:revision>4</cp:revision>
  <dcterms:created xsi:type="dcterms:W3CDTF">2026-07-08T17:09:00Z</dcterms:created>
  <dcterms:modified xsi:type="dcterms:W3CDTF">2026-07-08T21:03:00Z</dcterms:modified>
</cp:coreProperties>
</file>