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34C5" w14:textId="26A19CC8" w:rsidR="00A843E1" w:rsidRDefault="00A843E1" w:rsidP="00A843E1">
      <w:r>
        <w:t>Tema 4: Análisis de brechas en procesos de reclutamiento y selección con base en indicadores de rotación.</w:t>
      </w:r>
    </w:p>
    <w:p w14:paraId="5B997A73" w14:textId="77777777" w:rsidR="00A843E1" w:rsidRDefault="00A843E1" w:rsidP="00A843E1"/>
    <w:p w14:paraId="2D6F6250" w14:textId="77777777" w:rsidR="00A843E1" w:rsidRPr="00A843E1" w:rsidRDefault="00A843E1" w:rsidP="00A843E1"/>
    <w:p w14:paraId="00000035" w14:textId="77777777" w:rsidR="003210B1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Introducción:</w:t>
      </w:r>
    </w:p>
    <w:p w14:paraId="00000036" w14:textId="77777777" w:rsidR="003210B1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La rotación de personal es un síntoma de procesos de selección fallidos o de tensiones insoportables. Este subtema enseña a utilizar métricas de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People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Analytics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para diagnosticar brechas de talento y desajustes en el mercado laboral. Analizar por qué las personas se van y cuánto tiempo toma reemplazarlas es vital para optimizar la inversión en capital humano y asegurar la continuidad operativa.</w:t>
      </w:r>
    </w:p>
    <w:p w14:paraId="00000037" w14:textId="77777777" w:rsidR="003210B1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Objetivos de Aprendizaje:</w:t>
      </w:r>
    </w:p>
    <w:p w14:paraId="00000038" w14:textId="77777777" w:rsidR="003210B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Calcular e interpretar los indicadores clave de gestión humana: tasa de rotación, tiempo de contratación y costo de rotación.</w:t>
      </w:r>
    </w:p>
    <w:p w14:paraId="00000039" w14:textId="77777777" w:rsidR="003210B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Identificar brechas de habilidades (</w:t>
      </w:r>
      <w:proofErr w:type="spellStart"/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skill</w:t>
      </w:r>
      <w:proofErr w:type="spellEnd"/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gaps</w:t>
      </w:r>
      <w:r>
        <w:rPr>
          <w:rFonts w:ascii="Google Sans" w:eastAsia="Google Sans" w:hAnsi="Google Sans" w:cs="Google Sans"/>
          <w:color w:val="1F1F1F"/>
        </w:rPr>
        <w:t>) entre la demanda del sector productivo y la oferta de talento en la era digital.</w:t>
      </w:r>
    </w:p>
    <w:p w14:paraId="0000003A" w14:textId="77777777" w:rsidR="003210B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Implementar modelos predictivos y prescriptivos de analítica para automatizar la prevención del agotamiento emocional y la fuga de talento.</w:t>
      </w:r>
    </w:p>
    <w:p w14:paraId="0000003B" w14:textId="77777777" w:rsidR="003210B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Contenido:</w:t>
      </w:r>
    </w:p>
    <w:p w14:paraId="0000003C" w14:textId="77777777" w:rsidR="003210B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1: Indicadores Críticos de Rotación y Contratación:</w:t>
      </w:r>
      <w:r>
        <w:rPr>
          <w:rFonts w:ascii="Google Sans" w:eastAsia="Google Sans" w:hAnsi="Google Sans" w:cs="Google Sans"/>
          <w:color w:val="1F1F1F"/>
        </w:rPr>
        <w:t xml:space="preserve"> El especialista debe dominar fórmulas clave: la </w:t>
      </w:r>
      <w:r>
        <w:rPr>
          <w:rFonts w:ascii="Google Sans" w:eastAsia="Google Sans" w:hAnsi="Google Sans" w:cs="Google Sans"/>
          <w:b/>
          <w:bCs/>
          <w:color w:val="1F1F1F"/>
        </w:rPr>
        <w:t>Tasa de Rotación</w:t>
      </w:r>
      <w:r>
        <w:rPr>
          <w:rFonts w:ascii="Google Sans" w:eastAsia="Google Sans" w:hAnsi="Google Sans" w:cs="Google Sans"/>
          <w:color w:val="1F1F1F"/>
        </w:rPr>
        <w:t xml:space="preserve"> mide la salud del ambiente laboral, mientras que el </w:t>
      </w:r>
      <w:r>
        <w:rPr>
          <w:rFonts w:ascii="Google Sans" w:eastAsia="Google Sans" w:hAnsi="Google Sans" w:cs="Google Sans"/>
          <w:b/>
          <w:bCs/>
          <w:color w:val="1F1F1F"/>
        </w:rPr>
        <w:t>Tiempo de Contratación</w:t>
      </w:r>
      <w:r>
        <w:rPr>
          <w:rFonts w:ascii="Google Sans" w:eastAsia="Google Sans" w:hAnsi="Google Sans" w:cs="Google Sans"/>
          <w:color w:val="1F1F1F"/>
        </w:rPr>
        <w:t xml:space="preserve"> revela la eficiencia de la atracción. El </w:t>
      </w:r>
      <w:r>
        <w:rPr>
          <w:rFonts w:ascii="Google Sans" w:eastAsia="Google Sans" w:hAnsi="Google Sans" w:cs="Google Sans"/>
          <w:b/>
          <w:bCs/>
          <w:color w:val="1F1F1F"/>
        </w:rPr>
        <w:t>Costo de Rotación</w:t>
      </w:r>
      <w:r>
        <w:rPr>
          <w:rFonts w:ascii="Google Sans" w:eastAsia="Google Sans" w:hAnsi="Google Sans" w:cs="Google Sans"/>
          <w:color w:val="1F1F1F"/>
        </w:rPr>
        <w:t xml:space="preserve"> debe cuantificar no solo la liquidación, sino la pérdida de productividad y la memoria institucional durante la curva de aprendizaje del nuevo integrante.</w:t>
      </w:r>
    </w:p>
    <w:p w14:paraId="0000003D" w14:textId="77777777" w:rsidR="003210B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2: Diagnóstico de la Brecha de Habilidades (Skill Gap):</w:t>
      </w:r>
      <w:r>
        <w:rPr>
          <w:rFonts w:ascii="Google Sans" w:eastAsia="Google Sans" w:hAnsi="Google Sans" w:cs="Google Sans"/>
          <w:color w:val="1F1F1F"/>
        </w:rPr>
        <w:t xml:space="preserve"> América Latina enfrenta una brecha de habilidades crítica, intensificada por la digitalización. El análisis de brechas permite detectar la diferencia entre las competencias actuales y las requeridas para la transformación tecnológica (IA, Big Data). El gerente de talento humano utiliza este diagnóstico para priorizar programas de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upskilling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internos que resultan más rentables que la búsqueda externa constante.</w:t>
      </w:r>
    </w:p>
    <w:p w14:paraId="0000003E" w14:textId="77777777" w:rsidR="003210B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Parte 3: People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Analytics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Predictivo en 2026:</w:t>
      </w:r>
      <w:r>
        <w:rPr>
          <w:rFonts w:ascii="Google Sans" w:eastAsia="Google Sans" w:hAnsi="Google Sans" w:cs="Google Sans"/>
          <w:color w:val="1F1F1F"/>
        </w:rPr>
        <w:t xml:space="preserve"> Las organizaciones maduras utilizan datos demográficos y encuestas de pulso para crear modelos de causalidad que expliquen caídas en el compromiso.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El uso de 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People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Analytics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permite justificar inversiones con datos de ROI y anticipar riesgos operativos. La integración de estas métricas en tableros de control automatizados facilita una toma de decisiones rápida basada en evidencia científica.</w:t>
      </w:r>
    </w:p>
    <w:p w14:paraId="0000003F" w14:textId="77777777" w:rsidR="003210B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Referencias para ampliación:</w:t>
      </w:r>
    </w:p>
    <w:p w14:paraId="00000040" w14:textId="77777777" w:rsidR="003210B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PwC (2025). </w:t>
      </w:r>
      <w:r>
        <w:rPr>
          <w:rFonts w:ascii="Google Sans" w:eastAsia="Google Sans" w:hAnsi="Google Sans" w:cs="Google Sans"/>
          <w:i/>
          <w:iCs/>
          <w:color w:val="1F1F1F"/>
        </w:rPr>
        <w:t>Genera Valor con People Analytics: Planeación del Talento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14:paraId="00000041" w14:textId="77777777" w:rsidR="003210B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 xml:space="preserve">ESAN (2025). </w:t>
      </w:r>
      <w:r>
        <w:rPr>
          <w:rFonts w:ascii="Google Sans" w:eastAsia="Google Sans" w:hAnsi="Google Sans" w:cs="Google Sans"/>
          <w:i/>
          <w:iCs/>
          <w:color w:val="1F1F1F"/>
        </w:rPr>
        <w:t>Niveles de Madurez Analítica en la Gestión del Personal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</w:p>
    <w:p w14:paraId="00000042" w14:textId="77777777" w:rsidR="003210B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Cepal (2025). </w:t>
      </w:r>
      <w:r>
        <w:rPr>
          <w:rFonts w:ascii="Google Sans" w:eastAsia="Google Sans" w:hAnsi="Google Sans" w:cs="Google Sans"/>
          <w:i/>
          <w:iCs/>
          <w:color w:val="1F1F1F"/>
        </w:rPr>
        <w:t>Brechas de habilidades y costos en América Latina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43" w14:textId="1F838FF2" w:rsidR="00A843E1" w:rsidRDefault="00000000" w:rsidP="00A843E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Lapzo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(2025). </w:t>
      </w:r>
      <w:r>
        <w:rPr>
          <w:rFonts w:ascii="Google Sans" w:eastAsia="Google Sans" w:hAnsi="Google Sans" w:cs="Google Sans"/>
          <w:i/>
          <w:iCs/>
          <w:color w:val="1F1F1F"/>
        </w:rPr>
        <w:t>Indicadores de RRHH claves para tu empresa</w:t>
      </w:r>
      <w:r w:rsidR="00A843E1">
        <w:t xml:space="preserve"> </w:t>
      </w:r>
    </w:p>
    <w:p w14:paraId="0000005C" w14:textId="251B5F5F" w:rsidR="003210B1" w:rsidRDefault="003210B1" w:rsidP="00A843E1">
      <w:pPr>
        <w:pBdr>
          <w:top w:val="nil"/>
          <w:left w:val="nil"/>
          <w:bottom w:val="nil"/>
          <w:right w:val="nil"/>
          <w:between w:val="nil"/>
        </w:pBdr>
      </w:pPr>
    </w:p>
    <w:sectPr w:rsidR="003210B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B473ED3-7281-4045-8C45-2E8B7A219DE0}"/>
  </w:font>
  <w:font w:name="Google Sans">
    <w:charset w:val="00"/>
    <w:family w:val="auto"/>
    <w:pitch w:val="default"/>
    <w:embedRegular r:id="rId2" w:fontKey="{799BE5E1-666F-47FB-A0E5-EF982341C84C}"/>
    <w:embedBold r:id="rId3" w:fontKey="{5009E4E6-3CE6-48BF-BE8F-9406103E112E}"/>
    <w:embedItalic r:id="rId4" w:fontKey="{7ECDD5A6-A3F4-40AE-8A56-7E2835C535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68FF7D6-C1C3-4EC7-AD43-9F4F510833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AC45EF1-0A34-40BA-AF04-AFE32BD421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B00"/>
    <w:multiLevelType w:val="multilevel"/>
    <w:tmpl w:val="439C3C5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79C7424"/>
    <w:multiLevelType w:val="multilevel"/>
    <w:tmpl w:val="D05E557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C1913B4"/>
    <w:multiLevelType w:val="multilevel"/>
    <w:tmpl w:val="48BCBD5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8E46F79"/>
    <w:multiLevelType w:val="multilevel"/>
    <w:tmpl w:val="AA1C861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DC1E9D"/>
    <w:multiLevelType w:val="multilevel"/>
    <w:tmpl w:val="53FC4CE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2093268"/>
    <w:multiLevelType w:val="multilevel"/>
    <w:tmpl w:val="E2346B0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5151539"/>
    <w:multiLevelType w:val="multilevel"/>
    <w:tmpl w:val="B0846E3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23A6D24"/>
    <w:multiLevelType w:val="multilevel"/>
    <w:tmpl w:val="8960CC2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3C87F9A"/>
    <w:multiLevelType w:val="multilevel"/>
    <w:tmpl w:val="10FACE6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B5374C8"/>
    <w:multiLevelType w:val="multilevel"/>
    <w:tmpl w:val="E33C0D5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0713366"/>
    <w:multiLevelType w:val="multilevel"/>
    <w:tmpl w:val="24FC1E2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114855"/>
    <w:multiLevelType w:val="multilevel"/>
    <w:tmpl w:val="42D4428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BB37968"/>
    <w:multiLevelType w:val="multilevel"/>
    <w:tmpl w:val="D30CFDB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4C332BF"/>
    <w:multiLevelType w:val="multilevel"/>
    <w:tmpl w:val="FFB09D6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93F3BED"/>
    <w:multiLevelType w:val="multilevel"/>
    <w:tmpl w:val="448E546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9725E27"/>
    <w:multiLevelType w:val="multilevel"/>
    <w:tmpl w:val="A8CAC15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52342200">
    <w:abstractNumId w:val="11"/>
  </w:num>
  <w:num w:numId="2" w16cid:durableId="246814487">
    <w:abstractNumId w:val="4"/>
  </w:num>
  <w:num w:numId="3" w16cid:durableId="1488087067">
    <w:abstractNumId w:val="13"/>
  </w:num>
  <w:num w:numId="4" w16cid:durableId="1066877393">
    <w:abstractNumId w:val="9"/>
  </w:num>
  <w:num w:numId="5" w16cid:durableId="1081564216">
    <w:abstractNumId w:val="2"/>
  </w:num>
  <w:num w:numId="6" w16cid:durableId="1766609318">
    <w:abstractNumId w:val="3"/>
  </w:num>
  <w:num w:numId="7" w16cid:durableId="172381678">
    <w:abstractNumId w:val="15"/>
  </w:num>
  <w:num w:numId="8" w16cid:durableId="889265273">
    <w:abstractNumId w:val="12"/>
  </w:num>
  <w:num w:numId="9" w16cid:durableId="121190216">
    <w:abstractNumId w:val="7"/>
  </w:num>
  <w:num w:numId="10" w16cid:durableId="163786610">
    <w:abstractNumId w:val="6"/>
  </w:num>
  <w:num w:numId="11" w16cid:durableId="1662929797">
    <w:abstractNumId w:val="8"/>
  </w:num>
  <w:num w:numId="12" w16cid:durableId="1924944840">
    <w:abstractNumId w:val="10"/>
  </w:num>
  <w:num w:numId="13" w16cid:durableId="611864147">
    <w:abstractNumId w:val="1"/>
  </w:num>
  <w:num w:numId="14" w16cid:durableId="145704481">
    <w:abstractNumId w:val="0"/>
  </w:num>
  <w:num w:numId="15" w16cid:durableId="1539004716">
    <w:abstractNumId w:val="5"/>
  </w:num>
  <w:num w:numId="16" w16cid:durableId="20174615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0B1"/>
    <w:rsid w:val="003210B1"/>
    <w:rsid w:val="00921506"/>
    <w:rsid w:val="00A8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A6524"/>
  <w15:docId w15:val="{A769E74D-6043-48D7-8F8C-863F40B9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Maria Trochez Arboleda</dc:creator>
  <cp:lastModifiedBy>Cristina Isabel Madera Gomez</cp:lastModifiedBy>
  <cp:revision>2</cp:revision>
  <dcterms:created xsi:type="dcterms:W3CDTF">2026-07-07T16:33:00Z</dcterms:created>
  <dcterms:modified xsi:type="dcterms:W3CDTF">2026-07-07T16:33:00Z</dcterms:modified>
</cp:coreProperties>
</file>