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EECCC" w14:textId="77777777" w:rsidR="005257DE" w:rsidRDefault="005257DE" w:rsidP="005257DE"/>
    <w:p w14:paraId="774DCB87" w14:textId="45940800" w:rsidR="005257DE" w:rsidRPr="005257DE" w:rsidRDefault="005257DE" w:rsidP="005257DE">
      <w:pPr>
        <w:rPr>
          <w:b/>
          <w:bCs/>
          <w:sz w:val="24"/>
          <w:szCs w:val="24"/>
        </w:rPr>
      </w:pPr>
      <w:r w:rsidRPr="005257DE">
        <w:rPr>
          <w:b/>
          <w:bCs/>
          <w:sz w:val="24"/>
          <w:szCs w:val="24"/>
        </w:rPr>
        <w:t>Tema 1: Fundamentos del liderazgo disruptivo y teorías de gestión del cambio.</w:t>
      </w:r>
    </w:p>
    <w:p w14:paraId="1CF775C3" w14:textId="77777777" w:rsidR="005257DE" w:rsidRPr="005257DE" w:rsidRDefault="005257DE" w:rsidP="005257DE">
      <w:pPr>
        <w:rPr>
          <w:b/>
          <w:bCs/>
          <w:sz w:val="24"/>
          <w:szCs w:val="24"/>
        </w:rPr>
      </w:pPr>
    </w:p>
    <w:p w14:paraId="705D47AF" w14:textId="77777777" w:rsidR="005257DE" w:rsidRPr="005257DE" w:rsidRDefault="005257DE" w:rsidP="005257DE"/>
    <w:p w14:paraId="00000005" w14:textId="77777777" w:rsidR="00D45E4D" w:rsidRDefault="00000000">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Introducción:</w:t>
      </w:r>
    </w:p>
    <w:p w14:paraId="00000006" w14:textId="77777777" w:rsidR="00D45E4D"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El liderazgo disruptivo trasciende la inspiración tradicional para centrarse en la creación de nuevas realidades organizacionales mediante el cuestionamiento sistemático del </w:t>
      </w:r>
      <w:proofErr w:type="gramStart"/>
      <w:r>
        <w:rPr>
          <w:rFonts w:ascii="Google Sans" w:eastAsia="Google Sans" w:hAnsi="Google Sans" w:cs="Google Sans"/>
          <w:i/>
          <w:iCs/>
          <w:color w:val="1F1F1F"/>
        </w:rPr>
        <w:t>status</w:t>
      </w:r>
      <w:proofErr w:type="gramEnd"/>
      <w:r>
        <w:rPr>
          <w:rFonts w:ascii="Google Sans" w:eastAsia="Google Sans" w:hAnsi="Google Sans" w:cs="Google Sans"/>
          <w:i/>
          <w:iCs/>
          <w:color w:val="1F1F1F"/>
        </w:rPr>
        <w:t xml:space="preserve"> quo</w:t>
      </w:r>
      <w:r>
        <w:rPr>
          <w:rFonts w:ascii="Google Sans" w:eastAsia="Google Sans" w:hAnsi="Google Sans" w:cs="Google Sans"/>
          <w:color w:val="1F1F1F"/>
        </w:rPr>
        <w:t>. Este subtema explora las raíces del liderazgo que "rompe" modelos de negocio y se complementa con las teorías clásicas de gestión del cambio de Kurt Lewin. El especialista debe comprender que la disrupción no es caos, sino una respuesta ágil a la obsolescencia de las estructuras burocráticas.</w:t>
      </w:r>
    </w:p>
    <w:p w14:paraId="00000007" w14:textId="77777777" w:rsidR="00D45E4D" w:rsidRDefault="00000000">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Objetivos de Aprendizaje:</w:t>
      </w:r>
    </w:p>
    <w:p w14:paraId="00000008" w14:textId="77777777" w:rsidR="00D45E4D"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Contrastar el liderazgo disruptivo con el liderazgo transformacional y transaccional, identificando su aplicabilidad en crisis de mercado.</w:t>
      </w:r>
    </w:p>
    <w:p w14:paraId="00000009" w14:textId="77777777" w:rsidR="00D45E4D"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 xml:space="preserve">Aplicar las fases de la teoría del cambio de Kurt Lewin (descongelamiento, cambio y </w:t>
      </w:r>
      <w:proofErr w:type="spellStart"/>
      <w:r>
        <w:rPr>
          <w:rFonts w:ascii="Google Sans" w:eastAsia="Google Sans" w:hAnsi="Google Sans" w:cs="Google Sans"/>
          <w:color w:val="1F1F1F"/>
        </w:rPr>
        <w:t>recongelamiento</w:t>
      </w:r>
      <w:proofErr w:type="spellEnd"/>
      <w:r>
        <w:rPr>
          <w:rFonts w:ascii="Google Sans" w:eastAsia="Google Sans" w:hAnsi="Google Sans" w:cs="Google Sans"/>
          <w:color w:val="1F1F1F"/>
        </w:rPr>
        <w:t>) para diagnosticar estados de transición.</w:t>
      </w:r>
    </w:p>
    <w:p w14:paraId="0000000A" w14:textId="77777777" w:rsidR="00D45E4D" w:rsidRDefault="00000000">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Evaluar la evolución del liderazgo adaptativo y la toma de decisiones asistida por IA como competencias críticas para el 2026.</w:t>
      </w:r>
    </w:p>
    <w:p w14:paraId="0000000B" w14:textId="77777777" w:rsidR="00D45E4D" w:rsidRDefault="00000000">
      <w:pPr>
        <w:pBdr>
          <w:top w:val="nil"/>
          <w:left w:val="nil"/>
          <w:bottom w:val="nil"/>
          <w:right w:val="nil"/>
          <w:between w:val="nil"/>
        </w:pBdr>
        <w:spacing w:before="240" w:after="150" w:line="275" w:lineRule="auto"/>
        <w:rPr>
          <w:rFonts w:ascii="Google Sans" w:eastAsia="Google Sans" w:hAnsi="Google Sans" w:cs="Google Sans"/>
          <w:b/>
          <w:bCs/>
          <w:color w:val="1F1F1F"/>
        </w:rPr>
      </w:pPr>
      <w:r>
        <w:rPr>
          <w:rFonts w:ascii="Google Sans" w:eastAsia="Google Sans" w:hAnsi="Google Sans" w:cs="Google Sans"/>
          <w:b/>
          <w:bCs/>
          <w:color w:val="1F1F1F"/>
        </w:rPr>
        <w:t>Contenido:</w:t>
      </w:r>
    </w:p>
    <w:p w14:paraId="0000000C" w14:textId="77777777" w:rsidR="00D45E4D"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 xml:space="preserve">Parte 1: El Líder como </w:t>
      </w:r>
      <w:proofErr w:type="spellStart"/>
      <w:r>
        <w:rPr>
          <w:rFonts w:ascii="Google Sans" w:eastAsia="Google Sans" w:hAnsi="Google Sans" w:cs="Google Sans"/>
          <w:b/>
          <w:bCs/>
          <w:color w:val="1F1F1F"/>
        </w:rPr>
        <w:t>Disruptor</w:t>
      </w:r>
      <w:proofErr w:type="spellEnd"/>
      <w:r>
        <w:rPr>
          <w:rFonts w:ascii="Google Sans" w:eastAsia="Google Sans" w:hAnsi="Google Sans" w:cs="Google Sans"/>
          <w:b/>
          <w:bCs/>
          <w:color w:val="1F1F1F"/>
        </w:rPr>
        <w:t xml:space="preserve"> del Sistema:</w:t>
      </w:r>
      <w:r>
        <w:rPr>
          <w:rFonts w:ascii="Google Sans" w:eastAsia="Google Sans" w:hAnsi="Google Sans" w:cs="Google Sans"/>
          <w:color w:val="1F1F1F"/>
        </w:rPr>
        <w:t xml:space="preserve"> El liderazgo disruptivo se fundamenta en la capacidad de identificar brechas de valor que el modelo tradicional ignora. Mientras el líder transformacional busca elevar la moral para alcanzar metas, el </w:t>
      </w:r>
      <w:proofErr w:type="spellStart"/>
      <w:r>
        <w:rPr>
          <w:rFonts w:ascii="Google Sans" w:eastAsia="Google Sans" w:hAnsi="Google Sans" w:cs="Google Sans"/>
          <w:color w:val="1F1F1F"/>
        </w:rPr>
        <w:t>disruptor</w:t>
      </w:r>
      <w:proofErr w:type="spellEnd"/>
      <w:r>
        <w:rPr>
          <w:rFonts w:ascii="Google Sans" w:eastAsia="Google Sans" w:hAnsi="Google Sans" w:cs="Google Sans"/>
          <w:color w:val="1F1F1F"/>
        </w:rPr>
        <w:t xml:space="preserve"> busca cambiar las reglas del juego. En 2026, esto implica pasar de una mentalidad de "mando y control" a una de "empoderamiento y autonomía", donde las decisiones se toman lo más cerca posible del problema. El líder </w:t>
      </w:r>
      <w:proofErr w:type="spellStart"/>
      <w:r>
        <w:rPr>
          <w:rFonts w:ascii="Google Sans" w:eastAsia="Google Sans" w:hAnsi="Google Sans" w:cs="Google Sans"/>
          <w:color w:val="1F1F1F"/>
        </w:rPr>
        <w:t>disruptor</w:t>
      </w:r>
      <w:proofErr w:type="spellEnd"/>
      <w:r>
        <w:rPr>
          <w:rFonts w:ascii="Google Sans" w:eastAsia="Google Sans" w:hAnsi="Google Sans" w:cs="Google Sans"/>
          <w:color w:val="1F1F1F"/>
        </w:rPr>
        <w:t xml:space="preserve"> debe cultivar la valentía para proponer cambios organizativos que mejoren la eficiencia radical, aceptando la vulnerabilidad y el error como partes del aprendizaje.</w:t>
      </w:r>
    </w:p>
    <w:p w14:paraId="0000000D" w14:textId="77777777" w:rsidR="00D45E4D"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Parte 2: Teorías Clásicas del Cambio - El Legado de Lewin:</w:t>
      </w:r>
      <w:r>
        <w:rPr>
          <w:rFonts w:ascii="Google Sans" w:eastAsia="Google Sans" w:hAnsi="Google Sans" w:cs="Google Sans"/>
          <w:color w:val="1F1F1F"/>
        </w:rPr>
        <w:t xml:space="preserve"> Kurt Lewin propuso que para que el cambio ocurra, el sistema debe pasar por tres fases: </w:t>
      </w:r>
      <w:r>
        <w:rPr>
          <w:rFonts w:ascii="Google Sans" w:eastAsia="Google Sans" w:hAnsi="Google Sans" w:cs="Google Sans"/>
          <w:b/>
          <w:bCs/>
          <w:color w:val="1F1F1F"/>
        </w:rPr>
        <w:t>1) Descongelamiento</w:t>
      </w:r>
      <w:r>
        <w:rPr>
          <w:rFonts w:ascii="Google Sans" w:eastAsia="Google Sans" w:hAnsi="Google Sans" w:cs="Google Sans"/>
          <w:color w:val="1F1F1F"/>
        </w:rPr>
        <w:t xml:space="preserve"> (cuestionar y preparar a la organización, reduciendo las fuerzas de resistencia); </w:t>
      </w:r>
      <w:r>
        <w:rPr>
          <w:rFonts w:ascii="Google Sans" w:eastAsia="Google Sans" w:hAnsi="Google Sans" w:cs="Google Sans"/>
          <w:b/>
          <w:bCs/>
          <w:color w:val="1F1F1F"/>
        </w:rPr>
        <w:t>2) Cambio</w:t>
      </w:r>
      <w:r>
        <w:rPr>
          <w:rFonts w:ascii="Google Sans" w:eastAsia="Google Sans" w:hAnsi="Google Sans" w:cs="Google Sans"/>
          <w:color w:val="1F1F1F"/>
        </w:rPr>
        <w:t xml:space="preserve"> (implementación de nuevas prácticas o estructuras); y </w:t>
      </w:r>
      <w:r>
        <w:rPr>
          <w:rFonts w:ascii="Google Sans" w:eastAsia="Google Sans" w:hAnsi="Google Sans" w:cs="Google Sans"/>
          <w:b/>
          <w:bCs/>
          <w:color w:val="1F1F1F"/>
        </w:rPr>
        <w:t xml:space="preserve">3) </w:t>
      </w:r>
      <w:proofErr w:type="spellStart"/>
      <w:r>
        <w:rPr>
          <w:rFonts w:ascii="Google Sans" w:eastAsia="Google Sans" w:hAnsi="Google Sans" w:cs="Google Sans"/>
          <w:b/>
          <w:bCs/>
          <w:color w:val="1F1F1F"/>
        </w:rPr>
        <w:t>Recongelamiento</w:t>
      </w:r>
      <w:proofErr w:type="spellEnd"/>
      <w:r>
        <w:rPr>
          <w:rFonts w:ascii="Google Sans" w:eastAsia="Google Sans" w:hAnsi="Google Sans" w:cs="Google Sans"/>
          <w:color w:val="1F1F1F"/>
        </w:rPr>
        <w:t xml:space="preserve"> (consolidar los cambios para convertirlos en la nueva norma). El especialista utiliza este marco para entender que no se puede imponer una novedad sin antes "aflojar" las creencias que mantienen la estabilidad actual. La resistencia al cambio, por tanto, no es un defecto del personal, sino un indicador de que la fase de descongelamiento no ha sido completada con éxito.</w:t>
      </w:r>
    </w:p>
    <w:p w14:paraId="0000000E" w14:textId="77777777" w:rsidR="00D45E4D" w:rsidRDefault="00000000">
      <w:pPr>
        <w:numPr>
          <w:ilvl w:val="0"/>
          <w:numId w:val="4"/>
        </w:numPr>
        <w:pBdr>
          <w:top w:val="nil"/>
          <w:left w:val="nil"/>
          <w:bottom w:val="nil"/>
          <w:right w:val="nil"/>
          <w:between w:val="nil"/>
        </w:pBdr>
        <w:spacing w:after="120" w:line="275" w:lineRule="auto"/>
      </w:pPr>
      <w:r>
        <w:rPr>
          <w:rFonts w:ascii="Google Sans" w:eastAsia="Google Sans" w:hAnsi="Google Sans" w:cs="Google Sans"/>
          <w:b/>
          <w:bCs/>
          <w:color w:val="1F1F1F"/>
        </w:rPr>
        <w:t>Parte 3: Liderazgo Adaptativo en la Era 2026:</w:t>
      </w:r>
      <w:r>
        <w:rPr>
          <w:rFonts w:ascii="Google Sans" w:eastAsia="Google Sans" w:hAnsi="Google Sans" w:cs="Google Sans"/>
          <w:color w:val="1F1F1F"/>
        </w:rPr>
        <w:t xml:space="preserve"> Hacia el 2026, la volatilidad ya no es la excepción, sino el contexto operativo normal. El liderazgo disruptivo evoluciona hacia el </w:t>
      </w:r>
      <w:r>
        <w:rPr>
          <w:rFonts w:ascii="Google Sans" w:eastAsia="Google Sans" w:hAnsi="Google Sans" w:cs="Google Sans"/>
          <w:b/>
          <w:bCs/>
          <w:color w:val="1F1F1F"/>
        </w:rPr>
        <w:t>Liderazgo Adaptativo</w:t>
      </w:r>
      <w:r>
        <w:rPr>
          <w:rFonts w:ascii="Google Sans" w:eastAsia="Google Sans" w:hAnsi="Google Sans" w:cs="Google Sans"/>
          <w:color w:val="1F1F1F"/>
        </w:rPr>
        <w:t xml:space="preserve">, que se basa en la flexibilidad, el juicio humano y el respeto por </w:t>
      </w:r>
      <w:r>
        <w:rPr>
          <w:rFonts w:ascii="Google Sans" w:eastAsia="Google Sans" w:hAnsi="Google Sans" w:cs="Google Sans"/>
          <w:color w:val="1F1F1F"/>
        </w:rPr>
        <w:lastRenderedPageBreak/>
        <w:t>los fundamentos ante el ruido tecnológico. Los líderes que ganen serán aquellos que combinen la intuición con el análisis racional de escenarios, utilizando la IA como un socio estratégico para procesar contextos complejos mientras ellos se enfocan en la salud emocional y el propósito del equipo.</w:t>
      </w:r>
    </w:p>
    <w:p w14:paraId="0000000F" w14:textId="77777777" w:rsidR="00D45E4D" w:rsidRDefault="00000000">
      <w:pPr>
        <w:pBdr>
          <w:top w:val="nil"/>
          <w:left w:val="nil"/>
          <w:bottom w:val="nil"/>
          <w:right w:val="nil"/>
          <w:between w:val="nil"/>
        </w:pBdr>
        <w:spacing w:before="240" w:after="150" w:line="275" w:lineRule="auto"/>
        <w:rPr>
          <w:rFonts w:ascii="Google Sans" w:eastAsia="Google Sans" w:hAnsi="Google Sans" w:cs="Google Sans"/>
          <w:b/>
          <w:bCs/>
          <w:color w:val="1F1F1F"/>
        </w:rPr>
      </w:pPr>
      <w:r>
        <w:rPr>
          <w:rFonts w:ascii="Google Sans" w:eastAsia="Google Sans" w:hAnsi="Google Sans" w:cs="Google Sans"/>
          <w:b/>
          <w:bCs/>
          <w:color w:val="1F1F1F"/>
        </w:rPr>
        <w:t>Referencias para ampliación:</w:t>
      </w:r>
    </w:p>
    <w:p w14:paraId="00000010" w14:textId="77777777" w:rsidR="00D45E4D"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color w:val="1F1F1F"/>
        </w:rPr>
        <w:t xml:space="preserve">Lewin, K. (1947). </w:t>
      </w:r>
      <w:proofErr w:type="spellStart"/>
      <w:r>
        <w:rPr>
          <w:rFonts w:ascii="Google Sans" w:eastAsia="Google Sans" w:hAnsi="Google Sans" w:cs="Google Sans"/>
          <w:i/>
          <w:iCs/>
          <w:color w:val="1F1F1F"/>
        </w:rPr>
        <w:t>Frontiers</w:t>
      </w:r>
      <w:proofErr w:type="spellEnd"/>
      <w:r>
        <w:rPr>
          <w:rFonts w:ascii="Google Sans" w:eastAsia="Google Sans" w:hAnsi="Google Sans" w:cs="Google Sans"/>
          <w:i/>
          <w:iCs/>
          <w:color w:val="1F1F1F"/>
        </w:rPr>
        <w:t xml:space="preserve"> in Group Dynamics</w:t>
      </w:r>
      <w:r>
        <w:rPr>
          <w:rFonts w:ascii="Google Sans" w:eastAsia="Google Sans" w:hAnsi="Google Sans" w:cs="Google Sans"/>
          <w:color w:val="1F1F1F"/>
        </w:rPr>
        <w:t xml:space="preserve">. Human </w:t>
      </w:r>
      <w:proofErr w:type="spellStart"/>
      <w:r>
        <w:rPr>
          <w:rFonts w:ascii="Google Sans" w:eastAsia="Google Sans" w:hAnsi="Google Sans" w:cs="Google Sans"/>
          <w:color w:val="1F1F1F"/>
        </w:rPr>
        <w:t>Relations</w:t>
      </w:r>
      <w:proofErr w:type="spellEnd"/>
      <w:r>
        <w:rPr>
          <w:rFonts w:ascii="Google Sans" w:eastAsia="Google Sans" w:hAnsi="Google Sans" w:cs="Google Sans"/>
          <w:color w:val="1F1F1F"/>
        </w:rPr>
        <w:t>.</w:t>
      </w:r>
    </w:p>
    <w:p w14:paraId="00000011" w14:textId="77777777" w:rsidR="00D45E4D"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color w:val="1F1F1F"/>
        </w:rPr>
        <w:t xml:space="preserve">Kotter, J. P. (2011). </w:t>
      </w:r>
      <w:r>
        <w:rPr>
          <w:rFonts w:ascii="Google Sans" w:eastAsia="Google Sans" w:hAnsi="Google Sans" w:cs="Google Sans"/>
          <w:i/>
          <w:iCs/>
          <w:color w:val="1F1F1F"/>
        </w:rPr>
        <w:t>Liderazgo vs. Gestión</w:t>
      </w:r>
      <w:r>
        <w:rPr>
          <w:rFonts w:ascii="Google Sans" w:eastAsia="Google Sans" w:hAnsi="Google Sans" w:cs="Google Sans"/>
          <w:color w:val="1F1F1F"/>
        </w:rPr>
        <w:t xml:space="preserve">. Harvard Business </w:t>
      </w:r>
      <w:proofErr w:type="spellStart"/>
      <w:r>
        <w:rPr>
          <w:rFonts w:ascii="Google Sans" w:eastAsia="Google Sans" w:hAnsi="Google Sans" w:cs="Google Sans"/>
          <w:color w:val="1F1F1F"/>
        </w:rPr>
        <w:t>Review</w:t>
      </w:r>
      <w:proofErr w:type="spellEnd"/>
      <w:r>
        <w:rPr>
          <w:rFonts w:ascii="Google Sans" w:eastAsia="Google Sans" w:hAnsi="Google Sans" w:cs="Google Sans"/>
          <w:color w:val="1F1F1F"/>
        </w:rPr>
        <w:t>.</w:t>
      </w:r>
    </w:p>
    <w:p w14:paraId="00000012" w14:textId="77777777" w:rsidR="00D45E4D"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color w:val="1F1F1F"/>
        </w:rPr>
        <w:t xml:space="preserve">WOBI (2026). </w:t>
      </w:r>
      <w:r>
        <w:rPr>
          <w:rFonts w:ascii="Google Sans" w:eastAsia="Google Sans" w:hAnsi="Google Sans" w:cs="Google Sans"/>
          <w:i/>
          <w:iCs/>
          <w:color w:val="1F1F1F"/>
        </w:rPr>
        <w:t>Tendencias de Management para Líderes: Regreso a lo fundamental</w:t>
      </w:r>
      <w:r>
        <w:rPr>
          <w:rFonts w:ascii="Google Sans" w:eastAsia="Google Sans" w:hAnsi="Google Sans" w:cs="Google Sans"/>
          <w:color w:val="1F1F1F"/>
        </w:rPr>
        <w:t>.</w:t>
      </w:r>
    </w:p>
    <w:p w14:paraId="0000005B" w14:textId="37E5C129" w:rsidR="00D45E4D" w:rsidRDefault="00000000" w:rsidP="005257DE">
      <w:pPr>
        <w:numPr>
          <w:ilvl w:val="0"/>
          <w:numId w:val="5"/>
        </w:numPr>
        <w:pBdr>
          <w:top w:val="nil"/>
          <w:left w:val="nil"/>
          <w:bottom w:val="nil"/>
          <w:right w:val="nil"/>
          <w:between w:val="nil"/>
        </w:pBdr>
        <w:spacing w:after="120" w:line="275" w:lineRule="auto"/>
      </w:pPr>
      <w:proofErr w:type="spellStart"/>
      <w:r>
        <w:rPr>
          <w:rFonts w:ascii="Google Sans" w:eastAsia="Google Sans" w:hAnsi="Google Sans" w:cs="Google Sans"/>
          <w:color w:val="1F1F1F"/>
        </w:rPr>
        <w:t>Beetween</w:t>
      </w:r>
      <w:proofErr w:type="spellEnd"/>
      <w:r>
        <w:rPr>
          <w:rFonts w:ascii="Google Sans" w:eastAsia="Google Sans" w:hAnsi="Google Sans" w:cs="Google Sans"/>
          <w:color w:val="1F1F1F"/>
        </w:rPr>
        <w:t xml:space="preserve"> (2025). </w:t>
      </w:r>
      <w:r>
        <w:rPr>
          <w:rFonts w:ascii="Google Sans" w:eastAsia="Google Sans" w:hAnsi="Google Sans" w:cs="Google Sans"/>
          <w:i/>
          <w:iCs/>
          <w:color w:val="1F1F1F"/>
        </w:rPr>
        <w:t>IA con enfoque humano: Liderazgo en la era de la automatización</w:t>
      </w:r>
      <w:r>
        <w:rPr>
          <w:rFonts w:ascii="Google Sans" w:eastAsia="Google Sans" w:hAnsi="Google Sans" w:cs="Google Sans"/>
          <w:color w:val="1F1F1F"/>
        </w:rPr>
        <w:t>.</w:t>
      </w:r>
      <w:r w:rsidR="005257DE">
        <w:t xml:space="preserve"> </w:t>
      </w:r>
    </w:p>
    <w:sectPr w:rsidR="00D45E4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309EF7F1-6264-4CE4-9AB4-D3C4A4F3511D}"/>
  </w:font>
  <w:font w:name="Google Sans">
    <w:charset w:val="00"/>
    <w:family w:val="auto"/>
    <w:pitch w:val="default"/>
    <w:embedRegular r:id="rId2" w:fontKey="{A6FDAF1A-4247-486F-9A52-759B9EFF442B}"/>
    <w:embedBold r:id="rId3" w:fontKey="{18E41966-8D98-42A3-A804-51F06C86D6F5}"/>
    <w:embedItalic r:id="rId4" w:fontKey="{A62D9BE6-0AD6-4099-99D0-A8AAD708778C}"/>
  </w:font>
  <w:font w:name="Calibri">
    <w:panose1 w:val="020F0502020204030204"/>
    <w:charset w:val="00"/>
    <w:family w:val="swiss"/>
    <w:pitch w:val="variable"/>
    <w:sig w:usb0="E4002EFF" w:usb1="C200247B" w:usb2="00000009" w:usb3="00000000" w:csb0="000001FF" w:csb1="00000000"/>
    <w:embedRegular r:id="rId5" w:fontKey="{016A5B13-6F21-4C8C-85F3-45695077640C}"/>
  </w:font>
  <w:font w:name="Cambria">
    <w:panose1 w:val="02040503050406030204"/>
    <w:charset w:val="00"/>
    <w:family w:val="roman"/>
    <w:pitch w:val="variable"/>
    <w:sig w:usb0="E00006FF" w:usb1="420024FF" w:usb2="02000000" w:usb3="00000000" w:csb0="0000019F" w:csb1="00000000"/>
    <w:embedRegular r:id="rId6" w:fontKey="{EC4054FE-70E1-4430-8450-B2C00824E40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40A09"/>
    <w:multiLevelType w:val="multilevel"/>
    <w:tmpl w:val="711249BE"/>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9E10DED"/>
    <w:multiLevelType w:val="multilevel"/>
    <w:tmpl w:val="1BF83D46"/>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B8C777C"/>
    <w:multiLevelType w:val="multilevel"/>
    <w:tmpl w:val="20B4FBE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CCF797C"/>
    <w:multiLevelType w:val="multilevel"/>
    <w:tmpl w:val="C83425D8"/>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DB44726"/>
    <w:multiLevelType w:val="multilevel"/>
    <w:tmpl w:val="A15A848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B597712"/>
    <w:multiLevelType w:val="multilevel"/>
    <w:tmpl w:val="7A9AFEA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B904813"/>
    <w:multiLevelType w:val="multilevel"/>
    <w:tmpl w:val="A02C24E2"/>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138313C"/>
    <w:multiLevelType w:val="multilevel"/>
    <w:tmpl w:val="2DC898B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A073B95"/>
    <w:multiLevelType w:val="multilevel"/>
    <w:tmpl w:val="069A821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4B164059"/>
    <w:multiLevelType w:val="multilevel"/>
    <w:tmpl w:val="A8B0E5F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4C3843D2"/>
    <w:multiLevelType w:val="multilevel"/>
    <w:tmpl w:val="07EA02C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51D52CE7"/>
    <w:multiLevelType w:val="multilevel"/>
    <w:tmpl w:val="A6569BE4"/>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602B107C"/>
    <w:multiLevelType w:val="multilevel"/>
    <w:tmpl w:val="2CDAFE86"/>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629B31CB"/>
    <w:multiLevelType w:val="multilevel"/>
    <w:tmpl w:val="0A5E1F3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6FF44228"/>
    <w:multiLevelType w:val="multilevel"/>
    <w:tmpl w:val="9A9CD3AA"/>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75FD3A6D"/>
    <w:multiLevelType w:val="multilevel"/>
    <w:tmpl w:val="42287D5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78425F23"/>
    <w:multiLevelType w:val="multilevel"/>
    <w:tmpl w:val="3420144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074664781">
    <w:abstractNumId w:val="1"/>
  </w:num>
  <w:num w:numId="2" w16cid:durableId="872617966">
    <w:abstractNumId w:val="0"/>
  </w:num>
  <w:num w:numId="3" w16cid:durableId="273482250">
    <w:abstractNumId w:val="4"/>
  </w:num>
  <w:num w:numId="4" w16cid:durableId="724790709">
    <w:abstractNumId w:val="9"/>
  </w:num>
  <w:num w:numId="5" w16cid:durableId="315379369">
    <w:abstractNumId w:val="8"/>
  </w:num>
  <w:num w:numId="6" w16cid:durableId="2076774953">
    <w:abstractNumId w:val="14"/>
  </w:num>
  <w:num w:numId="7" w16cid:durableId="550269179">
    <w:abstractNumId w:val="16"/>
  </w:num>
  <w:num w:numId="8" w16cid:durableId="52002017">
    <w:abstractNumId w:val="15"/>
  </w:num>
  <w:num w:numId="9" w16cid:durableId="1764178802">
    <w:abstractNumId w:val="6"/>
  </w:num>
  <w:num w:numId="10" w16cid:durableId="132213096">
    <w:abstractNumId w:val="2"/>
  </w:num>
  <w:num w:numId="11" w16cid:durableId="310984905">
    <w:abstractNumId w:val="12"/>
  </w:num>
  <w:num w:numId="12" w16cid:durableId="1142575770">
    <w:abstractNumId w:val="11"/>
  </w:num>
  <w:num w:numId="13" w16cid:durableId="1478718098">
    <w:abstractNumId w:val="13"/>
  </w:num>
  <w:num w:numId="14" w16cid:durableId="195435320">
    <w:abstractNumId w:val="10"/>
  </w:num>
  <w:num w:numId="15" w16cid:durableId="964696675">
    <w:abstractNumId w:val="3"/>
  </w:num>
  <w:num w:numId="16" w16cid:durableId="1885018386">
    <w:abstractNumId w:val="7"/>
  </w:num>
  <w:num w:numId="17" w16cid:durableId="5826845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E4D"/>
    <w:rsid w:val="003823C9"/>
    <w:rsid w:val="005257DE"/>
    <w:rsid w:val="00D45E4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4B30C"/>
  <w15:docId w15:val="{8A2C84A2-C457-48AF-9899-38936EECE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501</Words>
  <Characters>2759</Characters>
  <Application>Microsoft Office Word</Application>
  <DocSecurity>0</DocSecurity>
  <Lines>22</Lines>
  <Paragraphs>6</Paragraphs>
  <ScaleCrop>false</ScaleCrop>
  <Company/>
  <LinksUpToDate>false</LinksUpToDate>
  <CharactersWithSpaces>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Monica Maria Trochez Arboleda</dc:creator>
  <cp:lastModifiedBy>Cristina Isabel Madera Gomez</cp:lastModifiedBy>
  <cp:revision>2</cp:revision>
  <dcterms:created xsi:type="dcterms:W3CDTF">2026-07-24T21:34:00Z</dcterms:created>
  <dcterms:modified xsi:type="dcterms:W3CDTF">2026-07-24T21:34:00Z</dcterms:modified>
</cp:coreProperties>
</file>