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77777777" w:rsidR="000D0F9C" w:rsidRDefault="00000000">
      <w:pPr>
        <w:pStyle w:val="Ttulo2"/>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Unidad 02: Plan de Intervención Organizacional - OD </w:t>
      </w:r>
      <w:proofErr w:type="spellStart"/>
      <w:r>
        <w:rPr>
          <w:rFonts w:ascii="Google Sans" w:eastAsia="Google Sans" w:hAnsi="Google Sans" w:cs="Google Sans"/>
          <w:color w:val="1F1F1F"/>
        </w:rPr>
        <w:t>Intervention</w:t>
      </w:r>
      <w:proofErr w:type="spellEnd"/>
    </w:p>
    <w:p w14:paraId="00000003" w14:textId="77777777" w:rsidR="000D0F9C"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La Unidad 02 constituye el núcleo operativo del curso. Una vez identificado el problema en la unidad anterior, el especialista debe proceder al diseño detallado de la intervención. Bajo la perspectiva del Desarrollo Organizacional (DO), intervenir no es imponer una solución, sino facilitar un proceso de cambio sistémico que incremente la efectividad y el bienestar de la organización. Este material aborda la orquestación entre cultura, estructura y procesos, preparando al líder para actuar como un consultor estratégico de alto impacto en entornos volátiles y dinámicos.</w:t>
      </w:r>
    </w:p>
    <w:p w14:paraId="6CB3DF0E" w14:textId="77777777" w:rsidR="004C43E6" w:rsidRDefault="004C43E6" w:rsidP="004C43E6"/>
    <w:p w14:paraId="32CDF891" w14:textId="77777777" w:rsidR="004C43E6" w:rsidRDefault="004C43E6" w:rsidP="004C43E6"/>
    <w:p w14:paraId="1219B9EA" w14:textId="4B8119F7" w:rsidR="004C43E6" w:rsidRPr="004C43E6" w:rsidRDefault="004C43E6" w:rsidP="004C43E6">
      <w:pPr>
        <w:rPr>
          <w:b/>
          <w:bCs/>
          <w:sz w:val="24"/>
          <w:szCs w:val="24"/>
        </w:rPr>
      </w:pPr>
      <w:r w:rsidRPr="004C43E6">
        <w:rPr>
          <w:b/>
          <w:bCs/>
          <w:sz w:val="24"/>
          <w:szCs w:val="24"/>
        </w:rPr>
        <w:t>Tema 1: Comprensión de las Intervenciones en Cultura y estructuras Organizacionales</w:t>
      </w:r>
    </w:p>
    <w:p w14:paraId="5E05DF88" w14:textId="77777777" w:rsidR="004C43E6" w:rsidRPr="004C43E6" w:rsidRDefault="004C43E6" w:rsidP="004C43E6">
      <w:pPr>
        <w:rPr>
          <w:b/>
          <w:bCs/>
          <w:sz w:val="24"/>
          <w:szCs w:val="24"/>
        </w:rPr>
      </w:pPr>
    </w:p>
    <w:p w14:paraId="00000005" w14:textId="77777777" w:rsidR="000D0F9C" w:rsidRDefault="00000000">
      <w:pPr>
        <w:pBdr>
          <w:top w:val="nil"/>
          <w:left w:val="nil"/>
          <w:bottom w:val="nil"/>
          <w:right w:val="nil"/>
          <w:between w:val="nil"/>
        </w:pBd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Introducción:</w:t>
      </w:r>
    </w:p>
    <w:p w14:paraId="00000006" w14:textId="77777777" w:rsidR="000D0F9C"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Las intervenciones de DO se clasifican según el nivel de profundidad y el subsistema que pretenden afectar. En 2025, la distinción entre cultura (el "software" de la empresa) y estructura (el "hardware") se vuelve más porosa. El especialista debe comprender que cambiar un organigrama sin transformar las creencias compartidas es un ejercicio estéril. Este subtema explora la tipología de intervenciones propuesta por Cummings y Worley, centrándose en cómo la estructura debe estar al servicio de una cultura de innovación y agilidad.</w:t>
      </w:r>
    </w:p>
    <w:p w14:paraId="00000007" w14:textId="77777777" w:rsidR="000D0F9C" w:rsidRDefault="00000000">
      <w:pPr>
        <w:pBdr>
          <w:top w:val="nil"/>
          <w:left w:val="nil"/>
          <w:bottom w:val="nil"/>
          <w:right w:val="nil"/>
          <w:between w:val="nil"/>
        </w:pBd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Objetivos de Aprendizaje:</w:t>
      </w:r>
    </w:p>
    <w:p w14:paraId="00000008" w14:textId="77777777" w:rsidR="000D0F9C"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color w:val="1F1F1F"/>
        </w:rPr>
        <w:t xml:space="preserve">Clasificar las intervenciones de DO en </w:t>
      </w:r>
      <w:proofErr w:type="spellStart"/>
      <w:r>
        <w:rPr>
          <w:rFonts w:ascii="Google Sans" w:eastAsia="Google Sans" w:hAnsi="Google Sans" w:cs="Google Sans"/>
          <w:color w:val="1F1F1F"/>
        </w:rPr>
        <w:t>tecnoestructurales</w:t>
      </w:r>
      <w:proofErr w:type="spellEnd"/>
      <w:r>
        <w:rPr>
          <w:rFonts w:ascii="Google Sans" w:eastAsia="Google Sans" w:hAnsi="Google Sans" w:cs="Google Sans"/>
          <w:color w:val="1F1F1F"/>
        </w:rPr>
        <w:t>, de procesos humanos y estratégicas, evaluando su nivel de impacto organizacional.</w:t>
      </w:r>
    </w:p>
    <w:p w14:paraId="00000009" w14:textId="77777777" w:rsidR="000D0F9C"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color w:val="1F1F1F"/>
        </w:rPr>
        <w:t>Analizar la interdependencia entre la arquitectura formal de la organización y los patrones culturales implícitos.</w:t>
      </w:r>
    </w:p>
    <w:p w14:paraId="0000000A" w14:textId="77777777" w:rsidR="000D0F9C" w:rsidRDefault="00000000">
      <w:pPr>
        <w:numPr>
          <w:ilvl w:val="0"/>
          <w:numId w:val="1"/>
        </w:numPr>
        <w:pBdr>
          <w:top w:val="nil"/>
          <w:left w:val="nil"/>
          <w:bottom w:val="nil"/>
          <w:right w:val="nil"/>
          <w:between w:val="nil"/>
        </w:pBdr>
        <w:spacing w:after="120" w:line="275" w:lineRule="auto"/>
      </w:pPr>
      <w:r>
        <w:rPr>
          <w:rFonts w:ascii="Google Sans" w:eastAsia="Google Sans" w:hAnsi="Google Sans" w:cs="Google Sans"/>
          <w:color w:val="1F1F1F"/>
        </w:rPr>
        <w:t>Diseñar planes de intervención integral que coordinen cambios en el diseño del trabajo con la evolución de la identidad corporativa.</w:t>
      </w:r>
    </w:p>
    <w:p w14:paraId="0000000B" w14:textId="77777777" w:rsidR="000D0F9C" w:rsidRDefault="00000000">
      <w:pPr>
        <w:pBdr>
          <w:top w:val="nil"/>
          <w:left w:val="nil"/>
          <w:bottom w:val="nil"/>
          <w:right w:val="nil"/>
          <w:between w:val="nil"/>
        </w:pBdr>
        <w:spacing w:before="240" w:after="150" w:line="275" w:lineRule="auto"/>
        <w:rPr>
          <w:rFonts w:ascii="Google Sans" w:eastAsia="Google Sans" w:hAnsi="Google Sans" w:cs="Google Sans"/>
          <w:b/>
          <w:bCs/>
          <w:color w:val="1F1F1F"/>
        </w:rPr>
      </w:pPr>
      <w:r>
        <w:rPr>
          <w:rFonts w:ascii="Google Sans" w:eastAsia="Google Sans" w:hAnsi="Google Sans" w:cs="Google Sans"/>
          <w:b/>
          <w:bCs/>
          <w:color w:val="1F1F1F"/>
        </w:rPr>
        <w:t>Contenido:</w:t>
      </w:r>
    </w:p>
    <w:p w14:paraId="0000000C" w14:textId="77777777" w:rsidR="000D0F9C"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Parte 1: Tipología de Intervenciones de Cummings y Worley:</w:t>
      </w:r>
      <w:r>
        <w:rPr>
          <w:rFonts w:ascii="Google Sans" w:eastAsia="Google Sans" w:hAnsi="Google Sans" w:cs="Google Sans"/>
          <w:color w:val="1F1F1F"/>
        </w:rPr>
        <w:t xml:space="preserve"> Las intervenciones se agrupan en cuatro grandes categorías: </w:t>
      </w:r>
      <w:r>
        <w:rPr>
          <w:rFonts w:ascii="Google Sans" w:eastAsia="Google Sans" w:hAnsi="Google Sans" w:cs="Google Sans"/>
          <w:b/>
          <w:bCs/>
          <w:color w:val="1F1F1F"/>
        </w:rPr>
        <w:t>1) Procesos Humanos</w:t>
      </w:r>
      <w:r>
        <w:rPr>
          <w:rFonts w:ascii="Google Sans" w:eastAsia="Google Sans" w:hAnsi="Google Sans" w:cs="Google Sans"/>
          <w:color w:val="1F1F1F"/>
        </w:rPr>
        <w:t xml:space="preserve"> (comunicación, toma de decisiones, resolución de conflictos); </w:t>
      </w:r>
      <w:r>
        <w:rPr>
          <w:rFonts w:ascii="Google Sans" w:eastAsia="Google Sans" w:hAnsi="Google Sans" w:cs="Google Sans"/>
          <w:b/>
          <w:bCs/>
          <w:color w:val="1F1F1F"/>
        </w:rPr>
        <w:t xml:space="preserve">2) </w:t>
      </w:r>
      <w:proofErr w:type="spellStart"/>
      <w:r>
        <w:rPr>
          <w:rFonts w:ascii="Google Sans" w:eastAsia="Google Sans" w:hAnsi="Google Sans" w:cs="Google Sans"/>
          <w:b/>
          <w:bCs/>
          <w:color w:val="1F1F1F"/>
        </w:rPr>
        <w:t>Tecnoestructurales</w:t>
      </w:r>
      <w:proofErr w:type="spellEnd"/>
      <w:r>
        <w:rPr>
          <w:rFonts w:ascii="Google Sans" w:eastAsia="Google Sans" w:hAnsi="Google Sans" w:cs="Google Sans"/>
          <w:color w:val="1F1F1F"/>
        </w:rPr>
        <w:t xml:space="preserve"> (rediseño de puestos, estructuras organizativas, calidad total); </w:t>
      </w:r>
      <w:r>
        <w:rPr>
          <w:rFonts w:ascii="Google Sans" w:eastAsia="Google Sans" w:hAnsi="Google Sans" w:cs="Google Sans"/>
          <w:b/>
          <w:bCs/>
          <w:color w:val="1F1F1F"/>
        </w:rPr>
        <w:t>3) Gestión del Talento Humano</w:t>
      </w:r>
      <w:r>
        <w:rPr>
          <w:rFonts w:ascii="Google Sans" w:eastAsia="Google Sans" w:hAnsi="Google Sans" w:cs="Google Sans"/>
          <w:color w:val="1F1F1F"/>
        </w:rPr>
        <w:t xml:space="preserve"> (sistemas de recompensas, planes de carrera); y </w:t>
      </w:r>
      <w:r>
        <w:rPr>
          <w:rFonts w:ascii="Google Sans" w:eastAsia="Google Sans" w:hAnsi="Google Sans" w:cs="Google Sans"/>
          <w:b/>
          <w:bCs/>
          <w:color w:val="1F1F1F"/>
        </w:rPr>
        <w:t>4) Estratégicas</w:t>
      </w:r>
      <w:r>
        <w:rPr>
          <w:rFonts w:ascii="Google Sans" w:eastAsia="Google Sans" w:hAnsi="Google Sans" w:cs="Google Sans"/>
          <w:color w:val="1F1F1F"/>
        </w:rPr>
        <w:t xml:space="preserve"> (cultura organizacional, fusiones, alianzas). Para el especialista, el reto consiste en seleccionar el "</w:t>
      </w:r>
      <w:proofErr w:type="spellStart"/>
      <w:r>
        <w:rPr>
          <w:rFonts w:ascii="Google Sans" w:eastAsia="Google Sans" w:hAnsi="Google Sans" w:cs="Google Sans"/>
          <w:color w:val="1F1F1F"/>
        </w:rPr>
        <w:t>mix</w:t>
      </w:r>
      <w:proofErr w:type="spellEnd"/>
      <w:r>
        <w:rPr>
          <w:rFonts w:ascii="Google Sans" w:eastAsia="Google Sans" w:hAnsi="Google Sans" w:cs="Google Sans"/>
          <w:color w:val="1F1F1F"/>
        </w:rPr>
        <w:t>" de intervenciones adecuado: una empresa con problemas de productividad puede requerir tanto un rediseño de procesos (</w:t>
      </w:r>
      <w:proofErr w:type="spellStart"/>
      <w:r>
        <w:rPr>
          <w:rFonts w:ascii="Google Sans" w:eastAsia="Google Sans" w:hAnsi="Google Sans" w:cs="Google Sans"/>
          <w:color w:val="1F1F1F"/>
        </w:rPr>
        <w:t>tecnoestructural</w:t>
      </w:r>
      <w:proofErr w:type="spellEnd"/>
      <w:r>
        <w:rPr>
          <w:rFonts w:ascii="Google Sans" w:eastAsia="Google Sans" w:hAnsi="Google Sans" w:cs="Google Sans"/>
          <w:color w:val="1F1F1F"/>
        </w:rPr>
        <w:t xml:space="preserve">) como un taller de integración de equipos </w:t>
      </w:r>
      <w:r>
        <w:rPr>
          <w:rFonts w:ascii="Google Sans" w:eastAsia="Google Sans" w:hAnsi="Google Sans" w:cs="Google Sans"/>
          <w:color w:val="1F1F1F"/>
        </w:rPr>
        <w:lastRenderedPageBreak/>
        <w:t>(proceso humano) para que la mejora sea sostenible y aceptada por las personas.</w:t>
      </w:r>
    </w:p>
    <w:p w14:paraId="0000000D" w14:textId="77777777" w:rsidR="000D0F9C"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 xml:space="preserve">Parte 2: Intervenciones </w:t>
      </w:r>
      <w:proofErr w:type="spellStart"/>
      <w:r>
        <w:rPr>
          <w:rFonts w:ascii="Google Sans" w:eastAsia="Google Sans" w:hAnsi="Google Sans" w:cs="Google Sans"/>
          <w:b/>
          <w:bCs/>
          <w:color w:val="1F1F1F"/>
        </w:rPr>
        <w:t>Tecnoestructurales</w:t>
      </w:r>
      <w:proofErr w:type="spellEnd"/>
      <w:r>
        <w:rPr>
          <w:rFonts w:ascii="Google Sans" w:eastAsia="Google Sans" w:hAnsi="Google Sans" w:cs="Google Sans"/>
          <w:b/>
          <w:bCs/>
          <w:color w:val="1F1F1F"/>
        </w:rPr>
        <w:t xml:space="preserve"> y Eficiencia Operativa:</w:t>
      </w:r>
      <w:r>
        <w:rPr>
          <w:rFonts w:ascii="Google Sans" w:eastAsia="Google Sans" w:hAnsi="Google Sans" w:cs="Google Sans"/>
          <w:color w:val="1F1F1F"/>
        </w:rPr>
        <w:t xml:space="preserve"> Estas intervenciones se enfocan en mejorar la efectividad mediante la reorganización de los recursos físicos y humanos. En 2025, el rediseño del </w:t>
      </w:r>
      <w:proofErr w:type="spellStart"/>
      <w:r>
        <w:rPr>
          <w:rFonts w:ascii="Google Sans" w:eastAsia="Google Sans" w:hAnsi="Google Sans" w:cs="Google Sans"/>
          <w:color w:val="1F1F1F"/>
        </w:rPr>
        <w:t>Operating</w:t>
      </w:r>
      <w:proofErr w:type="spellEnd"/>
      <w:r>
        <w:rPr>
          <w:rFonts w:ascii="Google Sans" w:eastAsia="Google Sans" w:hAnsi="Google Sans" w:cs="Google Sans"/>
          <w:color w:val="1F1F1F"/>
        </w:rPr>
        <w:t xml:space="preserve"> Model es una prioridad para reducir la burocracia. Esto incluye la implementación de </w:t>
      </w:r>
      <w:r>
        <w:rPr>
          <w:rFonts w:ascii="Google Sans" w:eastAsia="Google Sans" w:hAnsi="Google Sans" w:cs="Google Sans"/>
          <w:b/>
          <w:bCs/>
          <w:color w:val="1F1F1F"/>
        </w:rPr>
        <w:t>estructuras planas</w:t>
      </w:r>
      <w:r>
        <w:rPr>
          <w:rFonts w:ascii="Google Sans" w:eastAsia="Google Sans" w:hAnsi="Google Sans" w:cs="Google Sans"/>
          <w:color w:val="1F1F1F"/>
        </w:rPr>
        <w:t>, el diseño de trabajos basados en misiones estratégicas y no solo en tareas repetitivas, y la integración de tecnología organizacional que optimice los flujos de decisión. El especialista debe ser capaz de justificar estos cambios no solo como ahorros de costos, sino como facilitadores de la "velocidad de negocio", permitiendo que la organización responda con mayor rapidez a las demandas del mercado.</w:t>
      </w:r>
    </w:p>
    <w:p w14:paraId="0000000E" w14:textId="77777777" w:rsidR="000D0F9C" w:rsidRDefault="00000000">
      <w:pPr>
        <w:numPr>
          <w:ilvl w:val="0"/>
          <w:numId w:val="3"/>
        </w:numPr>
        <w:pBdr>
          <w:top w:val="nil"/>
          <w:left w:val="nil"/>
          <w:bottom w:val="nil"/>
          <w:right w:val="nil"/>
          <w:between w:val="nil"/>
        </w:pBdr>
        <w:spacing w:after="120" w:line="275" w:lineRule="auto"/>
      </w:pPr>
      <w:r>
        <w:rPr>
          <w:rFonts w:ascii="Google Sans" w:eastAsia="Google Sans" w:hAnsi="Google Sans" w:cs="Google Sans"/>
          <w:b/>
          <w:bCs/>
          <w:color w:val="1F1F1F"/>
        </w:rPr>
        <w:t>Parte 3: Intervenciones en el Tejido Cultural:</w:t>
      </w:r>
      <w:r>
        <w:rPr>
          <w:rFonts w:ascii="Google Sans" w:eastAsia="Google Sans" w:hAnsi="Google Sans" w:cs="Google Sans"/>
          <w:color w:val="1F1F1F"/>
        </w:rPr>
        <w:t xml:space="preserve"> La cultura organizacional es el conjunto de valores, normas y supuestos que guían la conducta de los miembros. Intervenir en la cultura requiere "deshacer" hábitos profundamente arraigados para anclar nuevos comportamientos. Para el especialista de la Universidad de Córdoba, esto implica promover una cultura inclusiva que celebre la diversidad cultural, generacional y de género como factores diferenciadores. Las intervenciones culturales modernas utilizan narrativas compartidas y espacios de </w:t>
      </w:r>
      <w:proofErr w:type="spellStart"/>
      <w:r>
        <w:rPr>
          <w:rFonts w:ascii="Google Sans" w:eastAsia="Google Sans" w:hAnsi="Google Sans" w:cs="Google Sans"/>
          <w:color w:val="1F1F1F"/>
        </w:rPr>
        <w:t>co-creación</w:t>
      </w:r>
      <w:proofErr w:type="spellEnd"/>
      <w:r>
        <w:rPr>
          <w:rFonts w:ascii="Google Sans" w:eastAsia="Google Sans" w:hAnsi="Google Sans" w:cs="Google Sans"/>
          <w:color w:val="1F1F1F"/>
        </w:rPr>
        <w:t xml:space="preserve"> para que el colaborador se convierta en protagonista de la transformación, asegurando que los valores declarados coincidan con la práctica diaria en todos los niveles del sistema.</w:t>
      </w:r>
    </w:p>
    <w:p w14:paraId="0000000F" w14:textId="77777777" w:rsidR="000D0F9C" w:rsidRDefault="00000000">
      <w:pPr>
        <w:pBdr>
          <w:top w:val="nil"/>
          <w:left w:val="nil"/>
          <w:bottom w:val="nil"/>
          <w:right w:val="nil"/>
          <w:between w:val="nil"/>
        </w:pBdr>
        <w:spacing w:before="240" w:after="150" w:line="275" w:lineRule="auto"/>
        <w:rPr>
          <w:rFonts w:ascii="Google Sans" w:eastAsia="Google Sans" w:hAnsi="Google Sans" w:cs="Google Sans"/>
          <w:b/>
          <w:bCs/>
          <w:color w:val="1F1F1F"/>
        </w:rPr>
      </w:pPr>
      <w:r>
        <w:rPr>
          <w:rFonts w:ascii="Google Sans" w:eastAsia="Google Sans" w:hAnsi="Google Sans" w:cs="Google Sans"/>
          <w:b/>
          <w:bCs/>
          <w:color w:val="1F1F1F"/>
        </w:rPr>
        <w:t>Referencias para ampliación:</w:t>
      </w:r>
    </w:p>
    <w:p w14:paraId="00000010" w14:textId="77777777" w:rsidR="000D0F9C"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color w:val="1F1F1F"/>
        </w:rPr>
        <w:t xml:space="preserve">Cummings, T. G., &amp; Worley, C. G. (2014). </w:t>
      </w:r>
      <w:proofErr w:type="spellStart"/>
      <w:r>
        <w:rPr>
          <w:rFonts w:ascii="Google Sans" w:eastAsia="Google Sans" w:hAnsi="Google Sans" w:cs="Google Sans"/>
          <w:i/>
          <w:iCs/>
          <w:color w:val="1F1F1F"/>
        </w:rPr>
        <w:t>Organization</w:t>
      </w:r>
      <w:proofErr w:type="spellEnd"/>
      <w:r>
        <w:rPr>
          <w:rFonts w:ascii="Google Sans" w:eastAsia="Google Sans" w:hAnsi="Google Sans" w:cs="Google Sans"/>
          <w:i/>
          <w:iCs/>
          <w:color w:val="1F1F1F"/>
        </w:rPr>
        <w:t xml:space="preserve"> </w:t>
      </w:r>
      <w:proofErr w:type="spellStart"/>
      <w:r>
        <w:rPr>
          <w:rFonts w:ascii="Google Sans" w:eastAsia="Google Sans" w:hAnsi="Google Sans" w:cs="Google Sans"/>
          <w:i/>
          <w:iCs/>
          <w:color w:val="1F1F1F"/>
        </w:rPr>
        <w:t>Development</w:t>
      </w:r>
      <w:proofErr w:type="spellEnd"/>
      <w:r>
        <w:rPr>
          <w:rFonts w:ascii="Google Sans" w:eastAsia="Google Sans" w:hAnsi="Google Sans" w:cs="Google Sans"/>
          <w:i/>
          <w:iCs/>
          <w:color w:val="1F1F1F"/>
        </w:rPr>
        <w:t xml:space="preserve"> and Change</w:t>
      </w:r>
      <w:r>
        <w:rPr>
          <w:rFonts w:ascii="Google Sans" w:eastAsia="Google Sans" w:hAnsi="Google Sans" w:cs="Google Sans"/>
          <w:color w:val="1F1F1F"/>
        </w:rPr>
        <w:t xml:space="preserve">. Cengage </w:t>
      </w:r>
      <w:proofErr w:type="spellStart"/>
      <w:r>
        <w:rPr>
          <w:rFonts w:ascii="Google Sans" w:eastAsia="Google Sans" w:hAnsi="Google Sans" w:cs="Google Sans"/>
          <w:color w:val="1F1F1F"/>
        </w:rPr>
        <w:t>Learning</w:t>
      </w:r>
      <w:proofErr w:type="spellEnd"/>
      <w:r>
        <w:rPr>
          <w:rFonts w:ascii="Google Sans" w:eastAsia="Google Sans" w:hAnsi="Google Sans" w:cs="Google Sans"/>
          <w:color w:val="1F1F1F"/>
        </w:rPr>
        <w:t>.</w:t>
      </w:r>
    </w:p>
    <w:p w14:paraId="00000011" w14:textId="77777777" w:rsidR="000D0F9C"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color w:val="1F1F1F"/>
        </w:rPr>
        <w:t xml:space="preserve">Burke, W. W. (1994). </w:t>
      </w:r>
      <w:proofErr w:type="spellStart"/>
      <w:r>
        <w:rPr>
          <w:rFonts w:ascii="Google Sans" w:eastAsia="Google Sans" w:hAnsi="Google Sans" w:cs="Google Sans"/>
          <w:i/>
          <w:iCs/>
          <w:color w:val="1F1F1F"/>
        </w:rPr>
        <w:t>Organization</w:t>
      </w:r>
      <w:proofErr w:type="spellEnd"/>
      <w:r>
        <w:rPr>
          <w:rFonts w:ascii="Google Sans" w:eastAsia="Google Sans" w:hAnsi="Google Sans" w:cs="Google Sans"/>
          <w:i/>
          <w:iCs/>
          <w:color w:val="1F1F1F"/>
        </w:rPr>
        <w:t xml:space="preserve"> </w:t>
      </w:r>
      <w:proofErr w:type="spellStart"/>
      <w:r>
        <w:rPr>
          <w:rFonts w:ascii="Google Sans" w:eastAsia="Google Sans" w:hAnsi="Google Sans" w:cs="Google Sans"/>
          <w:i/>
          <w:iCs/>
          <w:color w:val="1F1F1F"/>
        </w:rPr>
        <w:t>Development</w:t>
      </w:r>
      <w:proofErr w:type="spellEnd"/>
      <w:r>
        <w:rPr>
          <w:rFonts w:ascii="Google Sans" w:eastAsia="Google Sans" w:hAnsi="Google Sans" w:cs="Google Sans"/>
          <w:i/>
          <w:iCs/>
          <w:color w:val="1F1F1F"/>
        </w:rPr>
        <w:t xml:space="preserve">: A Process </w:t>
      </w:r>
      <w:proofErr w:type="spellStart"/>
      <w:r>
        <w:rPr>
          <w:rFonts w:ascii="Google Sans" w:eastAsia="Google Sans" w:hAnsi="Google Sans" w:cs="Google Sans"/>
          <w:i/>
          <w:iCs/>
          <w:color w:val="1F1F1F"/>
        </w:rPr>
        <w:t>of</w:t>
      </w:r>
      <w:proofErr w:type="spellEnd"/>
      <w:r>
        <w:rPr>
          <w:rFonts w:ascii="Google Sans" w:eastAsia="Google Sans" w:hAnsi="Google Sans" w:cs="Google Sans"/>
          <w:i/>
          <w:iCs/>
          <w:color w:val="1F1F1F"/>
        </w:rPr>
        <w:t xml:space="preserve"> </w:t>
      </w:r>
      <w:proofErr w:type="spellStart"/>
      <w:r>
        <w:rPr>
          <w:rFonts w:ascii="Google Sans" w:eastAsia="Google Sans" w:hAnsi="Google Sans" w:cs="Google Sans"/>
          <w:i/>
          <w:iCs/>
          <w:color w:val="1F1F1F"/>
        </w:rPr>
        <w:t>Learning</w:t>
      </w:r>
      <w:proofErr w:type="spellEnd"/>
      <w:r>
        <w:rPr>
          <w:rFonts w:ascii="Google Sans" w:eastAsia="Google Sans" w:hAnsi="Google Sans" w:cs="Google Sans"/>
          <w:i/>
          <w:iCs/>
          <w:color w:val="1F1F1F"/>
        </w:rPr>
        <w:t xml:space="preserve"> and </w:t>
      </w:r>
      <w:proofErr w:type="spellStart"/>
      <w:r>
        <w:rPr>
          <w:rFonts w:ascii="Google Sans" w:eastAsia="Google Sans" w:hAnsi="Google Sans" w:cs="Google Sans"/>
          <w:i/>
          <w:iCs/>
          <w:color w:val="1F1F1F"/>
        </w:rPr>
        <w:t>Changing</w:t>
      </w:r>
      <w:proofErr w:type="spellEnd"/>
      <w:r>
        <w:rPr>
          <w:rFonts w:ascii="Google Sans" w:eastAsia="Google Sans" w:hAnsi="Google Sans" w:cs="Google Sans"/>
          <w:color w:val="1F1F1F"/>
        </w:rPr>
        <w:t>.</w:t>
      </w:r>
    </w:p>
    <w:p w14:paraId="00000012" w14:textId="77777777" w:rsidR="000D0F9C"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color w:val="1F1F1F"/>
        </w:rPr>
        <w:t xml:space="preserve">GSH Blog. (2024). </w:t>
      </w:r>
      <w:r>
        <w:rPr>
          <w:rFonts w:ascii="Google Sans" w:eastAsia="Google Sans" w:hAnsi="Google Sans" w:cs="Google Sans"/>
          <w:i/>
          <w:iCs/>
          <w:color w:val="1F1F1F"/>
        </w:rPr>
        <w:t>Diagnóstico Organizacional: Métodos y Técnicas</w:t>
      </w:r>
      <w:r>
        <w:rPr>
          <w:rFonts w:ascii="Google Sans" w:eastAsia="Google Sans" w:hAnsi="Google Sans" w:cs="Google Sans"/>
          <w:color w:val="1F1F1F"/>
        </w:rPr>
        <w:t>.</w:t>
      </w:r>
    </w:p>
    <w:p w14:paraId="4B5C64DC" w14:textId="77777777" w:rsidR="004C43E6" w:rsidRPr="004C43E6" w:rsidRDefault="00000000" w:rsidP="004C43E6">
      <w:pPr>
        <w:numPr>
          <w:ilvl w:val="0"/>
          <w:numId w:val="4"/>
        </w:num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 xml:space="preserve">Asana </w:t>
      </w:r>
      <w:proofErr w:type="spellStart"/>
      <w:r>
        <w:rPr>
          <w:rFonts w:ascii="Google Sans" w:eastAsia="Google Sans" w:hAnsi="Google Sans" w:cs="Google Sans"/>
          <w:color w:val="1F1F1F"/>
        </w:rPr>
        <w:t>Resources</w:t>
      </w:r>
      <w:proofErr w:type="spellEnd"/>
      <w:r>
        <w:rPr>
          <w:rFonts w:ascii="Google Sans" w:eastAsia="Google Sans" w:hAnsi="Google Sans" w:cs="Google Sans"/>
          <w:color w:val="1F1F1F"/>
        </w:rPr>
        <w:t xml:space="preserve">. (2025). </w:t>
      </w:r>
      <w:r>
        <w:rPr>
          <w:rFonts w:ascii="Google Sans" w:eastAsia="Google Sans" w:hAnsi="Google Sans" w:cs="Google Sans"/>
          <w:i/>
          <w:iCs/>
          <w:color w:val="1F1F1F"/>
        </w:rPr>
        <w:t>Desarrollo Organizacional: Guía de Intervenciones</w:t>
      </w:r>
      <w:r>
        <w:rPr>
          <w:rFonts w:ascii="Google Sans" w:eastAsia="Google Sans" w:hAnsi="Google Sans" w:cs="Google Sans"/>
          <w:color w:val="1F1F1F"/>
        </w:rPr>
        <w:t>.</w:t>
      </w:r>
    </w:p>
    <w:p w14:paraId="46055212" w14:textId="77777777" w:rsidR="004C43E6" w:rsidRDefault="004C43E6" w:rsidP="004C43E6">
      <w:pPr>
        <w:pBdr>
          <w:top w:val="nil"/>
          <w:left w:val="nil"/>
          <w:bottom w:val="nil"/>
          <w:right w:val="nil"/>
          <w:between w:val="nil"/>
        </w:pBdr>
        <w:spacing w:after="120" w:line="275" w:lineRule="auto"/>
        <w:rPr>
          <w:b/>
          <w:bCs/>
          <w:sz w:val="28"/>
          <w:szCs w:val="28"/>
        </w:rPr>
      </w:pPr>
    </w:p>
    <w:p w14:paraId="00000013" w14:textId="0626F4AC" w:rsidR="004C43E6" w:rsidRDefault="004C43E6" w:rsidP="004C43E6">
      <w:pPr>
        <w:pBdr>
          <w:top w:val="nil"/>
          <w:left w:val="nil"/>
          <w:bottom w:val="nil"/>
          <w:right w:val="nil"/>
          <w:between w:val="nil"/>
        </w:pBdr>
        <w:spacing w:after="120" w:line="275" w:lineRule="auto"/>
        <w:rPr>
          <w:rFonts w:ascii="Google Sans" w:eastAsia="Google Sans" w:hAnsi="Google Sans" w:cs="Google Sans"/>
          <w:color w:val="1F1F1F"/>
        </w:rPr>
      </w:pPr>
      <w:r>
        <w:rPr>
          <w:b/>
          <w:bCs/>
          <w:sz w:val="28"/>
          <w:szCs w:val="28"/>
        </w:rPr>
        <w:t>--------------------------------------------------------------------------------------------------</w:t>
      </w:r>
      <w:r>
        <w:rPr>
          <w:rFonts w:ascii="Google Sans" w:eastAsia="Google Sans" w:hAnsi="Google Sans" w:cs="Google Sans"/>
          <w:color w:val="1F1F1F"/>
        </w:rPr>
        <w:t xml:space="preserve"> </w:t>
      </w:r>
    </w:p>
    <w:p w14:paraId="00000054" w14:textId="22C5925E" w:rsidR="000D0F9C" w:rsidRDefault="00000000">
      <w:pPr>
        <w:pStyle w:val="Ttulo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 xml:space="preserve">Integración con Google </w:t>
      </w:r>
      <w:proofErr w:type="spellStart"/>
      <w:r>
        <w:rPr>
          <w:rFonts w:ascii="Google Sans" w:eastAsia="Google Sans" w:hAnsi="Google Sans" w:cs="Google Sans"/>
          <w:color w:val="1F1F1F"/>
        </w:rPr>
        <w:t>Docs</w:t>
      </w:r>
      <w:proofErr w:type="spellEnd"/>
      <w:r>
        <w:rPr>
          <w:rFonts w:ascii="Google Sans" w:eastAsia="Google Sans" w:hAnsi="Google Sans" w:cs="Google Sans"/>
          <w:color w:val="1F1F1F"/>
        </w:rPr>
        <w:t xml:space="preserve"> y Guía Práctica</w:t>
      </w:r>
    </w:p>
    <w:p w14:paraId="00000055" w14:textId="77777777" w:rsidR="000D0F9C"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Este material de la </w:t>
      </w:r>
      <w:r>
        <w:rPr>
          <w:rFonts w:ascii="Google Sans" w:eastAsia="Google Sans" w:hAnsi="Google Sans" w:cs="Google Sans"/>
          <w:b/>
          <w:bCs/>
          <w:color w:val="1F1F1F"/>
        </w:rPr>
        <w:t>Unidad 02</w:t>
      </w:r>
      <w:r>
        <w:rPr>
          <w:rFonts w:ascii="Google Sans" w:eastAsia="Google Sans" w:hAnsi="Google Sans" w:cs="Google Sans"/>
          <w:color w:val="1F1F1F"/>
        </w:rPr>
        <w:t xml:space="preserve"> sirve como guía técnica para el desarrollo del </w:t>
      </w:r>
      <w:r>
        <w:rPr>
          <w:rFonts w:ascii="Google Sans" w:eastAsia="Google Sans" w:hAnsi="Google Sans" w:cs="Google Sans"/>
          <w:b/>
          <w:bCs/>
          <w:color w:val="1F1F1F"/>
        </w:rPr>
        <w:t>Cuerpo de la Propuesta de Intervención</w:t>
      </w:r>
      <w:r>
        <w:rPr>
          <w:rFonts w:ascii="Google Sans" w:eastAsia="Google Sans" w:hAnsi="Google Sans" w:cs="Google Sans"/>
          <w:color w:val="1F1F1F"/>
        </w:rPr>
        <w:t>.</w:t>
      </w:r>
    </w:p>
    <w:p w14:paraId="00000056" w14:textId="77777777" w:rsidR="000D0F9C" w:rsidRDefault="00000000">
      <w:pPr>
        <w:pBdr>
          <w:top w:val="nil"/>
          <w:left w:val="nil"/>
          <w:bottom w:val="nil"/>
          <w:right w:val="nil"/>
          <w:between w:val="nil"/>
        </w:pBd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Actividades Sugeridas en el Aula Virtual:</w:t>
      </w:r>
    </w:p>
    <w:p w14:paraId="00000057" w14:textId="77777777" w:rsidR="000D0F9C"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Simulacro de Diseño Organizacional:</w:t>
      </w:r>
      <w:r>
        <w:rPr>
          <w:rFonts w:ascii="Google Sans" w:eastAsia="Google Sans" w:hAnsi="Google Sans" w:cs="Google Sans"/>
          <w:color w:val="1F1F1F"/>
        </w:rPr>
        <w:t xml:space="preserve"> El estudiante debe proponer una red de equipos autónomos para una unidad funcional de su empresa, eliminando un nivel jerárquico.</w:t>
      </w:r>
    </w:p>
    <w:p w14:paraId="00000058" w14:textId="77777777" w:rsidR="000D0F9C"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Taller de Gestión del Cambio:</w:t>
      </w:r>
      <w:r>
        <w:rPr>
          <w:rFonts w:ascii="Google Sans" w:eastAsia="Google Sans" w:hAnsi="Google Sans" w:cs="Google Sans"/>
          <w:color w:val="1F1F1F"/>
        </w:rPr>
        <w:t xml:space="preserve"> Creación de un plan de comunicación de 5 hitos para una transformación digital basada en los primeros 4 pasos de Kotter.</w:t>
      </w:r>
    </w:p>
    <w:p w14:paraId="00000059" w14:textId="77777777" w:rsidR="000D0F9C" w:rsidRDefault="00000000">
      <w:pPr>
        <w:numPr>
          <w:ilvl w:val="0"/>
          <w:numId w:val="2"/>
        </w:numPr>
        <w:pBdr>
          <w:top w:val="nil"/>
          <w:left w:val="nil"/>
          <w:bottom w:val="nil"/>
          <w:right w:val="nil"/>
          <w:between w:val="nil"/>
        </w:pBdr>
        <w:spacing w:after="120" w:line="275" w:lineRule="auto"/>
      </w:pPr>
      <w:r>
        <w:rPr>
          <w:rFonts w:ascii="Google Sans" w:eastAsia="Google Sans" w:hAnsi="Google Sans" w:cs="Google Sans"/>
          <w:b/>
          <w:bCs/>
          <w:color w:val="1F1F1F"/>
        </w:rPr>
        <w:t>Análisis de Caso (Argyris):</w:t>
      </w:r>
      <w:r>
        <w:rPr>
          <w:rFonts w:ascii="Google Sans" w:eastAsia="Google Sans" w:hAnsi="Google Sans" w:cs="Google Sans"/>
          <w:color w:val="1F1F1F"/>
        </w:rPr>
        <w:t xml:space="preserve"> Identificar un caso de "aprendizaje de bucle simple" en su </w:t>
      </w:r>
      <w:r>
        <w:rPr>
          <w:rFonts w:ascii="Google Sans" w:eastAsia="Google Sans" w:hAnsi="Google Sans" w:cs="Google Sans"/>
          <w:color w:val="1F1F1F"/>
        </w:rPr>
        <w:lastRenderedPageBreak/>
        <w:t>entorno laboral y proponer la intervención para convertirlo en "bucle doble".</w:t>
      </w:r>
    </w:p>
    <w:p w14:paraId="0000005A" w14:textId="77777777" w:rsidR="000D0F9C" w:rsidRDefault="00000000">
      <w:pPr>
        <w:pBdr>
          <w:top w:val="nil"/>
          <w:left w:val="nil"/>
          <w:bottom w:val="nil"/>
          <w:right w:val="nil"/>
          <w:between w:val="nil"/>
        </w:pBdr>
        <w:spacing w:before="240" w:after="150" w:line="275" w:lineRule="auto"/>
        <w:rPr>
          <w:rFonts w:ascii="Google Sans" w:eastAsia="Google Sans" w:hAnsi="Google Sans" w:cs="Google Sans"/>
          <w:color w:val="1F1F1F"/>
        </w:rPr>
      </w:pPr>
      <w:r>
        <w:rPr>
          <w:rFonts w:ascii="Google Sans" w:eastAsia="Google Sans" w:hAnsi="Google Sans" w:cs="Google Sans"/>
          <w:color w:val="1F1F1F"/>
        </w:rPr>
        <w:t>Este diseño asegura que el especialista de la Universidad de Córdoba no solo aprenda conceptos, sino que adquiera las destrezas operativas y humanas para transformar positivamente sus organizaciones.</w:t>
      </w:r>
    </w:p>
    <w:sectPr w:rsidR="000D0F9C">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39F721C-FE4F-434A-885C-C99DC2CFE223}"/>
  </w:font>
  <w:font w:name="Google Sans">
    <w:altName w:val="Calibri"/>
    <w:charset w:val="00"/>
    <w:family w:val="auto"/>
    <w:pitch w:val="default"/>
    <w:embedRegular r:id="rId2" w:fontKey="{AB96C987-E13F-471D-8158-A016D5AB9CBE}"/>
    <w:embedBold r:id="rId3" w:fontKey="{EB22BCE5-75FA-4938-8CFE-F0CA31F887A0}"/>
    <w:embedItalic r:id="rId4" w:fontKey="{77569D48-DEB4-47FF-8C35-C825B7A236BE}"/>
  </w:font>
  <w:font w:name="Calibri">
    <w:panose1 w:val="020F0502020204030204"/>
    <w:charset w:val="00"/>
    <w:family w:val="swiss"/>
    <w:pitch w:val="variable"/>
    <w:sig w:usb0="E4002EFF" w:usb1="C200247B" w:usb2="00000009" w:usb3="00000000" w:csb0="000001FF" w:csb1="00000000"/>
    <w:embedRegular r:id="rId5" w:fontKey="{1D8409CF-21DB-43E1-9CCC-B52310F05C63}"/>
  </w:font>
  <w:font w:name="Cambria">
    <w:panose1 w:val="02040503050406030204"/>
    <w:charset w:val="00"/>
    <w:family w:val="roman"/>
    <w:pitch w:val="variable"/>
    <w:sig w:usb0="E00006FF" w:usb1="420024FF" w:usb2="02000000" w:usb3="00000000" w:csb0="0000019F" w:csb1="00000000"/>
    <w:embedRegular r:id="rId6" w:fontKey="{5A90666A-E9C1-4720-A717-1D38A5982E5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15D7BDA"/>
    <w:multiLevelType w:val="multilevel"/>
    <w:tmpl w:val="4692C1DA"/>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AD70DC7"/>
    <w:multiLevelType w:val="multilevel"/>
    <w:tmpl w:val="7BFE236C"/>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0D74AEF"/>
    <w:multiLevelType w:val="multilevel"/>
    <w:tmpl w:val="E2B6FC56"/>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10A22B0"/>
    <w:multiLevelType w:val="multilevel"/>
    <w:tmpl w:val="F9B2E30C"/>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6455D94"/>
    <w:multiLevelType w:val="multilevel"/>
    <w:tmpl w:val="6190252E"/>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2D7223F2"/>
    <w:multiLevelType w:val="multilevel"/>
    <w:tmpl w:val="4DC4BAC0"/>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311E1849"/>
    <w:multiLevelType w:val="multilevel"/>
    <w:tmpl w:val="B2D66970"/>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3AFC1C7D"/>
    <w:multiLevelType w:val="multilevel"/>
    <w:tmpl w:val="3BB648F6"/>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3D9A10B6"/>
    <w:multiLevelType w:val="hybridMultilevel"/>
    <w:tmpl w:val="986E4D68"/>
    <w:lvl w:ilvl="0" w:tplc="DEB0BAAE">
      <w:start w:val="1"/>
      <w:numFmt w:val="bullet"/>
      <w:lvlText w:val=""/>
      <w:lvlPicBulletId w:val="0"/>
      <w:lvlJc w:val="left"/>
      <w:pPr>
        <w:tabs>
          <w:tab w:val="num" w:pos="720"/>
        </w:tabs>
        <w:ind w:left="720" w:hanging="360"/>
      </w:pPr>
      <w:rPr>
        <w:rFonts w:ascii="Symbol" w:hAnsi="Symbol" w:hint="default"/>
      </w:rPr>
    </w:lvl>
    <w:lvl w:ilvl="1" w:tplc="3F261FF2" w:tentative="1">
      <w:start w:val="1"/>
      <w:numFmt w:val="bullet"/>
      <w:lvlText w:val=""/>
      <w:lvlJc w:val="left"/>
      <w:pPr>
        <w:tabs>
          <w:tab w:val="num" w:pos="1440"/>
        </w:tabs>
        <w:ind w:left="1440" w:hanging="360"/>
      </w:pPr>
      <w:rPr>
        <w:rFonts w:ascii="Symbol" w:hAnsi="Symbol" w:hint="default"/>
      </w:rPr>
    </w:lvl>
    <w:lvl w:ilvl="2" w:tplc="CCCA04BA" w:tentative="1">
      <w:start w:val="1"/>
      <w:numFmt w:val="bullet"/>
      <w:lvlText w:val=""/>
      <w:lvlJc w:val="left"/>
      <w:pPr>
        <w:tabs>
          <w:tab w:val="num" w:pos="2160"/>
        </w:tabs>
        <w:ind w:left="2160" w:hanging="360"/>
      </w:pPr>
      <w:rPr>
        <w:rFonts w:ascii="Symbol" w:hAnsi="Symbol" w:hint="default"/>
      </w:rPr>
    </w:lvl>
    <w:lvl w:ilvl="3" w:tplc="92F09256" w:tentative="1">
      <w:start w:val="1"/>
      <w:numFmt w:val="bullet"/>
      <w:lvlText w:val=""/>
      <w:lvlJc w:val="left"/>
      <w:pPr>
        <w:tabs>
          <w:tab w:val="num" w:pos="2880"/>
        </w:tabs>
        <w:ind w:left="2880" w:hanging="360"/>
      </w:pPr>
      <w:rPr>
        <w:rFonts w:ascii="Symbol" w:hAnsi="Symbol" w:hint="default"/>
      </w:rPr>
    </w:lvl>
    <w:lvl w:ilvl="4" w:tplc="72AE168C" w:tentative="1">
      <w:start w:val="1"/>
      <w:numFmt w:val="bullet"/>
      <w:lvlText w:val=""/>
      <w:lvlJc w:val="left"/>
      <w:pPr>
        <w:tabs>
          <w:tab w:val="num" w:pos="3600"/>
        </w:tabs>
        <w:ind w:left="3600" w:hanging="360"/>
      </w:pPr>
      <w:rPr>
        <w:rFonts w:ascii="Symbol" w:hAnsi="Symbol" w:hint="default"/>
      </w:rPr>
    </w:lvl>
    <w:lvl w:ilvl="5" w:tplc="6A441D72" w:tentative="1">
      <w:start w:val="1"/>
      <w:numFmt w:val="bullet"/>
      <w:lvlText w:val=""/>
      <w:lvlJc w:val="left"/>
      <w:pPr>
        <w:tabs>
          <w:tab w:val="num" w:pos="4320"/>
        </w:tabs>
        <w:ind w:left="4320" w:hanging="360"/>
      </w:pPr>
      <w:rPr>
        <w:rFonts w:ascii="Symbol" w:hAnsi="Symbol" w:hint="default"/>
      </w:rPr>
    </w:lvl>
    <w:lvl w:ilvl="6" w:tplc="23027A50" w:tentative="1">
      <w:start w:val="1"/>
      <w:numFmt w:val="bullet"/>
      <w:lvlText w:val=""/>
      <w:lvlJc w:val="left"/>
      <w:pPr>
        <w:tabs>
          <w:tab w:val="num" w:pos="5040"/>
        </w:tabs>
        <w:ind w:left="5040" w:hanging="360"/>
      </w:pPr>
      <w:rPr>
        <w:rFonts w:ascii="Symbol" w:hAnsi="Symbol" w:hint="default"/>
      </w:rPr>
    </w:lvl>
    <w:lvl w:ilvl="7" w:tplc="F5567840" w:tentative="1">
      <w:start w:val="1"/>
      <w:numFmt w:val="bullet"/>
      <w:lvlText w:val=""/>
      <w:lvlJc w:val="left"/>
      <w:pPr>
        <w:tabs>
          <w:tab w:val="num" w:pos="5760"/>
        </w:tabs>
        <w:ind w:left="5760" w:hanging="360"/>
      </w:pPr>
      <w:rPr>
        <w:rFonts w:ascii="Symbol" w:hAnsi="Symbol" w:hint="default"/>
      </w:rPr>
    </w:lvl>
    <w:lvl w:ilvl="8" w:tplc="A18AB16E"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480115A5"/>
    <w:multiLevelType w:val="multilevel"/>
    <w:tmpl w:val="14EAD798"/>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4DC41D08"/>
    <w:multiLevelType w:val="multilevel"/>
    <w:tmpl w:val="F322280A"/>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556D02B3"/>
    <w:multiLevelType w:val="multilevel"/>
    <w:tmpl w:val="98F46A4C"/>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5EB5067D"/>
    <w:multiLevelType w:val="multilevel"/>
    <w:tmpl w:val="2B083B4E"/>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6A98049C"/>
    <w:multiLevelType w:val="multilevel"/>
    <w:tmpl w:val="1D744D90"/>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6BCB2499"/>
    <w:multiLevelType w:val="multilevel"/>
    <w:tmpl w:val="818C40A0"/>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75923D79"/>
    <w:multiLevelType w:val="multilevel"/>
    <w:tmpl w:val="B4664CCA"/>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7C3C6453"/>
    <w:multiLevelType w:val="multilevel"/>
    <w:tmpl w:val="1298B128"/>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964235306">
    <w:abstractNumId w:val="15"/>
  </w:num>
  <w:num w:numId="2" w16cid:durableId="78142601">
    <w:abstractNumId w:val="7"/>
  </w:num>
  <w:num w:numId="3" w16cid:durableId="1622032899">
    <w:abstractNumId w:val="10"/>
  </w:num>
  <w:num w:numId="4" w16cid:durableId="1406805277">
    <w:abstractNumId w:val="0"/>
  </w:num>
  <w:num w:numId="5" w16cid:durableId="1920096291">
    <w:abstractNumId w:val="5"/>
  </w:num>
  <w:num w:numId="6" w16cid:durableId="1135758250">
    <w:abstractNumId w:val="13"/>
  </w:num>
  <w:num w:numId="7" w16cid:durableId="1735815565">
    <w:abstractNumId w:val="3"/>
  </w:num>
  <w:num w:numId="8" w16cid:durableId="23603310">
    <w:abstractNumId w:val="14"/>
  </w:num>
  <w:num w:numId="9" w16cid:durableId="177237604">
    <w:abstractNumId w:val="1"/>
  </w:num>
  <w:num w:numId="10" w16cid:durableId="2068263555">
    <w:abstractNumId w:val="6"/>
  </w:num>
  <w:num w:numId="11" w16cid:durableId="1519660474">
    <w:abstractNumId w:val="12"/>
  </w:num>
  <w:num w:numId="12" w16cid:durableId="878323906">
    <w:abstractNumId w:val="9"/>
  </w:num>
  <w:num w:numId="13" w16cid:durableId="1994680291">
    <w:abstractNumId w:val="11"/>
  </w:num>
  <w:num w:numId="14" w16cid:durableId="1067460922">
    <w:abstractNumId w:val="2"/>
  </w:num>
  <w:num w:numId="15" w16cid:durableId="221983908">
    <w:abstractNumId w:val="16"/>
  </w:num>
  <w:num w:numId="16" w16cid:durableId="724069217">
    <w:abstractNumId w:val="4"/>
  </w:num>
  <w:num w:numId="17" w16cid:durableId="9515194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F9C"/>
    <w:rsid w:val="000D0F9C"/>
    <w:rsid w:val="004C43E6"/>
    <w:rsid w:val="00FA7DB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68650"/>
  <w15:docId w15:val="{381BBA6B-A353-4801-8A21-78059852F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Prrafodelista">
    <w:name w:val="List Paragraph"/>
    <w:basedOn w:val="Normal"/>
    <w:uiPriority w:val="34"/>
    <w:qFormat/>
    <w:rsid w:val="004C43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807</Words>
  <Characters>4444</Characters>
  <Application>Microsoft Office Word</Application>
  <DocSecurity>0</DocSecurity>
  <Lines>37</Lines>
  <Paragraphs>10</Paragraphs>
  <ScaleCrop>false</ScaleCrop>
  <Company/>
  <LinksUpToDate>false</LinksUpToDate>
  <CharactersWithSpaces>5241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Monica Maria Trochez Arboleda</dc:creator>
  <cp:lastModifiedBy>Cristina Isabel Madera Gomez</cp:lastModifiedBy>
  <cp:revision>2</cp:revision>
  <dcterms:created xsi:type="dcterms:W3CDTF">2026-06-19T18:53:00Z</dcterms:created>
  <dcterms:modified xsi:type="dcterms:W3CDTF">2026-06-19T18:53:00Z</dcterms:modified>
</cp:coreProperties>
</file>