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1507E" w14:textId="162C6B7E" w:rsidR="00234A8B" w:rsidRDefault="00FF5762" w:rsidP="00234A8B">
      <w:r>
        <w:t>T</w:t>
      </w:r>
      <w:r w:rsidR="00234A8B">
        <w:t>ema1: Teorías y enfoques sobre cultura organizacional y clima laboral.</w:t>
      </w:r>
    </w:p>
    <w:p w14:paraId="126A0E5D" w14:textId="77777777" w:rsidR="00234A8B" w:rsidRDefault="00234A8B" w:rsidP="00234A8B"/>
    <w:p w14:paraId="1A495FC2" w14:textId="77777777" w:rsidR="00234A8B" w:rsidRPr="00234A8B" w:rsidRDefault="00234A8B" w:rsidP="00234A8B"/>
    <w:p w14:paraId="00000007" w14:textId="77777777" w:rsidR="006B203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Introducción:</w:t>
      </w:r>
    </w:p>
    <w:p w14:paraId="00000008" w14:textId="77777777" w:rsidR="006B203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 distinción entre cultura y clima es fundamental para la intervención estratégica. Mientras la cultura representa el sistema de significados compartidos, valores y creencias que dictan "cómo se hacen las cosas aquí", el clima es la percepción temporal de los empleados sobre ese entorno. Este subtema explora los enfoques clásicos frente a las nuevas teorías de "organizaciones líquidas" y agilidad cultural, donde la capacidad de adaptación colectiva es el mayor activo competitivo del siglo XXI.</w:t>
      </w:r>
    </w:p>
    <w:p w14:paraId="00000009" w14:textId="77777777" w:rsidR="006B203C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Objetivos de Aprendizaje:</w:t>
      </w:r>
    </w:p>
    <w:p w14:paraId="0000000A" w14:textId="77777777" w:rsidR="006B20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Contrastar los conceptos de cultura y clima organizacional, identificando sus variables críticas y su nivel de interdependencia.</w:t>
      </w:r>
    </w:p>
    <w:p w14:paraId="0000000B" w14:textId="77777777" w:rsidR="006B20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Analizar el impacto de la cultura inclusiva y colaborativa en el incremento demostrado de la productividad y satisfacción del talento humano.</w:t>
      </w:r>
    </w:p>
    <w:p w14:paraId="0000000C" w14:textId="77777777" w:rsidR="006B20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Proyectar la transición hacia modelos de agilidad cultural y organizaciones líquidas como respuesta a la volatilidad del entorno hacia el 2026.</w:t>
      </w:r>
    </w:p>
    <w:p w14:paraId="0000000D" w14:textId="77777777" w:rsidR="006B20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Contenido:</w:t>
      </w:r>
    </w:p>
    <w:p w14:paraId="0000000E" w14:textId="77777777" w:rsidR="006B20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1: Enfoques Clásicos y Diferenciación Conceptual:</w:t>
      </w:r>
      <w:r>
        <w:rPr>
          <w:rFonts w:ascii="Google Sans" w:eastAsia="Google Sans" w:hAnsi="Google Sans" w:cs="Google Sans"/>
          <w:color w:val="1F1F1F"/>
        </w:rPr>
        <w:t xml:space="preserve"> La cultura organizacional se entiende como el "software" de la empresa; un conjunto de supuestos básicos que un grupo ha inventado o desarrollado al aprender a enfrentar sus problemas de adaptación externa e integración interna. Por su parte, el clima es la manifestación superficial de esa cultura, medible a través de la percepción de los empleados sobre el liderazgo, la autonomía y el apoyo recibido. Un clima laboral positivo mejora significativamente el desempeño, pero si la cultura subyacente es rígida o penaliza el error, cualquier mejora en el clima será efímera.</w:t>
      </w:r>
    </w:p>
    <w:p w14:paraId="0000000F" w14:textId="77777777" w:rsidR="006B20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2: Cultura de Agilidad frente a Agilidad de Procesos:</w:t>
      </w:r>
      <w:r>
        <w:rPr>
          <w:rFonts w:ascii="Google Sans" w:eastAsia="Google Sans" w:hAnsi="Google Sans" w:cs="Google Sans"/>
          <w:color w:val="1F1F1F"/>
        </w:rPr>
        <w:t xml:space="preserve"> La tendencia para 2025-2026 resalta que la agilidad de procesos (cómo se ejecuta el trabajo) es estéril si no está respaldada por una </w:t>
      </w:r>
      <w:r>
        <w:rPr>
          <w:rFonts w:ascii="Google Sans" w:eastAsia="Google Sans" w:hAnsi="Google Sans" w:cs="Google Sans"/>
          <w:b/>
          <w:bCs/>
          <w:color w:val="1F1F1F"/>
        </w:rPr>
        <w:t>agilidad cultural</w:t>
      </w:r>
      <w:r>
        <w:rPr>
          <w:rFonts w:ascii="Google Sans" w:eastAsia="Google Sans" w:hAnsi="Google Sans" w:cs="Google Sans"/>
          <w:color w:val="1F1F1F"/>
        </w:rPr>
        <w:t xml:space="preserve"> (cómo se decide y aprende). Muchas organizaciones optimizan flujos de </w:t>
      </w:r>
      <w:proofErr w:type="gramStart"/>
      <w:r>
        <w:rPr>
          <w:rFonts w:ascii="Google Sans" w:eastAsia="Google Sans" w:hAnsi="Google Sans" w:cs="Google Sans"/>
          <w:color w:val="1F1F1F"/>
        </w:rPr>
        <w:t>trabajo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pero mantienen creencias que refuerzan el control excesivo. Una cultura ágil se caracteriza por la toma de decisiones distribuida, el aprendizaje sistemático del error y la aceptación de la incertidumbre como parte del funcionamiento normal. En las organizaciones con alta agilidad cultural, hasta el 81% de los colaboradores se adaptan rápidamente a los cambios, superando drásticamente a las empresas tradicionales.</w:t>
      </w:r>
    </w:p>
    <w:p w14:paraId="00000010" w14:textId="77777777" w:rsidR="006B20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Parte 3: El Desafío de la Cultura Líquida y el Rendimiento en 2026:</w:t>
      </w:r>
      <w:r>
        <w:rPr>
          <w:rFonts w:ascii="Google Sans" w:eastAsia="Google Sans" w:hAnsi="Google Sans" w:cs="Google Sans"/>
          <w:color w:val="1F1F1F"/>
        </w:rPr>
        <w:t xml:space="preserve"> Bajo el concepto de "organizaciones líquidas", las estructuras rígidas y estáticas son reemplazadas por redes de equipos que se forman y disuelven según prioridades estratégicas. Este enfoque exige un liderazgo "violeta" que integre variables económicas, tecnológicas y </w:t>
      </w:r>
      <w:r>
        <w:rPr>
          <w:rFonts w:ascii="Google Sans" w:eastAsia="Google Sans" w:hAnsi="Google Sans" w:cs="Google Sans"/>
          <w:color w:val="1F1F1F"/>
        </w:rPr>
        <w:lastRenderedPageBreak/>
        <w:t>humanas, priorizando el pensamiento sistémico. Hacia el 2026, la cultura ya no será una lista de valores en la pared, sino una capacidad colectiva de resiliencia ante entornos BANI (quebradizos y ansiosos), donde el bienestar psicológico se trata como una variable crítica del negocio para evitar el colapso por agotamiento cognitivo.</w:t>
      </w:r>
    </w:p>
    <w:p w14:paraId="00000011" w14:textId="77777777" w:rsidR="006B203C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5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Referencias para ampliación:</w:t>
      </w:r>
    </w:p>
    <w:p w14:paraId="00000012" w14:textId="77777777" w:rsidR="006B203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Schein, E. H. (2010).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Organizational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Culture and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Leadership</w:t>
      </w:r>
      <w:proofErr w:type="spellEnd"/>
      <w:r>
        <w:rPr>
          <w:rFonts w:ascii="Google Sans" w:eastAsia="Google Sans" w:hAnsi="Google Sans" w:cs="Google Sans"/>
          <w:color w:val="1F1F1F"/>
        </w:rPr>
        <w:t>. Jossey-Bass.</w:t>
      </w:r>
    </w:p>
    <w:p w14:paraId="00000013" w14:textId="77777777" w:rsidR="006B203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Deloitte (2025). 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Global Human Capital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Trends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>: Culture and Performance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14" w14:textId="77777777" w:rsidR="006B203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Mercer (2024). </w:t>
      </w:r>
      <w:r>
        <w:rPr>
          <w:rFonts w:ascii="Google Sans" w:eastAsia="Google Sans" w:hAnsi="Google Sans" w:cs="Google Sans"/>
          <w:i/>
          <w:iCs/>
          <w:color w:val="1F1F1F"/>
        </w:rPr>
        <w:t xml:space="preserve">Global Talent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Trends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: The Heart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of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Employee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Experience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5" w14:textId="19A9FE2F" w:rsidR="00234A8B" w:rsidRDefault="00000000" w:rsidP="00234A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OpenWebinars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(2025). </w:t>
      </w:r>
      <w:r>
        <w:rPr>
          <w:rFonts w:ascii="Google Sans" w:eastAsia="Google Sans" w:hAnsi="Google Sans" w:cs="Google Sans"/>
          <w:i/>
          <w:iCs/>
          <w:color w:val="1F1F1F"/>
        </w:rPr>
        <w:t>Cultura Organizacional Ágil: Claves para el cambio continuo</w:t>
      </w:r>
      <w:r>
        <w:rPr>
          <w:rFonts w:ascii="Google Sans" w:eastAsia="Google Sans" w:hAnsi="Google Sans" w:cs="Google Sans"/>
          <w:color w:val="1F1F1F"/>
        </w:rPr>
        <w:t>.</w:t>
      </w:r>
      <w:r w:rsidR="00234A8B">
        <w:rPr>
          <w:rFonts w:ascii="Google Sans" w:eastAsia="Google Sans" w:hAnsi="Google Sans" w:cs="Google Sans"/>
          <w:color w:val="1F1F1F"/>
        </w:rPr>
        <w:t xml:space="preserve"> </w:t>
      </w:r>
    </w:p>
    <w:p w14:paraId="09945A7C" w14:textId="77777777" w:rsidR="00234A8B" w:rsidRDefault="00234A8B" w:rsidP="00234A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4A3D8DD2" w14:textId="77777777" w:rsidR="00234A8B" w:rsidRDefault="00234A8B" w:rsidP="00234A8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sectPr w:rsidR="00234A8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17A80FB-781E-4DD2-834B-9610161C2AAC}"/>
  </w:font>
  <w:font w:name="Google Sans">
    <w:altName w:val="Calibri"/>
    <w:charset w:val="00"/>
    <w:family w:val="auto"/>
    <w:pitch w:val="default"/>
    <w:embedRegular r:id="rId2" w:fontKey="{A18CB9C4-3FB5-4BB0-8B6F-E3A2B01050EB}"/>
    <w:embedBold r:id="rId3" w:fontKey="{D07172D6-78D6-49B9-B0BC-DD2F93F53241}"/>
    <w:embedItalic r:id="rId4" w:fontKey="{E7C0DF2E-C0D0-4FA6-B55B-0A2828A95E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850B8ED-969C-4875-852A-1FD190EA77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28A0280-A535-47FA-BE93-AE4099F1A9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25D1C"/>
    <w:multiLevelType w:val="multilevel"/>
    <w:tmpl w:val="85708A4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8A72681"/>
    <w:multiLevelType w:val="multilevel"/>
    <w:tmpl w:val="B81C944E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EC1432E"/>
    <w:multiLevelType w:val="multilevel"/>
    <w:tmpl w:val="1174F92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1510B29"/>
    <w:multiLevelType w:val="multilevel"/>
    <w:tmpl w:val="AFD4025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8A1180E"/>
    <w:multiLevelType w:val="multilevel"/>
    <w:tmpl w:val="29B6912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AFE3E66"/>
    <w:multiLevelType w:val="multilevel"/>
    <w:tmpl w:val="43662748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BC926A7"/>
    <w:multiLevelType w:val="multilevel"/>
    <w:tmpl w:val="F70E826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DE925A2"/>
    <w:multiLevelType w:val="multilevel"/>
    <w:tmpl w:val="FFF285A2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EE60E44"/>
    <w:multiLevelType w:val="multilevel"/>
    <w:tmpl w:val="E48695A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C92113B"/>
    <w:multiLevelType w:val="multilevel"/>
    <w:tmpl w:val="86CCBE4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13F6F17"/>
    <w:multiLevelType w:val="multilevel"/>
    <w:tmpl w:val="473C454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DFE7207"/>
    <w:multiLevelType w:val="multilevel"/>
    <w:tmpl w:val="9EBAE07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7153473"/>
    <w:multiLevelType w:val="multilevel"/>
    <w:tmpl w:val="CA1AECB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87A406D"/>
    <w:multiLevelType w:val="multilevel"/>
    <w:tmpl w:val="A520449C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8D12DD2"/>
    <w:multiLevelType w:val="multilevel"/>
    <w:tmpl w:val="2AA2D316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9E93B6D"/>
    <w:multiLevelType w:val="multilevel"/>
    <w:tmpl w:val="EA6E3E2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20364161">
    <w:abstractNumId w:val="0"/>
  </w:num>
  <w:num w:numId="2" w16cid:durableId="662010566">
    <w:abstractNumId w:val="12"/>
  </w:num>
  <w:num w:numId="3" w16cid:durableId="2127576872">
    <w:abstractNumId w:val="14"/>
  </w:num>
  <w:num w:numId="4" w16cid:durableId="227082476">
    <w:abstractNumId w:val="10"/>
  </w:num>
  <w:num w:numId="5" w16cid:durableId="248971519">
    <w:abstractNumId w:val="15"/>
  </w:num>
  <w:num w:numId="6" w16cid:durableId="1293291633">
    <w:abstractNumId w:val="2"/>
  </w:num>
  <w:num w:numId="7" w16cid:durableId="980813501">
    <w:abstractNumId w:val="7"/>
  </w:num>
  <w:num w:numId="8" w16cid:durableId="2043706479">
    <w:abstractNumId w:val="4"/>
  </w:num>
  <w:num w:numId="9" w16cid:durableId="1566794306">
    <w:abstractNumId w:val="9"/>
  </w:num>
  <w:num w:numId="10" w16cid:durableId="1115178512">
    <w:abstractNumId w:val="13"/>
  </w:num>
  <w:num w:numId="11" w16cid:durableId="984579287">
    <w:abstractNumId w:val="6"/>
  </w:num>
  <w:num w:numId="12" w16cid:durableId="1970696599">
    <w:abstractNumId w:val="3"/>
  </w:num>
  <w:num w:numId="13" w16cid:durableId="1513298191">
    <w:abstractNumId w:val="1"/>
  </w:num>
  <w:num w:numId="14" w16cid:durableId="758405668">
    <w:abstractNumId w:val="11"/>
  </w:num>
  <w:num w:numId="15" w16cid:durableId="833953697">
    <w:abstractNumId w:val="8"/>
  </w:num>
  <w:num w:numId="16" w16cid:durableId="1957055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03C"/>
    <w:rsid w:val="00183F1F"/>
    <w:rsid w:val="00234A8B"/>
    <w:rsid w:val="005D3718"/>
    <w:rsid w:val="006B203C"/>
    <w:rsid w:val="00FB58F9"/>
    <w:rsid w:val="00FF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47C98"/>
  <w15:docId w15:val="{192BDF14-3095-4AA2-B572-96598E3F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520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Cristina Isabel Madera Gomez</cp:lastModifiedBy>
  <cp:revision>3</cp:revision>
  <dcterms:created xsi:type="dcterms:W3CDTF">2026-07-21T14:18:00Z</dcterms:created>
  <dcterms:modified xsi:type="dcterms:W3CDTF">2026-07-21T15:31:00Z</dcterms:modified>
</cp:coreProperties>
</file>