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7D67" w14:textId="139F5CF3" w:rsidR="00232393" w:rsidRDefault="00232393" w:rsidP="00232393">
      <w:r>
        <w:t>Tema 3: Modelos de retención de talento humano integrados a la gestión del desempeño.</w:t>
      </w:r>
    </w:p>
    <w:p w14:paraId="67B8C3DA" w14:textId="77777777" w:rsidR="00232393" w:rsidRPr="00232393" w:rsidRDefault="00232393" w:rsidP="00232393"/>
    <w:p w14:paraId="7BA20887" w14:textId="77777777" w:rsidR="00232393" w:rsidRDefault="00232393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25" w14:textId="63BD98F6" w:rsidR="00AA653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26" w14:textId="77777777" w:rsidR="00AA653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Retener talento en 2026 significa diseñar experiencias laborales sostenibles donde el bienestar y el rendimiento avancen en paralelo. Este subtema profundiza en modelos de motivación y en cómo la gestión del desempeño se convierte en un motor de desarrollo profesional. El especialista aprenderá que el salario ya no es el único factor diferenciador; pesan más el propósito, la flexibilidad laboral y el "salario emocional".</w:t>
      </w:r>
    </w:p>
    <w:p w14:paraId="00000027" w14:textId="77777777" w:rsidR="00AA653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28" w14:textId="77777777" w:rsidR="00AA653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Analizar el impacto de la motivación intrínseca y el bienestar emocional en la reducción de la propensión a la rotación.</w:t>
      </w:r>
    </w:p>
    <w:p w14:paraId="00000029" w14:textId="77777777" w:rsidR="00AA653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Diseñar sistemas de evaluación del desempeño de 360 grados y </w:t>
      </w:r>
      <w:proofErr w:type="spellStart"/>
      <w:r>
        <w:rPr>
          <w:rFonts w:ascii="Google Sans" w:eastAsia="Google Sans" w:hAnsi="Google Sans" w:cs="Google Sans"/>
          <w:color w:val="1F1F1F"/>
        </w:rPr>
        <w:t>OKRs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que fomenten el crecimiento y la autopercepción del colaborador.</w:t>
      </w:r>
    </w:p>
    <w:p w14:paraId="0000002A" w14:textId="77777777" w:rsidR="00AA653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Diseñar estrategias de "presencialidad estratégica" y desconexión digital para los modelos de trabajo híbridos del 2026.</w:t>
      </w:r>
    </w:p>
    <w:p w14:paraId="0000002B" w14:textId="77777777" w:rsidR="00AA653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2C" w14:textId="77777777" w:rsidR="00AA653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Modelos de Retención y Motivación:</w:t>
      </w:r>
      <w:r>
        <w:rPr>
          <w:rFonts w:ascii="Google Sans" w:eastAsia="Google Sans" w:hAnsi="Google Sans" w:cs="Google Sans"/>
          <w:color w:val="1F1F1F"/>
        </w:rPr>
        <w:t xml:space="preserve"> Los colaboradores motivados exhiben mayores niveles de compromiso afectivo. Según la teoría </w:t>
      </w:r>
      <w:proofErr w:type="spellStart"/>
      <w:r>
        <w:rPr>
          <w:rFonts w:ascii="Google Sans" w:eastAsia="Google Sans" w:hAnsi="Google Sans" w:cs="Google Sans"/>
          <w:color w:val="1F1F1F"/>
        </w:rPr>
        <w:t>herzbergiana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es necesario ofrecer factores motivacionales como el reconocimiento y el crecimiento. En perfiles de alto rendimiento, la retención se logra mediante la </w:t>
      </w:r>
      <w:r>
        <w:rPr>
          <w:rFonts w:ascii="Google Sans" w:eastAsia="Google Sans" w:hAnsi="Google Sans" w:cs="Google Sans"/>
          <w:b/>
          <w:bCs/>
          <w:color w:val="1F1F1F"/>
        </w:rPr>
        <w:t>flexibilidad radical</w:t>
      </w:r>
      <w:r>
        <w:rPr>
          <w:rFonts w:ascii="Google Sans" w:eastAsia="Google Sans" w:hAnsi="Google Sans" w:cs="Google Sans"/>
          <w:color w:val="1F1F1F"/>
        </w:rPr>
        <w:t xml:space="preserve"> y la exposición a proyectos estratégicos. Las organizaciones con culturas sólidas aumentan su retención hasta en un 40%.</w:t>
      </w:r>
    </w:p>
    <w:p w14:paraId="0000002D" w14:textId="77777777" w:rsidR="00AA653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Parte 2: Gestión del Desempeño 360° y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OKRs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La evaluación debe integrarse en el flujo de trabajo diario. El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Feedback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360 Grados</w:t>
      </w:r>
      <w:r>
        <w:rPr>
          <w:rFonts w:ascii="Google Sans" w:eastAsia="Google Sans" w:hAnsi="Google Sans" w:cs="Google Sans"/>
          <w:color w:val="1F1F1F"/>
        </w:rPr>
        <w:t xml:space="preserve"> proporciona una visión total al incluir múltiples perspectivas, mejorando la autopercepción e identificando talentos de alto potencial. El uso de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OKRs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permite una alineación ágil de los objetivos individuales con los de negocio, celebrando victorias a corto plazo que mantienen alta la moral del equipo.</w:t>
      </w:r>
    </w:p>
    <w:p w14:paraId="0000002E" w14:textId="77777777" w:rsidR="00AA653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Bienestar Integral como Ventaja de Futuro:</w:t>
      </w:r>
      <w:r>
        <w:rPr>
          <w:rFonts w:ascii="Google Sans" w:eastAsia="Google Sans" w:hAnsi="Google Sans" w:cs="Google Sans"/>
          <w:color w:val="1F1F1F"/>
        </w:rPr>
        <w:t xml:space="preserve"> En 2026, el enfoque en la salud mental integrada al diseño del trabajo es un pilar cultural. Las organizaciones líderes implementan la "presencialidad estratégica", priorizando la oficina para actividades de </w:t>
      </w:r>
      <w:proofErr w:type="spellStart"/>
      <w:r>
        <w:rPr>
          <w:rFonts w:ascii="Google Sans" w:eastAsia="Google Sans" w:hAnsi="Google Sans" w:cs="Google Sans"/>
          <w:color w:val="1F1F1F"/>
        </w:rPr>
        <w:t>co-creación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mientras garantizan autonomía total en el resto de la jornada. El bienestar profesional se sustenta hoy en la capacidad de desconexión y en beneficios "a la carta" adaptados a la etapa de vida del colaborador.</w:t>
      </w:r>
    </w:p>
    <w:p w14:paraId="0000002F" w14:textId="77777777" w:rsidR="00AA653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30" w14:textId="77777777" w:rsidR="00AA653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Meyer, J., &amp; Allen, N. (1997).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Commitment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Workplace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: Theory and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Application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1" w14:textId="77777777" w:rsidR="00AA653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Deel (2026). </w:t>
      </w:r>
      <w:r>
        <w:rPr>
          <w:rFonts w:ascii="Google Sans" w:eastAsia="Google Sans" w:hAnsi="Google Sans" w:cs="Google Sans"/>
          <w:i/>
          <w:iCs/>
          <w:color w:val="1F1F1F"/>
        </w:rPr>
        <w:t>Flexibilidad real y desconexión digital como práctica cultural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2" w14:textId="77777777" w:rsidR="00AA653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WorkMeter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(2026). </w:t>
      </w:r>
      <w:r>
        <w:rPr>
          <w:rFonts w:ascii="Google Sans" w:eastAsia="Google Sans" w:hAnsi="Google Sans" w:cs="Google Sans"/>
          <w:i/>
          <w:iCs/>
          <w:color w:val="1F1F1F"/>
        </w:rPr>
        <w:t>Plan de bienestar laboral para empresas modernas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3" w14:textId="085D84B4" w:rsidR="00232393" w:rsidRDefault="00000000" w:rsidP="0023239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HRider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(2025).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Feedback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360 para el desarrollo profesional</w:t>
      </w:r>
      <w:r>
        <w:rPr>
          <w:rFonts w:ascii="Google Sans" w:eastAsia="Google Sans" w:hAnsi="Google Sans" w:cs="Google Sans"/>
          <w:color w:val="1F1F1F"/>
        </w:rPr>
        <w:t>.</w:t>
      </w:r>
      <w:r w:rsidR="00232393">
        <w:t xml:space="preserve"> </w:t>
      </w:r>
    </w:p>
    <w:p w14:paraId="0000005C" w14:textId="4C96C157" w:rsidR="00AA6532" w:rsidRDefault="00AA6532" w:rsidP="00232393">
      <w:pPr>
        <w:pBdr>
          <w:top w:val="nil"/>
          <w:left w:val="nil"/>
          <w:bottom w:val="nil"/>
          <w:right w:val="nil"/>
          <w:between w:val="nil"/>
        </w:pBdr>
      </w:pPr>
    </w:p>
    <w:sectPr w:rsidR="00AA653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F0B18A-1A11-48F3-A272-2A20E631A66E}"/>
  </w:font>
  <w:font w:name="Google Sans">
    <w:altName w:val="Calibri"/>
    <w:charset w:val="00"/>
    <w:family w:val="auto"/>
    <w:pitch w:val="default"/>
    <w:embedRegular r:id="rId2" w:fontKey="{818C5379-D4FF-4B99-90C4-E38CF1FC292B}"/>
    <w:embedBold r:id="rId3" w:fontKey="{C524BFA5-E83F-43AA-95EF-8348F603BC32}"/>
    <w:embedItalic r:id="rId4" w:fontKey="{072ADC31-8C1F-4D1C-B95E-9C97DEE4E4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8CAE31-8EB0-4CE0-9765-A6722DC007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9E3296-6F17-4926-AD51-D5B339BC4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9A9"/>
    <w:multiLevelType w:val="multilevel"/>
    <w:tmpl w:val="6E74C65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843F42"/>
    <w:multiLevelType w:val="multilevel"/>
    <w:tmpl w:val="EDF6B22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B20BA0"/>
    <w:multiLevelType w:val="multilevel"/>
    <w:tmpl w:val="5214600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A2106C"/>
    <w:multiLevelType w:val="multilevel"/>
    <w:tmpl w:val="88DE525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3B73A6F"/>
    <w:multiLevelType w:val="multilevel"/>
    <w:tmpl w:val="05FE1D7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892599"/>
    <w:multiLevelType w:val="multilevel"/>
    <w:tmpl w:val="49FA788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0F479C"/>
    <w:multiLevelType w:val="multilevel"/>
    <w:tmpl w:val="D05299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52267D2"/>
    <w:multiLevelType w:val="multilevel"/>
    <w:tmpl w:val="5466362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783BD3"/>
    <w:multiLevelType w:val="multilevel"/>
    <w:tmpl w:val="883E39E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CBB7A1A"/>
    <w:multiLevelType w:val="multilevel"/>
    <w:tmpl w:val="115C3FE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EC6B3A"/>
    <w:multiLevelType w:val="multilevel"/>
    <w:tmpl w:val="BC7A093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EC3BD8"/>
    <w:multiLevelType w:val="multilevel"/>
    <w:tmpl w:val="FE6E7E7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F8E127D"/>
    <w:multiLevelType w:val="multilevel"/>
    <w:tmpl w:val="F0CC80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CE851D8"/>
    <w:multiLevelType w:val="multilevel"/>
    <w:tmpl w:val="001A214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02F7D28"/>
    <w:multiLevelType w:val="multilevel"/>
    <w:tmpl w:val="80E0726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F640137"/>
    <w:multiLevelType w:val="multilevel"/>
    <w:tmpl w:val="97C6346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61385933">
    <w:abstractNumId w:val="3"/>
  </w:num>
  <w:num w:numId="2" w16cid:durableId="1981153633">
    <w:abstractNumId w:val="6"/>
  </w:num>
  <w:num w:numId="3" w16cid:durableId="114368890">
    <w:abstractNumId w:val="13"/>
  </w:num>
  <w:num w:numId="4" w16cid:durableId="214704620">
    <w:abstractNumId w:val="9"/>
  </w:num>
  <w:num w:numId="5" w16cid:durableId="1437946416">
    <w:abstractNumId w:val="2"/>
  </w:num>
  <w:num w:numId="6" w16cid:durableId="1156796708">
    <w:abstractNumId w:val="4"/>
  </w:num>
  <w:num w:numId="7" w16cid:durableId="2074692400">
    <w:abstractNumId w:val="12"/>
  </w:num>
  <w:num w:numId="8" w16cid:durableId="1268848515">
    <w:abstractNumId w:val="15"/>
  </w:num>
  <w:num w:numId="9" w16cid:durableId="1341346568">
    <w:abstractNumId w:val="11"/>
  </w:num>
  <w:num w:numId="10" w16cid:durableId="708914007">
    <w:abstractNumId w:val="0"/>
  </w:num>
  <w:num w:numId="11" w16cid:durableId="681323496">
    <w:abstractNumId w:val="1"/>
  </w:num>
  <w:num w:numId="12" w16cid:durableId="2112507528">
    <w:abstractNumId w:val="5"/>
  </w:num>
  <w:num w:numId="13" w16cid:durableId="1815104699">
    <w:abstractNumId w:val="7"/>
  </w:num>
  <w:num w:numId="14" w16cid:durableId="1077825158">
    <w:abstractNumId w:val="14"/>
  </w:num>
  <w:num w:numId="15" w16cid:durableId="1591230114">
    <w:abstractNumId w:val="8"/>
  </w:num>
  <w:num w:numId="16" w16cid:durableId="786970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532"/>
    <w:rsid w:val="00232393"/>
    <w:rsid w:val="00807DBD"/>
    <w:rsid w:val="00A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D0B49"/>
  <w15:docId w15:val="{CCDD2C7A-664A-4A31-8F9C-E54FE12D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2026-07-06T21:08:00Z</dcterms:created>
  <dcterms:modified xsi:type="dcterms:W3CDTF">2026-07-06T21:08:00Z</dcterms:modified>
</cp:coreProperties>
</file>