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E6291" w14:textId="5F10182C" w:rsidR="00C13F3E" w:rsidRDefault="00C13F3E" w:rsidP="00C13F3E">
      <w:r>
        <w:t>Tema 4: análisis de indicadores de clima y cultura para la toma de decisiones organizacionales.</w:t>
      </w:r>
    </w:p>
    <w:p w14:paraId="424ECA76" w14:textId="77777777" w:rsidR="00C13F3E" w:rsidRDefault="00C13F3E" w:rsidP="00C13F3E"/>
    <w:p w14:paraId="6E3A35C0" w14:textId="77777777" w:rsidR="00C13F3E" w:rsidRPr="00C13F3E" w:rsidRDefault="00C13F3E" w:rsidP="00C13F3E"/>
    <w:p w14:paraId="00000037" w14:textId="77777777" w:rsidR="0083582D"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Introducción:</w:t>
      </w:r>
    </w:p>
    <w:p w14:paraId="00000038" w14:textId="77777777" w:rsidR="0083582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En 2026, la gestión de personas es una disciplina basada en datos (</w:t>
      </w:r>
      <w:r>
        <w:rPr>
          <w:rFonts w:ascii="Google Sans" w:eastAsia="Google Sans" w:hAnsi="Google Sans" w:cs="Google Sans"/>
          <w:i/>
          <w:iCs/>
          <w:color w:val="1F1F1F"/>
        </w:rPr>
        <w:t>data-</w:t>
      </w:r>
      <w:proofErr w:type="spellStart"/>
      <w:r>
        <w:rPr>
          <w:rFonts w:ascii="Google Sans" w:eastAsia="Google Sans" w:hAnsi="Google Sans" w:cs="Google Sans"/>
          <w:i/>
          <w:iCs/>
          <w:color w:val="1F1F1F"/>
        </w:rPr>
        <w:t>driven</w:t>
      </w:r>
      <w:proofErr w:type="spellEnd"/>
      <w:r>
        <w:rPr>
          <w:rFonts w:ascii="Google Sans" w:eastAsia="Google Sans" w:hAnsi="Google Sans" w:cs="Google Sans"/>
          <w:color w:val="1F1F1F"/>
        </w:rPr>
        <w:t xml:space="preserve">). Este subtema enseña al especialista a transitar de informes descriptivos básicos (qué pasó) hacia el </w:t>
      </w:r>
      <w:r>
        <w:rPr>
          <w:rFonts w:ascii="Google Sans" w:eastAsia="Google Sans" w:hAnsi="Google Sans" w:cs="Google Sans"/>
          <w:b/>
          <w:bCs/>
          <w:color w:val="1F1F1F"/>
        </w:rPr>
        <w:t xml:space="preserve">People </w:t>
      </w:r>
      <w:proofErr w:type="spellStart"/>
      <w:r>
        <w:rPr>
          <w:rFonts w:ascii="Google Sans" w:eastAsia="Google Sans" w:hAnsi="Google Sans" w:cs="Google Sans"/>
          <w:b/>
          <w:bCs/>
          <w:color w:val="1F1F1F"/>
        </w:rPr>
        <w:t>Analytics</w:t>
      </w:r>
      <w:proofErr w:type="spellEnd"/>
      <w:r>
        <w:rPr>
          <w:rFonts w:ascii="Google Sans" w:eastAsia="Google Sans" w:hAnsi="Google Sans" w:cs="Google Sans"/>
          <w:color w:val="1F1F1F"/>
        </w:rPr>
        <w:t xml:space="preserve"> avanzado, utilizando modelos de causalidad para probar cómo la mejora en el clima impacta en los resultados financieros y la lealtad del cliente externo. La toma de decisiones gerenciales debe sustentarse en la evidencia cuantitativa, sin perder la empatía cualitativa.</w:t>
      </w:r>
    </w:p>
    <w:p w14:paraId="00000039" w14:textId="77777777" w:rsidR="0083582D"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Objetivos de Aprendizaje:</w:t>
      </w:r>
    </w:p>
    <w:p w14:paraId="0000003A" w14:textId="77777777" w:rsidR="0083582D"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color w:val="1F1F1F"/>
        </w:rPr>
        <w:t>Establecer correlaciones entre indicadores de clima (satisfacción, liderazgo, autonomía) y resultados de negocio (productividad, ausentismo, NPS).</w:t>
      </w:r>
    </w:p>
    <w:p w14:paraId="0000003B" w14:textId="77777777" w:rsidR="0083582D"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color w:val="1F1F1F"/>
        </w:rPr>
        <w:t xml:space="preserve">Aplicar la curva de madurez de People </w:t>
      </w:r>
      <w:proofErr w:type="spellStart"/>
      <w:r>
        <w:rPr>
          <w:rFonts w:ascii="Google Sans" w:eastAsia="Google Sans" w:hAnsi="Google Sans" w:cs="Google Sans"/>
          <w:color w:val="1F1F1F"/>
        </w:rPr>
        <w:t>Analytics</w:t>
      </w:r>
      <w:proofErr w:type="spellEnd"/>
      <w:r>
        <w:rPr>
          <w:rFonts w:ascii="Google Sans" w:eastAsia="Google Sans" w:hAnsi="Google Sans" w:cs="Google Sans"/>
          <w:color w:val="1F1F1F"/>
        </w:rPr>
        <w:t xml:space="preserve"> para desarrollar modelos predictivos que anticipen riesgos de fuga de talento por clima tóxico.</w:t>
      </w:r>
    </w:p>
    <w:p w14:paraId="0000003C" w14:textId="77777777" w:rsidR="0083582D"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Implementar tableros de control (</w:t>
      </w:r>
      <w:proofErr w:type="spellStart"/>
      <w:r>
        <w:rPr>
          <w:rFonts w:ascii="Google Sans" w:eastAsia="Google Sans" w:hAnsi="Google Sans" w:cs="Google Sans"/>
          <w:b/>
          <w:bCs/>
          <w:color w:val="1F1F1F"/>
        </w:rPr>
        <w:t>Dashboards</w:t>
      </w:r>
      <w:proofErr w:type="spellEnd"/>
      <w:r>
        <w:rPr>
          <w:rFonts w:ascii="Google Sans" w:eastAsia="Google Sans" w:hAnsi="Google Sans" w:cs="Google Sans"/>
          <w:b/>
          <w:bCs/>
          <w:color w:val="1F1F1F"/>
        </w:rPr>
        <w:t>) automatizados que integren métricas de bienestar psicológico y sentimientos en tiempo real para 2026.</w:t>
      </w:r>
    </w:p>
    <w:p w14:paraId="0000003D" w14:textId="77777777" w:rsidR="0083582D"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Contenido:</w:t>
      </w:r>
    </w:p>
    <w:p w14:paraId="0000003E" w14:textId="77777777" w:rsidR="0083582D"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Parte 1: De Métricas Operativas a Inteligencia de Negocio:</w:t>
      </w:r>
      <w:r>
        <w:rPr>
          <w:rFonts w:ascii="Google Sans" w:eastAsia="Google Sans" w:hAnsi="Google Sans" w:cs="Google Sans"/>
          <w:color w:val="1F1F1F"/>
        </w:rPr>
        <w:t xml:space="preserve"> Durante décadas, RR. HH. se limitó a medir rotación y ausentismo. El análisis moderno exige cruzar estos datos con encuestas de pulso, evaluaciones de desempeño e indicadores financieros. El especialista debe saber responder no solo "¿cómo estamos?", sino "¿por qué sucedió?" utilizando modelos de causalidad. Por ejemplo, demostrar que un descenso de 5 puntos en el índice de confianza del equipo precedió a una caída del 10% en la satisfacción del cliente, permitiendo que la dirección vea al clima laboral como un indicador líder de la rentabilidad futura.</w:t>
      </w:r>
    </w:p>
    <w:p w14:paraId="0000003F" w14:textId="77777777" w:rsidR="0083582D"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Parte 2: Niveles de Madurez y Analítica Predictiva:</w:t>
      </w:r>
      <w:r>
        <w:rPr>
          <w:rFonts w:ascii="Google Sans" w:eastAsia="Google Sans" w:hAnsi="Google Sans" w:cs="Google Sans"/>
          <w:color w:val="1F1F1F"/>
        </w:rPr>
        <w:t xml:space="preserve"> Las organizaciones deben avanzar a través de los niveles de madurez analítica: </w:t>
      </w:r>
      <w:r>
        <w:rPr>
          <w:rFonts w:ascii="Google Sans" w:eastAsia="Google Sans" w:hAnsi="Google Sans" w:cs="Google Sans"/>
          <w:b/>
          <w:bCs/>
          <w:color w:val="1F1F1F"/>
        </w:rPr>
        <w:t>1) Análisis descriptivo</w:t>
      </w:r>
      <w:r>
        <w:rPr>
          <w:rFonts w:ascii="Google Sans" w:eastAsia="Google Sans" w:hAnsi="Google Sans" w:cs="Google Sans"/>
          <w:color w:val="1F1F1F"/>
        </w:rPr>
        <w:t xml:space="preserve"> (resumen de lo sucedido); </w:t>
      </w:r>
      <w:r>
        <w:rPr>
          <w:rFonts w:ascii="Google Sans" w:eastAsia="Google Sans" w:hAnsi="Google Sans" w:cs="Google Sans"/>
          <w:b/>
          <w:bCs/>
          <w:color w:val="1F1F1F"/>
        </w:rPr>
        <w:t>2) Diagnóstico</w:t>
      </w:r>
      <w:r>
        <w:rPr>
          <w:rFonts w:ascii="Google Sans" w:eastAsia="Google Sans" w:hAnsi="Google Sans" w:cs="Google Sans"/>
          <w:color w:val="1F1F1F"/>
        </w:rPr>
        <w:t xml:space="preserve"> (razones del evento); </w:t>
      </w:r>
      <w:r>
        <w:rPr>
          <w:rFonts w:ascii="Google Sans" w:eastAsia="Google Sans" w:hAnsi="Google Sans" w:cs="Google Sans"/>
          <w:b/>
          <w:bCs/>
          <w:color w:val="1F1F1F"/>
        </w:rPr>
        <w:t>3) Predictivo</w:t>
      </w:r>
      <w:r>
        <w:rPr>
          <w:rFonts w:ascii="Google Sans" w:eastAsia="Google Sans" w:hAnsi="Google Sans" w:cs="Google Sans"/>
          <w:color w:val="1F1F1F"/>
        </w:rPr>
        <w:t xml:space="preserve"> (modelar futuros probables); y </w:t>
      </w:r>
      <w:r>
        <w:rPr>
          <w:rFonts w:ascii="Google Sans" w:eastAsia="Google Sans" w:hAnsi="Google Sans" w:cs="Google Sans"/>
          <w:b/>
          <w:bCs/>
          <w:color w:val="1F1F1F"/>
        </w:rPr>
        <w:t>4) Prescriptivo</w:t>
      </w:r>
      <w:r>
        <w:rPr>
          <w:rFonts w:ascii="Google Sans" w:eastAsia="Google Sans" w:hAnsi="Google Sans" w:cs="Google Sans"/>
          <w:color w:val="1F1F1F"/>
        </w:rPr>
        <w:t xml:space="preserve"> (sugerir acciones concretas). En 2026, el uso de </w:t>
      </w:r>
      <w:r>
        <w:rPr>
          <w:rFonts w:ascii="Google Sans" w:eastAsia="Google Sans" w:hAnsi="Google Sans" w:cs="Google Sans"/>
          <w:i/>
          <w:iCs/>
          <w:color w:val="1F1F1F"/>
        </w:rPr>
        <w:t xml:space="preserve">Machine </w:t>
      </w:r>
      <w:proofErr w:type="spellStart"/>
      <w:r>
        <w:rPr>
          <w:rFonts w:ascii="Google Sans" w:eastAsia="Google Sans" w:hAnsi="Google Sans" w:cs="Google Sans"/>
          <w:i/>
          <w:iCs/>
          <w:color w:val="1F1F1F"/>
        </w:rPr>
        <w:t>Learning</w:t>
      </w:r>
      <w:proofErr w:type="spellEnd"/>
      <w:r>
        <w:rPr>
          <w:rFonts w:ascii="Google Sans" w:eastAsia="Google Sans" w:hAnsi="Google Sans" w:cs="Google Sans"/>
          <w:color w:val="1F1F1F"/>
        </w:rPr>
        <w:t xml:space="preserve"> permite predecir la "renuncia silenciosa" analizando patrones de comunicación y compromiso. Esto permite al gerente de talento humano actuar de forma preventiva, diseñando planes de retención personalizados basados en datos y no solo en intuición.</w:t>
      </w:r>
    </w:p>
    <w:p w14:paraId="00000040" w14:textId="77777777" w:rsidR="0083582D" w:rsidRDefault="00000000">
      <w:pPr>
        <w:numPr>
          <w:ilvl w:val="0"/>
          <w:numId w:val="12"/>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Parte 3: </w:t>
      </w:r>
      <w:proofErr w:type="spellStart"/>
      <w:r>
        <w:rPr>
          <w:rFonts w:ascii="Google Sans" w:eastAsia="Google Sans" w:hAnsi="Google Sans" w:cs="Google Sans"/>
          <w:b/>
          <w:bCs/>
          <w:color w:val="1F1F1F"/>
        </w:rPr>
        <w:t>Dashboards</w:t>
      </w:r>
      <w:proofErr w:type="spellEnd"/>
      <w:r>
        <w:rPr>
          <w:rFonts w:ascii="Google Sans" w:eastAsia="Google Sans" w:hAnsi="Google Sans" w:cs="Google Sans"/>
          <w:b/>
          <w:bCs/>
          <w:color w:val="1F1F1F"/>
        </w:rPr>
        <w:t xml:space="preserve"> de Sentimientos y Ética de Datos en 2026:</w:t>
      </w:r>
      <w:r>
        <w:rPr>
          <w:rFonts w:ascii="Google Sans" w:eastAsia="Google Sans" w:hAnsi="Google Sans" w:cs="Google Sans"/>
          <w:color w:val="1F1F1F"/>
        </w:rPr>
        <w:t xml:space="preserve"> La implementación de tableros de control automatizados permite centralizar datos de planilla, asistencia y experiencia del colaborador en un solo lugar. Herramientas avanzadas permiten hoy monitorear el "sentimiento" del equipo de forma anonimizada para proteger la privacidad individual, reportando información agregada para la toma de decisiones estratégicas. Hacia el 2026, el mayor reto del especialista no será la recolección de datos, sino su </w:t>
      </w:r>
      <w:r>
        <w:rPr>
          <w:rFonts w:ascii="Google Sans" w:eastAsia="Google Sans" w:hAnsi="Google Sans" w:cs="Google Sans"/>
          <w:b/>
          <w:bCs/>
          <w:color w:val="1F1F1F"/>
        </w:rPr>
        <w:t>gobernanza ética</w:t>
      </w:r>
      <w:r>
        <w:rPr>
          <w:rFonts w:ascii="Google Sans" w:eastAsia="Google Sans" w:hAnsi="Google Sans" w:cs="Google Sans"/>
          <w:color w:val="1F1F1F"/>
        </w:rPr>
        <w:t xml:space="preserve">, asegurando que la IA se utilice para mejorar la calidad de vida y no </w:t>
      </w:r>
      <w:r>
        <w:rPr>
          <w:rFonts w:ascii="Google Sans" w:eastAsia="Google Sans" w:hAnsi="Google Sans" w:cs="Google Sans"/>
          <w:color w:val="1F1F1F"/>
        </w:rPr>
        <w:lastRenderedPageBreak/>
        <w:t>para el control punitivo, manteniendo siempre la transparencia en el uso de la información.</w:t>
      </w:r>
    </w:p>
    <w:p w14:paraId="00000041" w14:textId="77777777" w:rsidR="0083582D"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Referencias para ampliación:</w:t>
      </w:r>
    </w:p>
    <w:p w14:paraId="00000042" w14:textId="77777777" w:rsidR="0083582D"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 xml:space="preserve">ESAN (2025). </w:t>
      </w:r>
      <w:r>
        <w:rPr>
          <w:rFonts w:ascii="Google Sans" w:eastAsia="Google Sans" w:hAnsi="Google Sans" w:cs="Google Sans"/>
          <w:i/>
          <w:iCs/>
          <w:color w:val="1F1F1F"/>
        </w:rPr>
        <w:t xml:space="preserve">Diplomado en People </w:t>
      </w:r>
      <w:proofErr w:type="spellStart"/>
      <w:r>
        <w:rPr>
          <w:rFonts w:ascii="Google Sans" w:eastAsia="Google Sans" w:hAnsi="Google Sans" w:cs="Google Sans"/>
          <w:i/>
          <w:iCs/>
          <w:color w:val="1F1F1F"/>
        </w:rPr>
        <w:t>Analytics</w:t>
      </w:r>
      <w:proofErr w:type="spellEnd"/>
      <w:r>
        <w:rPr>
          <w:rFonts w:ascii="Google Sans" w:eastAsia="Google Sans" w:hAnsi="Google Sans" w:cs="Google Sans"/>
          <w:i/>
          <w:iCs/>
          <w:color w:val="1F1F1F"/>
        </w:rPr>
        <w:t>: Gestión basada en datos</w:t>
      </w:r>
      <w:r>
        <w:rPr>
          <w:rFonts w:ascii="Google Sans" w:eastAsia="Google Sans" w:hAnsi="Google Sans" w:cs="Google Sans"/>
          <w:color w:val="1F1F1F"/>
        </w:rPr>
        <w:t>.</w:t>
      </w:r>
    </w:p>
    <w:p w14:paraId="00000043" w14:textId="77777777" w:rsidR="0083582D"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 xml:space="preserve">Buk (2026). </w:t>
      </w:r>
      <w:r>
        <w:rPr>
          <w:rFonts w:ascii="Google Sans" w:eastAsia="Google Sans" w:hAnsi="Google Sans" w:cs="Google Sans"/>
          <w:i/>
          <w:iCs/>
          <w:color w:val="1F1F1F"/>
        </w:rPr>
        <w:t xml:space="preserve">People </w:t>
      </w:r>
      <w:proofErr w:type="spellStart"/>
      <w:r>
        <w:rPr>
          <w:rFonts w:ascii="Google Sans" w:eastAsia="Google Sans" w:hAnsi="Google Sans" w:cs="Google Sans"/>
          <w:i/>
          <w:iCs/>
          <w:color w:val="1F1F1F"/>
        </w:rPr>
        <w:t>Analytics</w:t>
      </w:r>
      <w:proofErr w:type="spellEnd"/>
      <w:r>
        <w:rPr>
          <w:rFonts w:ascii="Google Sans" w:eastAsia="Google Sans" w:hAnsi="Google Sans" w:cs="Google Sans"/>
          <w:i/>
          <w:iCs/>
          <w:color w:val="1F1F1F"/>
        </w:rPr>
        <w:t>: De medir datos a tomar decisiones estratégicas</w:t>
      </w:r>
      <w:r>
        <w:rPr>
          <w:rFonts w:ascii="Google Sans" w:eastAsia="Google Sans" w:hAnsi="Google Sans" w:cs="Google Sans"/>
          <w:color w:val="1F1F1F"/>
        </w:rPr>
        <w:t>.</w:t>
      </w:r>
    </w:p>
    <w:p w14:paraId="00000044" w14:textId="77777777" w:rsidR="0083582D" w:rsidRDefault="00000000">
      <w:pPr>
        <w:numPr>
          <w:ilvl w:val="0"/>
          <w:numId w:val="13"/>
        </w:numPr>
        <w:pBdr>
          <w:top w:val="nil"/>
          <w:left w:val="nil"/>
          <w:bottom w:val="nil"/>
          <w:right w:val="nil"/>
          <w:between w:val="nil"/>
        </w:pBdr>
        <w:spacing w:line="275" w:lineRule="auto"/>
      </w:pPr>
      <w:proofErr w:type="spellStart"/>
      <w:r>
        <w:rPr>
          <w:rFonts w:ascii="Google Sans" w:eastAsia="Google Sans" w:hAnsi="Google Sans" w:cs="Google Sans"/>
          <w:color w:val="1F1F1F"/>
        </w:rPr>
        <w:t>Openmet</w:t>
      </w:r>
      <w:proofErr w:type="spellEnd"/>
      <w:r>
        <w:rPr>
          <w:rFonts w:ascii="Google Sans" w:eastAsia="Google Sans" w:hAnsi="Google Sans" w:cs="Google Sans"/>
          <w:color w:val="1F1F1F"/>
        </w:rPr>
        <w:t xml:space="preserve"> (2026). </w:t>
      </w:r>
      <w:r>
        <w:rPr>
          <w:rFonts w:ascii="Google Sans" w:eastAsia="Google Sans" w:hAnsi="Google Sans" w:cs="Google Sans"/>
          <w:i/>
          <w:iCs/>
          <w:color w:val="1F1F1F"/>
        </w:rPr>
        <w:t xml:space="preserve">People </w:t>
      </w:r>
      <w:proofErr w:type="spellStart"/>
      <w:r>
        <w:rPr>
          <w:rFonts w:ascii="Google Sans" w:eastAsia="Google Sans" w:hAnsi="Google Sans" w:cs="Google Sans"/>
          <w:i/>
          <w:iCs/>
          <w:color w:val="1F1F1F"/>
        </w:rPr>
        <w:t>Analytics</w:t>
      </w:r>
      <w:proofErr w:type="spellEnd"/>
      <w:r>
        <w:rPr>
          <w:rFonts w:ascii="Google Sans" w:eastAsia="Google Sans" w:hAnsi="Google Sans" w:cs="Google Sans"/>
          <w:i/>
          <w:iCs/>
          <w:color w:val="1F1F1F"/>
        </w:rPr>
        <w:t xml:space="preserve"> o Consultoría Tradicional: El equilibrio necesario</w:t>
      </w:r>
      <w:r>
        <w:rPr>
          <w:rFonts w:ascii="Google Sans" w:eastAsia="Google Sans" w:hAnsi="Google Sans" w:cs="Google Sans"/>
          <w:color w:val="1F1F1F"/>
        </w:rPr>
        <w:t>.</w:t>
      </w:r>
    </w:p>
    <w:p w14:paraId="00000045" w14:textId="28D4E085" w:rsidR="00B524B8" w:rsidRDefault="00000000" w:rsidP="00B524B8">
      <w:pPr>
        <w:numPr>
          <w:ilvl w:val="0"/>
          <w:numId w:val="13"/>
        </w:num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CPAE Colombia (2026). </w:t>
      </w:r>
      <w:r>
        <w:rPr>
          <w:rFonts w:ascii="Google Sans" w:eastAsia="Google Sans" w:hAnsi="Google Sans" w:cs="Google Sans"/>
          <w:i/>
          <w:iCs/>
          <w:color w:val="1F1F1F"/>
        </w:rPr>
        <w:t xml:space="preserve">People </w:t>
      </w:r>
      <w:proofErr w:type="spellStart"/>
      <w:r>
        <w:rPr>
          <w:rFonts w:ascii="Google Sans" w:eastAsia="Google Sans" w:hAnsi="Google Sans" w:cs="Google Sans"/>
          <w:i/>
          <w:iCs/>
          <w:color w:val="1F1F1F"/>
        </w:rPr>
        <w:t>Analytics</w:t>
      </w:r>
      <w:proofErr w:type="spellEnd"/>
      <w:r>
        <w:rPr>
          <w:rFonts w:ascii="Google Sans" w:eastAsia="Google Sans" w:hAnsi="Google Sans" w:cs="Google Sans"/>
          <w:i/>
          <w:iCs/>
          <w:color w:val="1F1F1F"/>
        </w:rPr>
        <w:t xml:space="preserve"> en Colombia: Del instinto a la evidencia</w:t>
      </w:r>
      <w:r>
        <w:rPr>
          <w:rFonts w:ascii="Google Sans" w:eastAsia="Google Sans" w:hAnsi="Google Sans" w:cs="Google Sans"/>
          <w:color w:val="1F1F1F"/>
        </w:rPr>
        <w:t>.</w:t>
      </w:r>
    </w:p>
    <w:p w14:paraId="0000005C" w14:textId="67CD0457" w:rsidR="0083582D" w:rsidRDefault="0083582D">
      <w:pPr>
        <w:pBdr>
          <w:top w:val="nil"/>
          <w:left w:val="nil"/>
          <w:bottom w:val="nil"/>
          <w:right w:val="nil"/>
          <w:between w:val="nil"/>
        </w:pBdr>
        <w:spacing w:before="240" w:after="150" w:line="275" w:lineRule="auto"/>
        <w:rPr>
          <w:rFonts w:ascii="Google Sans" w:eastAsia="Google Sans" w:hAnsi="Google Sans" w:cs="Google Sans"/>
          <w:color w:val="1F1F1F"/>
        </w:rPr>
      </w:pPr>
    </w:p>
    <w:sectPr w:rsidR="0083582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B581F71-DC41-44F8-BD8B-8D9C1E8D348A}"/>
  </w:font>
  <w:font w:name="Google Sans">
    <w:altName w:val="Calibri"/>
    <w:charset w:val="00"/>
    <w:family w:val="auto"/>
    <w:pitch w:val="default"/>
    <w:embedRegular r:id="rId2" w:fontKey="{3855B9AF-A0A4-43E1-A0EB-BCA618D59C80}"/>
    <w:embedBold r:id="rId3" w:fontKey="{C47990B1-52EC-4273-BBA6-EE3D40063608}"/>
    <w:embedItalic r:id="rId4" w:fontKey="{FE181F82-B22B-4A2B-B785-79FCFA05836A}"/>
  </w:font>
  <w:font w:name="Calibri">
    <w:panose1 w:val="020F0502020204030204"/>
    <w:charset w:val="00"/>
    <w:family w:val="swiss"/>
    <w:pitch w:val="variable"/>
    <w:sig w:usb0="E4002EFF" w:usb1="C200247B" w:usb2="00000009" w:usb3="00000000" w:csb0="000001FF" w:csb1="00000000"/>
    <w:embedRegular r:id="rId5" w:fontKey="{AA62DAC9-F008-4D8D-A0DA-2C2D398CC56B}"/>
  </w:font>
  <w:font w:name="Cambria">
    <w:panose1 w:val="02040503050406030204"/>
    <w:charset w:val="00"/>
    <w:family w:val="roman"/>
    <w:pitch w:val="variable"/>
    <w:sig w:usb0="E00006FF" w:usb1="420024FF" w:usb2="02000000" w:usb3="00000000" w:csb0="0000019F" w:csb1="00000000"/>
    <w:embedRegular r:id="rId6" w:fontKey="{8A394B90-564D-4999-BE76-86116CCCD3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1125"/>
    <w:multiLevelType w:val="multilevel"/>
    <w:tmpl w:val="F006B92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012179"/>
    <w:multiLevelType w:val="multilevel"/>
    <w:tmpl w:val="8CBC883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BB9779B"/>
    <w:multiLevelType w:val="multilevel"/>
    <w:tmpl w:val="95069C0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D645D36"/>
    <w:multiLevelType w:val="multilevel"/>
    <w:tmpl w:val="678494C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8BF0DFA"/>
    <w:multiLevelType w:val="multilevel"/>
    <w:tmpl w:val="D5C80EB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A975657"/>
    <w:multiLevelType w:val="multilevel"/>
    <w:tmpl w:val="2564C3F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ECE73DE"/>
    <w:multiLevelType w:val="multilevel"/>
    <w:tmpl w:val="CFA8103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B4E0C49"/>
    <w:multiLevelType w:val="multilevel"/>
    <w:tmpl w:val="0C5A2F4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2396F0D"/>
    <w:multiLevelType w:val="multilevel"/>
    <w:tmpl w:val="44CE25E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C9D266B"/>
    <w:multiLevelType w:val="multilevel"/>
    <w:tmpl w:val="3506806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652737B"/>
    <w:multiLevelType w:val="multilevel"/>
    <w:tmpl w:val="F032519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97F504D"/>
    <w:multiLevelType w:val="multilevel"/>
    <w:tmpl w:val="B85662F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2EC6515"/>
    <w:multiLevelType w:val="multilevel"/>
    <w:tmpl w:val="62CA45F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3680686"/>
    <w:multiLevelType w:val="multilevel"/>
    <w:tmpl w:val="F5CAD12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8C32AC5"/>
    <w:multiLevelType w:val="multilevel"/>
    <w:tmpl w:val="1452F2E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B274EDC"/>
    <w:multiLevelType w:val="multilevel"/>
    <w:tmpl w:val="3EACCEB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01552390">
    <w:abstractNumId w:val="14"/>
  </w:num>
  <w:num w:numId="2" w16cid:durableId="827794686">
    <w:abstractNumId w:val="0"/>
  </w:num>
  <w:num w:numId="3" w16cid:durableId="703484899">
    <w:abstractNumId w:val="8"/>
  </w:num>
  <w:num w:numId="4" w16cid:durableId="1103844835">
    <w:abstractNumId w:val="5"/>
  </w:num>
  <w:num w:numId="5" w16cid:durableId="1184589069">
    <w:abstractNumId w:val="7"/>
  </w:num>
  <w:num w:numId="6" w16cid:durableId="1516067241">
    <w:abstractNumId w:val="2"/>
  </w:num>
  <w:num w:numId="7" w16cid:durableId="943850763">
    <w:abstractNumId w:val="4"/>
  </w:num>
  <w:num w:numId="8" w16cid:durableId="2065985608">
    <w:abstractNumId w:val="6"/>
  </w:num>
  <w:num w:numId="9" w16cid:durableId="1513642757">
    <w:abstractNumId w:val="1"/>
  </w:num>
  <w:num w:numId="10" w16cid:durableId="1402020699">
    <w:abstractNumId w:val="10"/>
  </w:num>
  <w:num w:numId="11" w16cid:durableId="357699551">
    <w:abstractNumId w:val="3"/>
  </w:num>
  <w:num w:numId="12" w16cid:durableId="1045328661">
    <w:abstractNumId w:val="13"/>
  </w:num>
  <w:num w:numId="13" w16cid:durableId="863905407">
    <w:abstractNumId w:val="11"/>
  </w:num>
  <w:num w:numId="14" w16cid:durableId="188298183">
    <w:abstractNumId w:val="12"/>
  </w:num>
  <w:num w:numId="15" w16cid:durableId="1886257290">
    <w:abstractNumId w:val="9"/>
  </w:num>
  <w:num w:numId="16" w16cid:durableId="273351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82D"/>
    <w:rsid w:val="0083582D"/>
    <w:rsid w:val="008415B2"/>
    <w:rsid w:val="00B524B8"/>
    <w:rsid w:val="00C13F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104A"/>
  <w15:docId w15:val="{EAC69945-B46F-4AB4-9B5F-915C9D79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2</cp:revision>
  <dcterms:created xsi:type="dcterms:W3CDTF">2026-07-22T21:41:00Z</dcterms:created>
  <dcterms:modified xsi:type="dcterms:W3CDTF">2026-07-22T21:41:00Z</dcterms:modified>
</cp:coreProperties>
</file>