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D5F04" w14:textId="770C2AAD" w:rsidR="00D670EB" w:rsidRDefault="00D670EB" w:rsidP="00D670EB">
      <w:r>
        <w:t>Tema 2: Modelos e instrumentos de diagnóstico cultural y de clima en entornos empresariales.</w:t>
      </w:r>
    </w:p>
    <w:p w14:paraId="5E8C9959" w14:textId="77777777" w:rsidR="00D670EB" w:rsidRDefault="00D670EB" w:rsidP="00D670EB"/>
    <w:p w14:paraId="09CA7B3C" w14:textId="77777777" w:rsidR="00D670EB" w:rsidRPr="00D670EB" w:rsidRDefault="00D670EB" w:rsidP="00D670EB"/>
    <w:p w14:paraId="00000017" w14:textId="77777777" w:rsidR="00E75692"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Introducción:</w:t>
      </w:r>
    </w:p>
    <w:p w14:paraId="00000018" w14:textId="77777777" w:rsidR="00E7569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Medir la cultura y el clima es el primer paso para gestionarlos sin sesgos. Este subtema profundiza en herramientas de nivel internacional como el </w:t>
      </w:r>
      <w:r>
        <w:rPr>
          <w:rFonts w:ascii="Google Sans" w:eastAsia="Google Sans" w:hAnsi="Google Sans" w:cs="Google Sans"/>
          <w:b/>
          <w:bCs/>
          <w:color w:val="1F1F1F"/>
        </w:rPr>
        <w:t>Modelo Denison</w:t>
      </w:r>
      <w:r>
        <w:rPr>
          <w:rFonts w:ascii="Google Sans" w:eastAsia="Google Sans" w:hAnsi="Google Sans" w:cs="Google Sans"/>
          <w:color w:val="1F1F1F"/>
        </w:rPr>
        <w:t xml:space="preserve">, que vincula la cultura con la efectividad, y el </w:t>
      </w:r>
      <w:r>
        <w:rPr>
          <w:rFonts w:ascii="Google Sans" w:eastAsia="Google Sans" w:hAnsi="Google Sans" w:cs="Google Sans"/>
          <w:b/>
          <w:bCs/>
          <w:color w:val="1F1F1F"/>
        </w:rPr>
        <w:t>OCAI</w:t>
      </w:r>
      <w:r>
        <w:rPr>
          <w:rFonts w:ascii="Google Sans" w:eastAsia="Google Sans" w:hAnsi="Google Sans" w:cs="Google Sans"/>
          <w:color w:val="1F1F1F"/>
        </w:rPr>
        <w:t>, centrado en tipos culturales. El especialista aprenderá que el diagnóstico moderno en 2026 no se limita a una encuesta anual, sino que integra el mapeo de la experiencia del empleado (</w:t>
      </w:r>
      <w:proofErr w:type="spellStart"/>
      <w:r>
        <w:rPr>
          <w:rFonts w:ascii="Google Sans" w:eastAsia="Google Sans" w:hAnsi="Google Sans" w:cs="Google Sans"/>
          <w:i/>
          <w:iCs/>
          <w:color w:val="1F1F1F"/>
        </w:rPr>
        <w:t>Employee</w:t>
      </w:r>
      <w:proofErr w:type="spellEnd"/>
      <w:r>
        <w:rPr>
          <w:rFonts w:ascii="Google Sans" w:eastAsia="Google Sans" w:hAnsi="Google Sans" w:cs="Google Sans"/>
          <w:i/>
          <w:iCs/>
          <w:color w:val="1F1F1F"/>
        </w:rPr>
        <w:t xml:space="preserve"> Journey Mapping</w:t>
      </w:r>
      <w:r>
        <w:rPr>
          <w:rFonts w:ascii="Google Sans" w:eastAsia="Google Sans" w:hAnsi="Google Sans" w:cs="Google Sans"/>
          <w:color w:val="1F1F1F"/>
        </w:rPr>
        <w:t>) para detectar "momentos de verdad" que definen la relación individuo-organización.</w:t>
      </w:r>
    </w:p>
    <w:p w14:paraId="00000019" w14:textId="77777777" w:rsidR="00E75692"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Objetivos de Aprendizaje:</w:t>
      </w:r>
    </w:p>
    <w:p w14:paraId="0000001A" w14:textId="77777777" w:rsidR="00E75692"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Aplicar las cuatro dimensiones del Modelo Denison (Misión, Adaptabilidad, Participación y Consistencia) para diagnosticar la efectividad cultural.</w:t>
      </w:r>
    </w:p>
    <w:p w14:paraId="0000001B" w14:textId="77777777" w:rsidR="00E75692"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Implementar el Instrumento de Evaluación de la Cultura Organizacional (OCAI) para identificar la brecha entre la cultura actual y la cultura deseada.</w:t>
      </w:r>
    </w:p>
    <w:p w14:paraId="0000001C" w14:textId="77777777" w:rsidR="00E75692"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Diseñar sistemas de diagnóstico dinámico que integren el mapeo de la experiencia del empleado (</w:t>
      </w:r>
      <w:proofErr w:type="spellStart"/>
      <w:r>
        <w:rPr>
          <w:rFonts w:ascii="Google Sans" w:eastAsia="Google Sans" w:hAnsi="Google Sans" w:cs="Google Sans"/>
          <w:b/>
          <w:bCs/>
          <w:color w:val="1F1F1F"/>
        </w:rPr>
        <w:t>Employee</w:t>
      </w:r>
      <w:proofErr w:type="spellEnd"/>
      <w:r>
        <w:rPr>
          <w:rFonts w:ascii="Google Sans" w:eastAsia="Google Sans" w:hAnsi="Google Sans" w:cs="Google Sans"/>
          <w:b/>
          <w:bCs/>
          <w:color w:val="1F1F1F"/>
        </w:rPr>
        <w:t xml:space="preserve"> Journey Map) con la analítica de sentimientos en 2026.</w:t>
      </w:r>
    </w:p>
    <w:p w14:paraId="0000001D" w14:textId="77777777" w:rsidR="00E75692"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Contenido:</w:t>
      </w:r>
    </w:p>
    <w:p w14:paraId="0000001E" w14:textId="77777777" w:rsidR="00E75692"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Parte 1: El Modelo de Daniel Denison y la Efectividad:</w:t>
      </w:r>
      <w:r>
        <w:rPr>
          <w:rFonts w:ascii="Google Sans" w:eastAsia="Google Sans" w:hAnsi="Google Sans" w:cs="Google Sans"/>
          <w:color w:val="1F1F1F"/>
        </w:rPr>
        <w:t xml:space="preserve"> El modelo de Denison es uno de los más robustos porque demuestra cómo la cultura impacta en resultados de negocio (ROI, crecimiento, calidad). Se basa en cuatro rasgos esenciales: </w:t>
      </w:r>
      <w:r>
        <w:rPr>
          <w:rFonts w:ascii="Google Sans" w:eastAsia="Google Sans" w:hAnsi="Google Sans" w:cs="Google Sans"/>
          <w:b/>
          <w:bCs/>
          <w:color w:val="1F1F1F"/>
        </w:rPr>
        <w:t>1) Misión</w:t>
      </w:r>
      <w:r>
        <w:rPr>
          <w:rFonts w:ascii="Google Sans" w:eastAsia="Google Sans" w:hAnsi="Google Sans" w:cs="Google Sans"/>
          <w:color w:val="1F1F1F"/>
        </w:rPr>
        <w:t xml:space="preserve"> (dirección y propósito); </w:t>
      </w:r>
      <w:r>
        <w:rPr>
          <w:rFonts w:ascii="Google Sans" w:eastAsia="Google Sans" w:hAnsi="Google Sans" w:cs="Google Sans"/>
          <w:b/>
          <w:bCs/>
          <w:color w:val="1F1F1F"/>
        </w:rPr>
        <w:t>2) Adaptabilidad</w:t>
      </w:r>
      <w:r>
        <w:rPr>
          <w:rFonts w:ascii="Google Sans" w:eastAsia="Google Sans" w:hAnsi="Google Sans" w:cs="Google Sans"/>
          <w:color w:val="1F1F1F"/>
        </w:rPr>
        <w:t xml:space="preserve"> (orientación al mercado y aprendizaje); </w:t>
      </w:r>
      <w:r>
        <w:rPr>
          <w:rFonts w:ascii="Google Sans" w:eastAsia="Google Sans" w:hAnsi="Google Sans" w:cs="Google Sans"/>
          <w:b/>
          <w:bCs/>
          <w:color w:val="1F1F1F"/>
        </w:rPr>
        <w:t>3) Participación</w:t>
      </w:r>
      <w:r>
        <w:rPr>
          <w:rFonts w:ascii="Google Sans" w:eastAsia="Google Sans" w:hAnsi="Google Sans" w:cs="Google Sans"/>
          <w:color w:val="1F1F1F"/>
        </w:rPr>
        <w:t xml:space="preserve"> (empoderamiento y trabajo en equipo); y </w:t>
      </w:r>
      <w:r>
        <w:rPr>
          <w:rFonts w:ascii="Google Sans" w:eastAsia="Google Sans" w:hAnsi="Google Sans" w:cs="Google Sans"/>
          <w:b/>
          <w:bCs/>
          <w:color w:val="1F1F1F"/>
        </w:rPr>
        <w:t>4) Consistencia</w:t>
      </w:r>
      <w:r>
        <w:rPr>
          <w:rFonts w:ascii="Google Sans" w:eastAsia="Google Sans" w:hAnsi="Google Sans" w:cs="Google Sans"/>
          <w:color w:val="1F1F1F"/>
        </w:rPr>
        <w:t xml:space="preserve"> (valores centrales y acuerdo). Un diagnóstico con Denison revela si la organización es capaz de equilibrar la estabilidad interna con la flexibilidad externa, identificando qué áreas de práctica administrativa requieren intervención urgente para potenciar el compromiso.</w:t>
      </w:r>
    </w:p>
    <w:p w14:paraId="0000001F" w14:textId="77777777" w:rsidR="00E75692"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Parte 2: El Modelo OCAI y los Valores en Competencia:</w:t>
      </w:r>
      <w:r>
        <w:rPr>
          <w:rFonts w:ascii="Google Sans" w:eastAsia="Google Sans" w:hAnsi="Google Sans" w:cs="Google Sans"/>
          <w:color w:val="1F1F1F"/>
        </w:rPr>
        <w:t xml:space="preserve"> El </w:t>
      </w:r>
      <w:proofErr w:type="spellStart"/>
      <w:r>
        <w:rPr>
          <w:rFonts w:ascii="Google Sans" w:eastAsia="Google Sans" w:hAnsi="Google Sans" w:cs="Google Sans"/>
          <w:i/>
          <w:iCs/>
          <w:color w:val="1F1F1F"/>
        </w:rPr>
        <w:t>Organizational</w:t>
      </w:r>
      <w:proofErr w:type="spellEnd"/>
      <w:r>
        <w:rPr>
          <w:rFonts w:ascii="Google Sans" w:eastAsia="Google Sans" w:hAnsi="Google Sans" w:cs="Google Sans"/>
          <w:i/>
          <w:iCs/>
          <w:color w:val="1F1F1F"/>
        </w:rPr>
        <w:t xml:space="preserve"> Culture </w:t>
      </w:r>
      <w:proofErr w:type="spellStart"/>
      <w:r>
        <w:rPr>
          <w:rFonts w:ascii="Google Sans" w:eastAsia="Google Sans" w:hAnsi="Google Sans" w:cs="Google Sans"/>
          <w:i/>
          <w:iCs/>
          <w:color w:val="1F1F1F"/>
        </w:rPr>
        <w:t>Assessment</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Instrument</w:t>
      </w:r>
      <w:proofErr w:type="spellEnd"/>
      <w:r>
        <w:rPr>
          <w:rFonts w:ascii="Google Sans" w:eastAsia="Google Sans" w:hAnsi="Google Sans" w:cs="Google Sans"/>
          <w:color w:val="1F1F1F"/>
        </w:rPr>
        <w:t xml:space="preserve"> (OCAI), desarrollado por Cameron y Quinn, clasifica la cultura en cuatro tipos: Clan (colaborativa), Adhocracia (creativa), Mercado (competitiva) y Jerarquía (control). Este instrumento permite visualizar gráficamente el perfil cultural de la empresa y, lo más importante, el perfil que los empleados consideran necesario para alcanzar el éxito futuro. El especialista utiliza el OCAI para liderar conversaciones estratégicas sobre "cuándo y por qué cambiar", mitigando resistencias al hacer partícipes a los líderes de la redefinición del ADN organizacional.</w:t>
      </w:r>
    </w:p>
    <w:p w14:paraId="00000020" w14:textId="77777777" w:rsidR="00E75692"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Parte 3: Mapeo de la Experiencia (EX) y Diagnóstico Continuo en 2026:</w:t>
      </w:r>
      <w:r>
        <w:rPr>
          <w:rFonts w:ascii="Google Sans" w:eastAsia="Google Sans" w:hAnsi="Google Sans" w:cs="Google Sans"/>
          <w:color w:val="1F1F1F"/>
        </w:rPr>
        <w:t xml:space="preserve"> En el escenario de 2026, el diagnóstico evoluciona hacia el </w:t>
      </w:r>
      <w:proofErr w:type="spellStart"/>
      <w:r>
        <w:rPr>
          <w:rFonts w:ascii="Google Sans" w:eastAsia="Google Sans" w:hAnsi="Google Sans" w:cs="Google Sans"/>
          <w:i/>
          <w:iCs/>
          <w:color w:val="1F1F1F"/>
        </w:rPr>
        <w:t>Employee</w:t>
      </w:r>
      <w:proofErr w:type="spellEnd"/>
      <w:r>
        <w:rPr>
          <w:rFonts w:ascii="Google Sans" w:eastAsia="Google Sans" w:hAnsi="Google Sans" w:cs="Google Sans"/>
          <w:i/>
          <w:iCs/>
          <w:color w:val="1F1F1F"/>
        </w:rPr>
        <w:t xml:space="preserve"> Journey Mapping</w:t>
      </w:r>
      <w:r>
        <w:rPr>
          <w:rFonts w:ascii="Google Sans" w:eastAsia="Google Sans" w:hAnsi="Google Sans" w:cs="Google Sans"/>
          <w:color w:val="1F1F1F"/>
        </w:rPr>
        <w:t xml:space="preserve">. Esta herramienta permite identificar puntos de fricción desde el reclutamiento hasta el retiro, evaluando cómo cada hito afecta la percepción del clima. La tecnología de inteligencia artificial permite hoy realizar diagnósticos en tiempo real mediante "análisis de </w:t>
      </w:r>
      <w:r>
        <w:rPr>
          <w:rFonts w:ascii="Google Sans" w:eastAsia="Google Sans" w:hAnsi="Google Sans" w:cs="Google Sans"/>
          <w:color w:val="1F1F1F"/>
        </w:rPr>
        <w:lastRenderedPageBreak/>
        <w:t>sentimiento" en encuestas de pulso y comentarios internos, eliminando el sesgo de la encuesta anual burocrática. El gerente de talento humano utiliza estos datos para intervenir de forma preventiva, antes de que un patrón de desmotivación se convierta en una fuga de talento crítico.</w:t>
      </w:r>
    </w:p>
    <w:p w14:paraId="00000021" w14:textId="77777777" w:rsidR="00E75692"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Referencias para ampliación:</w:t>
      </w:r>
    </w:p>
    <w:p w14:paraId="00000022" w14:textId="77777777" w:rsidR="00E75692"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color w:val="1F1F1F"/>
        </w:rPr>
        <w:t xml:space="preserve">Denison, D. R., &amp; Neale, W. S. (2000). </w:t>
      </w:r>
      <w:r>
        <w:rPr>
          <w:rFonts w:ascii="Google Sans" w:eastAsia="Google Sans" w:hAnsi="Google Sans" w:cs="Google Sans"/>
          <w:i/>
          <w:iCs/>
          <w:color w:val="1F1F1F"/>
        </w:rPr>
        <w:t xml:space="preserve">Denison </w:t>
      </w:r>
      <w:proofErr w:type="spellStart"/>
      <w:r>
        <w:rPr>
          <w:rFonts w:ascii="Google Sans" w:eastAsia="Google Sans" w:hAnsi="Google Sans" w:cs="Google Sans"/>
          <w:i/>
          <w:iCs/>
          <w:color w:val="1F1F1F"/>
        </w:rPr>
        <w:t>Organizational</w:t>
      </w:r>
      <w:proofErr w:type="spellEnd"/>
      <w:r>
        <w:rPr>
          <w:rFonts w:ascii="Google Sans" w:eastAsia="Google Sans" w:hAnsi="Google Sans" w:cs="Google Sans"/>
          <w:i/>
          <w:iCs/>
          <w:color w:val="1F1F1F"/>
        </w:rPr>
        <w:t xml:space="preserve"> Culture </w:t>
      </w:r>
      <w:proofErr w:type="spellStart"/>
      <w:r>
        <w:rPr>
          <w:rFonts w:ascii="Google Sans" w:eastAsia="Google Sans" w:hAnsi="Google Sans" w:cs="Google Sans"/>
          <w:i/>
          <w:iCs/>
          <w:color w:val="1F1F1F"/>
        </w:rPr>
        <w:t>Survey</w:t>
      </w:r>
      <w:proofErr w:type="spellEnd"/>
      <w:r>
        <w:rPr>
          <w:rFonts w:ascii="Google Sans" w:eastAsia="Google Sans" w:hAnsi="Google Sans" w:cs="Google Sans"/>
          <w:color w:val="1F1F1F"/>
        </w:rPr>
        <w:t>.</w:t>
      </w:r>
    </w:p>
    <w:p w14:paraId="00000023" w14:textId="77777777" w:rsidR="00E75692"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color w:val="1F1F1F"/>
        </w:rPr>
        <w:t xml:space="preserve">Cameron, K. S., &amp; Quinn, R. E. (2006). </w:t>
      </w:r>
      <w:proofErr w:type="spellStart"/>
      <w:r>
        <w:rPr>
          <w:rFonts w:ascii="Google Sans" w:eastAsia="Google Sans" w:hAnsi="Google Sans" w:cs="Google Sans"/>
          <w:i/>
          <w:iCs/>
          <w:color w:val="1F1F1F"/>
        </w:rPr>
        <w:t>Diagnosing</w:t>
      </w:r>
      <w:proofErr w:type="spellEnd"/>
      <w:r>
        <w:rPr>
          <w:rFonts w:ascii="Google Sans" w:eastAsia="Google Sans" w:hAnsi="Google Sans" w:cs="Google Sans"/>
          <w:i/>
          <w:iCs/>
          <w:color w:val="1F1F1F"/>
        </w:rPr>
        <w:t xml:space="preserve"> and </w:t>
      </w:r>
      <w:proofErr w:type="spellStart"/>
      <w:r>
        <w:rPr>
          <w:rFonts w:ascii="Google Sans" w:eastAsia="Google Sans" w:hAnsi="Google Sans" w:cs="Google Sans"/>
          <w:i/>
          <w:iCs/>
          <w:color w:val="1F1F1F"/>
        </w:rPr>
        <w:t>Changing</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Organizational</w:t>
      </w:r>
      <w:proofErr w:type="spellEnd"/>
      <w:r>
        <w:rPr>
          <w:rFonts w:ascii="Google Sans" w:eastAsia="Google Sans" w:hAnsi="Google Sans" w:cs="Google Sans"/>
          <w:i/>
          <w:iCs/>
          <w:color w:val="1F1F1F"/>
        </w:rPr>
        <w:t xml:space="preserve"> Culture</w:t>
      </w:r>
      <w:r>
        <w:rPr>
          <w:rFonts w:ascii="Google Sans" w:eastAsia="Google Sans" w:hAnsi="Google Sans" w:cs="Google Sans"/>
          <w:color w:val="1F1F1F"/>
        </w:rPr>
        <w:t>.</w:t>
      </w:r>
    </w:p>
    <w:p w14:paraId="00000024" w14:textId="77777777" w:rsidR="00E75692"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color w:val="1F1F1F"/>
        </w:rPr>
        <w:t xml:space="preserve">Icesi (2026). </w:t>
      </w:r>
      <w:r>
        <w:rPr>
          <w:rFonts w:ascii="Google Sans" w:eastAsia="Google Sans" w:hAnsi="Google Sans" w:cs="Google Sans"/>
          <w:i/>
          <w:iCs/>
          <w:color w:val="1F1F1F"/>
        </w:rPr>
        <w:t>Certificación en Gestión de Cultura Organizacional: Herramientas de Diagnóstico</w:t>
      </w:r>
      <w:r>
        <w:rPr>
          <w:rFonts w:ascii="Google Sans" w:eastAsia="Google Sans" w:hAnsi="Google Sans" w:cs="Google Sans"/>
          <w:color w:val="1F1F1F"/>
        </w:rPr>
        <w:t>.</w:t>
      </w:r>
    </w:p>
    <w:p w14:paraId="00000025" w14:textId="5C9C978B" w:rsidR="00D670EB" w:rsidRDefault="00000000" w:rsidP="00D670EB">
      <w:pPr>
        <w:numPr>
          <w:ilvl w:val="0"/>
          <w:numId w:val="7"/>
        </w:numPr>
        <w:pBdr>
          <w:top w:val="nil"/>
          <w:left w:val="nil"/>
          <w:bottom w:val="nil"/>
          <w:right w:val="nil"/>
          <w:between w:val="nil"/>
        </w:pBdr>
        <w:spacing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Beetween</w:t>
      </w:r>
      <w:proofErr w:type="spellEnd"/>
      <w:r>
        <w:rPr>
          <w:rFonts w:ascii="Google Sans" w:eastAsia="Google Sans" w:hAnsi="Google Sans" w:cs="Google Sans"/>
          <w:color w:val="1F1F1F"/>
        </w:rPr>
        <w:t xml:space="preserve"> (2025). </w:t>
      </w:r>
      <w:r>
        <w:rPr>
          <w:rFonts w:ascii="Google Sans" w:eastAsia="Google Sans" w:hAnsi="Google Sans" w:cs="Google Sans"/>
          <w:i/>
          <w:iCs/>
          <w:color w:val="1F1F1F"/>
        </w:rPr>
        <w:t>Diagnóstico Organizacional: Medir sin sesgos</w:t>
      </w:r>
      <w:r>
        <w:rPr>
          <w:rFonts w:ascii="Google Sans" w:eastAsia="Google Sans" w:hAnsi="Google Sans" w:cs="Google Sans"/>
          <w:color w:val="1F1F1F"/>
        </w:rPr>
        <w:t>.</w:t>
      </w:r>
    </w:p>
    <w:p w14:paraId="0000005C" w14:textId="28CE2BE8" w:rsidR="00E75692" w:rsidRDefault="00E75692">
      <w:pPr>
        <w:pBdr>
          <w:top w:val="nil"/>
          <w:left w:val="nil"/>
          <w:bottom w:val="nil"/>
          <w:right w:val="nil"/>
          <w:between w:val="nil"/>
        </w:pBdr>
        <w:spacing w:before="240" w:after="150" w:line="275" w:lineRule="auto"/>
        <w:rPr>
          <w:rFonts w:ascii="Google Sans" w:eastAsia="Google Sans" w:hAnsi="Google Sans" w:cs="Google Sans"/>
          <w:color w:val="1F1F1F"/>
        </w:rPr>
      </w:pPr>
    </w:p>
    <w:sectPr w:rsidR="00E7569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9A0CFD0-1BBB-428B-97F0-F93C7398FB14}"/>
  </w:font>
  <w:font w:name="Google Sans">
    <w:altName w:val="Calibri"/>
    <w:charset w:val="00"/>
    <w:family w:val="auto"/>
    <w:pitch w:val="default"/>
    <w:embedRegular r:id="rId2" w:fontKey="{DA51DE70-5EFC-4298-90D6-589B9E24740C}"/>
    <w:embedBold r:id="rId3" w:fontKey="{15FEE327-2B42-4377-9E6D-3C6C05D33FDC}"/>
    <w:embedItalic r:id="rId4" w:fontKey="{AC3611AF-031B-4162-B2AB-49BC30C136D6}"/>
  </w:font>
  <w:font w:name="Calibri">
    <w:panose1 w:val="020F0502020204030204"/>
    <w:charset w:val="00"/>
    <w:family w:val="swiss"/>
    <w:pitch w:val="variable"/>
    <w:sig w:usb0="E4002EFF" w:usb1="C200247B" w:usb2="00000009" w:usb3="00000000" w:csb0="000001FF" w:csb1="00000000"/>
    <w:embedRegular r:id="rId5" w:fontKey="{C8C70CF6-7295-4D2F-87DC-147A9109D88B}"/>
  </w:font>
  <w:font w:name="Cambria">
    <w:panose1 w:val="02040503050406030204"/>
    <w:charset w:val="00"/>
    <w:family w:val="roman"/>
    <w:pitch w:val="variable"/>
    <w:sig w:usb0="E00006FF" w:usb1="420024FF" w:usb2="02000000" w:usb3="00000000" w:csb0="0000019F" w:csb1="00000000"/>
    <w:embedRegular r:id="rId6" w:fontKey="{F44B23F8-8ACA-4B26-A31F-50B304080F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278EB"/>
    <w:multiLevelType w:val="multilevel"/>
    <w:tmpl w:val="5996512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361301E"/>
    <w:multiLevelType w:val="multilevel"/>
    <w:tmpl w:val="54E6557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59A5DA1"/>
    <w:multiLevelType w:val="multilevel"/>
    <w:tmpl w:val="56C2DE2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D323E68"/>
    <w:multiLevelType w:val="multilevel"/>
    <w:tmpl w:val="D86AECE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0A6401B"/>
    <w:multiLevelType w:val="multilevel"/>
    <w:tmpl w:val="00B46D0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29744B6"/>
    <w:multiLevelType w:val="multilevel"/>
    <w:tmpl w:val="6766193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6EC3BD4"/>
    <w:multiLevelType w:val="multilevel"/>
    <w:tmpl w:val="0B48329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30E3600"/>
    <w:multiLevelType w:val="multilevel"/>
    <w:tmpl w:val="A260D71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E222A97"/>
    <w:multiLevelType w:val="multilevel"/>
    <w:tmpl w:val="33DC054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88F2A42"/>
    <w:multiLevelType w:val="multilevel"/>
    <w:tmpl w:val="D85254B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8FB660B"/>
    <w:multiLevelType w:val="multilevel"/>
    <w:tmpl w:val="1E40D88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7F2702C"/>
    <w:multiLevelType w:val="multilevel"/>
    <w:tmpl w:val="1242B28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8346E47"/>
    <w:multiLevelType w:val="multilevel"/>
    <w:tmpl w:val="E9B43B4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94B1D7D"/>
    <w:multiLevelType w:val="multilevel"/>
    <w:tmpl w:val="0548EC4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B0031C3"/>
    <w:multiLevelType w:val="multilevel"/>
    <w:tmpl w:val="62A4A53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8B207A3"/>
    <w:multiLevelType w:val="multilevel"/>
    <w:tmpl w:val="6CAEE44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44428934">
    <w:abstractNumId w:val="12"/>
  </w:num>
  <w:num w:numId="2" w16cid:durableId="1331174050">
    <w:abstractNumId w:val="5"/>
  </w:num>
  <w:num w:numId="3" w16cid:durableId="225072541">
    <w:abstractNumId w:val="9"/>
  </w:num>
  <w:num w:numId="4" w16cid:durableId="1367635603">
    <w:abstractNumId w:val="14"/>
  </w:num>
  <w:num w:numId="5" w16cid:durableId="998118804">
    <w:abstractNumId w:val="7"/>
  </w:num>
  <w:num w:numId="6" w16cid:durableId="1254321369">
    <w:abstractNumId w:val="11"/>
  </w:num>
  <w:num w:numId="7" w16cid:durableId="157161396">
    <w:abstractNumId w:val="3"/>
  </w:num>
  <w:num w:numId="8" w16cid:durableId="1961572906">
    <w:abstractNumId w:val="2"/>
  </w:num>
  <w:num w:numId="9" w16cid:durableId="718357675">
    <w:abstractNumId w:val="10"/>
  </w:num>
  <w:num w:numId="10" w16cid:durableId="1780564450">
    <w:abstractNumId w:val="4"/>
  </w:num>
  <w:num w:numId="11" w16cid:durableId="964581036">
    <w:abstractNumId w:val="8"/>
  </w:num>
  <w:num w:numId="12" w16cid:durableId="197857165">
    <w:abstractNumId w:val="6"/>
  </w:num>
  <w:num w:numId="13" w16cid:durableId="305353770">
    <w:abstractNumId w:val="0"/>
  </w:num>
  <w:num w:numId="14" w16cid:durableId="2024940542">
    <w:abstractNumId w:val="15"/>
  </w:num>
  <w:num w:numId="15" w16cid:durableId="1398475462">
    <w:abstractNumId w:val="1"/>
  </w:num>
  <w:num w:numId="16" w16cid:durableId="21214117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692"/>
    <w:rsid w:val="00D670EB"/>
    <w:rsid w:val="00E75692"/>
    <w:rsid w:val="00FB58F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96C1D"/>
  <w15:docId w15:val="{87CBC006-A11B-4FC3-B13B-88FF39F30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538</Words>
  <Characters>2965</Characters>
  <Application>Microsoft Office Word</Application>
  <DocSecurity>0</DocSecurity>
  <Lines>24</Lines>
  <Paragraphs>6</Paragraphs>
  <ScaleCrop>false</ScaleCrop>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Cristina Isabel Madera Gomez</cp:lastModifiedBy>
  <cp:revision>2</cp:revision>
  <dcterms:created xsi:type="dcterms:W3CDTF">2026-07-21T16:05:00Z</dcterms:created>
  <dcterms:modified xsi:type="dcterms:W3CDTF">2026-07-21T16:07:00Z</dcterms:modified>
</cp:coreProperties>
</file>