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42A2" w14:textId="77777777" w:rsidR="007A21E6" w:rsidRPr="007A21E6" w:rsidRDefault="007A21E6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ajorHAnsi" w:eastAsia="Google Sans" w:hAnsiTheme="majorHAnsi" w:cstheme="majorHAnsi"/>
          <w:b/>
          <w:bCs/>
          <w:color w:val="1F1F1F"/>
          <w:sz w:val="24"/>
          <w:szCs w:val="24"/>
        </w:rPr>
      </w:pPr>
    </w:p>
    <w:p w14:paraId="5658F896" w14:textId="17CA5906" w:rsidR="007A21E6" w:rsidRPr="007A21E6" w:rsidRDefault="007A21E6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ajorHAnsi" w:eastAsia="Google Sans" w:hAnsiTheme="majorHAnsi" w:cstheme="majorHAnsi"/>
          <w:b/>
          <w:bCs/>
          <w:color w:val="1F1F1F"/>
          <w:sz w:val="24"/>
          <w:szCs w:val="24"/>
        </w:rPr>
      </w:pPr>
      <w:r w:rsidRPr="007A21E6">
        <w:rPr>
          <w:rFonts w:asciiTheme="majorHAnsi" w:eastAsia="Google Sans" w:hAnsiTheme="majorHAnsi" w:cstheme="majorHAnsi"/>
          <w:b/>
          <w:bCs/>
          <w:color w:val="1F1F1F"/>
          <w:sz w:val="24"/>
          <w:szCs w:val="24"/>
        </w:rPr>
        <w:t>Tema 5: Habilidades de Consultoría de DO</w:t>
      </w:r>
    </w:p>
    <w:p w14:paraId="00000045" w14:textId="4FC51239" w:rsidR="00DF60A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46" w14:textId="77777777" w:rsidR="00DF60A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Para que la intervención sea exitosa, el especialista debe dominar el arte de la consultoría, ya sea como profesional externo o como líder interno de RH. Este subtema se basa en los principios de </w:t>
      </w:r>
      <w:r>
        <w:rPr>
          <w:rFonts w:ascii="Google Sans" w:eastAsia="Google Sans" w:hAnsi="Google Sans" w:cs="Google Sans"/>
          <w:b/>
          <w:bCs/>
          <w:color w:val="1F1F1F"/>
        </w:rPr>
        <w:t>Peter Block</w:t>
      </w:r>
      <w:r>
        <w:rPr>
          <w:rFonts w:ascii="Google Sans" w:eastAsia="Google Sans" w:hAnsi="Google Sans" w:cs="Google Sans"/>
          <w:color w:val="1F1F1F"/>
        </w:rPr>
        <w:t xml:space="preserve"> sobre la "consultoría impecable" y los estándares internacionales de competencia profesional. El consultor de DO no es solo un experto técnico; es un facilitador de procesos que genera confianza, gestiona el conflicto y asegura que el cambio sea apropiado y vivido por los actores de la organización.</w:t>
      </w:r>
    </w:p>
    <w:p w14:paraId="00000047" w14:textId="77777777" w:rsidR="00DF60A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48" w14:textId="77777777" w:rsidR="00DF60A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Desarrollar competencias interpersonales de comunicación, escucha activa y gestión emocional para actuar como consultor de confianza.</w:t>
      </w:r>
    </w:p>
    <w:p w14:paraId="00000049" w14:textId="77777777" w:rsidR="00DF60A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Aplicar el proceso estructurado de consultoría: entrada, diagnóstico, retroalimentación, toma de decisiones y terminación del proyecto.</w:t>
      </w:r>
    </w:p>
    <w:p w14:paraId="0000004A" w14:textId="77777777" w:rsidR="00DF60A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Evaluar dilemas éticos y profesionales en la práctica del desarrollo organizacional, garantizando la transparencia y la idoneidad académica.</w:t>
      </w:r>
    </w:p>
    <w:p w14:paraId="0000004B" w14:textId="77777777" w:rsidR="00DF60A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4C" w14:textId="77777777" w:rsidR="00DF60A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El Perfil y Rol del Consultor de DO:</w:t>
      </w:r>
      <w:r>
        <w:rPr>
          <w:rFonts w:ascii="Google Sans" w:eastAsia="Google Sans" w:hAnsi="Google Sans" w:cs="Google Sans"/>
          <w:color w:val="1F1F1F"/>
        </w:rPr>
        <w:t xml:space="preserve"> El consultor actúa como un colaborador que ayuda a identificar, analizar y solucionar retos. A diferencia de un directivo, el consultor </w:t>
      </w:r>
      <w:r>
        <w:rPr>
          <w:rFonts w:ascii="Google Sans" w:eastAsia="Google Sans" w:hAnsi="Google Sans" w:cs="Google Sans"/>
          <w:b/>
          <w:bCs/>
          <w:color w:val="1F1F1F"/>
        </w:rPr>
        <w:t>no tiene el poder directo</w:t>
      </w:r>
      <w:r>
        <w:rPr>
          <w:rFonts w:ascii="Google Sans" w:eastAsia="Google Sans" w:hAnsi="Google Sans" w:cs="Google Sans"/>
          <w:color w:val="1F1F1F"/>
        </w:rPr>
        <w:t xml:space="preserve"> para implementar el cambio; su autoridad proviene de su idoneidad, credibilidad y capacidad de influir. Su rol es el de un "Agente de Cambio" que </w:t>
      </w:r>
      <w:proofErr w:type="spellStart"/>
      <w:r>
        <w:rPr>
          <w:rFonts w:ascii="Google Sans" w:eastAsia="Google Sans" w:hAnsi="Google Sans" w:cs="Google Sans"/>
          <w:color w:val="1F1F1F"/>
        </w:rPr>
        <w:t>retat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las personas a salir de su zona de confort y asumir nuevas responsabilidades. El especialista debe conocer bien el negocio y conocerse a sí mismo (autoconocimiento), siendo capaz de transmitir información difícil hacia los lados y hacia arriba de forma asertiva, manteniendo siempre al cliente como el centro de la historia de transformación.</w:t>
      </w:r>
    </w:p>
    <w:p w14:paraId="0000004D" w14:textId="77777777" w:rsidR="00DF60A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Competencias Clave y Proceso de Consultoría:</w:t>
      </w:r>
      <w:r>
        <w:rPr>
          <w:rFonts w:ascii="Google Sans" w:eastAsia="Google Sans" w:hAnsi="Google Sans" w:cs="Google Sans"/>
          <w:color w:val="1F1F1F"/>
        </w:rPr>
        <w:t xml:space="preserve"> Un buen consultor debe poseer tres dimensiones de saber: </w:t>
      </w:r>
      <w:r>
        <w:rPr>
          <w:rFonts w:ascii="Google Sans" w:eastAsia="Google Sans" w:hAnsi="Google Sans" w:cs="Google Sans"/>
          <w:b/>
          <w:bCs/>
          <w:color w:val="1F1F1F"/>
        </w:rPr>
        <w:t>1) Saber Ser</w:t>
      </w:r>
      <w:r>
        <w:rPr>
          <w:rFonts w:ascii="Google Sans" w:eastAsia="Google Sans" w:hAnsi="Google Sans" w:cs="Google Sans"/>
          <w:color w:val="1F1F1F"/>
        </w:rPr>
        <w:t xml:space="preserve"> (responsabilidad, confianza, control emocional); </w:t>
      </w:r>
      <w:r>
        <w:rPr>
          <w:rFonts w:ascii="Google Sans" w:eastAsia="Google Sans" w:hAnsi="Google Sans" w:cs="Google Sans"/>
          <w:b/>
          <w:bCs/>
          <w:color w:val="1F1F1F"/>
        </w:rPr>
        <w:t>2) Saber Hacer</w:t>
      </w:r>
      <w:r>
        <w:rPr>
          <w:rFonts w:ascii="Google Sans" w:eastAsia="Google Sans" w:hAnsi="Google Sans" w:cs="Google Sans"/>
          <w:color w:val="1F1F1F"/>
        </w:rPr>
        <w:t xml:space="preserve"> (análisis complejo de datos, diagnóstico profundo, capacitación de clientes); y </w:t>
      </w:r>
      <w:r>
        <w:rPr>
          <w:rFonts w:ascii="Google Sans" w:eastAsia="Google Sans" w:hAnsi="Google Sans" w:cs="Google Sans"/>
          <w:b/>
          <w:bCs/>
          <w:color w:val="1F1F1F"/>
        </w:rPr>
        <w:t>3) Saber Conocer</w:t>
      </w:r>
      <w:r>
        <w:rPr>
          <w:rFonts w:ascii="Google Sans" w:eastAsia="Google Sans" w:hAnsi="Google Sans" w:cs="Google Sans"/>
          <w:color w:val="1F1F1F"/>
        </w:rPr>
        <w:t xml:space="preserve"> (teorías del comportamiento humano, diseño organizacional, planeación estratégica). El proceso de intervención debe ser estructurado: desde la fase de movimiento inicial para cuestionar el estado actual, hasta la "recristalización" donde los nuevos comportamientos se vuelven permanentes. La comunicación debe ser activa y constante, asegurando que la ganancia de la intervención sea visible para el equipo para mantener su compromiso.</w:t>
      </w:r>
    </w:p>
    <w:p w14:paraId="0000004E" w14:textId="77777777" w:rsidR="00DF60A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Ética, Educación y el Futuro de la Consultoría:</w:t>
      </w:r>
      <w:r>
        <w:rPr>
          <w:rFonts w:ascii="Google Sans" w:eastAsia="Google Sans" w:hAnsi="Google Sans" w:cs="Google Sans"/>
          <w:color w:val="1F1F1F"/>
        </w:rPr>
        <w:t xml:space="preserve"> El consultor es fundamentalmente un </w:t>
      </w:r>
      <w:r>
        <w:rPr>
          <w:rFonts w:ascii="Google Sans" w:eastAsia="Google Sans" w:hAnsi="Google Sans" w:cs="Google Sans"/>
          <w:b/>
          <w:bCs/>
          <w:color w:val="1F1F1F"/>
        </w:rPr>
        <w:t>educador</w:t>
      </w:r>
      <w:r>
        <w:rPr>
          <w:rFonts w:ascii="Google Sans" w:eastAsia="Google Sans" w:hAnsi="Google Sans" w:cs="Google Sans"/>
          <w:color w:val="1F1F1F"/>
        </w:rPr>
        <w:t xml:space="preserve"> que se forma mientras forma a otros. Debe actuar con absoluta ética profesional, reconociendo fortalezas y debilidades sin sesgos. En 2025, la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consultoría de DO se apoya en herramientas tecnológicas avanzadas (Big Data e IA) para sustentar diagnósticos, pero el valor real sigue residiendo en la </w:t>
      </w:r>
      <w:r>
        <w:rPr>
          <w:rFonts w:ascii="Google Sans" w:eastAsia="Google Sans" w:hAnsi="Google Sans" w:cs="Google Sans"/>
          <w:b/>
          <w:bCs/>
          <w:color w:val="1F1F1F"/>
        </w:rPr>
        <w:t>empatía y la inteligencia emocional</w:t>
      </w:r>
      <w:r>
        <w:rPr>
          <w:rFonts w:ascii="Google Sans" w:eastAsia="Google Sans" w:hAnsi="Google Sans" w:cs="Google Sans"/>
          <w:color w:val="1F1F1F"/>
        </w:rPr>
        <w:t xml:space="preserve">. En la Universidad de Córdoba, el consultor interno de RH debe ser un líder inspirador que promueva la excelencia académica y el bienestar social, asegurando que las propuestas no se perciban como imposiciones externas, sino como soluciones </w:t>
      </w:r>
      <w:proofErr w:type="spellStart"/>
      <w:r>
        <w:rPr>
          <w:rFonts w:ascii="Google Sans" w:eastAsia="Google Sans" w:hAnsi="Google Sans" w:cs="Google Sans"/>
          <w:color w:val="1F1F1F"/>
        </w:rPr>
        <w:t>co-creadas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 el bien común institucional.</w:t>
      </w:r>
    </w:p>
    <w:p w14:paraId="0000004F" w14:textId="77777777" w:rsidR="00DF60A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50" w14:textId="77777777" w:rsidR="00DF60A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Block, P. (2011).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Flawless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Consulting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: A Guide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Getting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Your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Expertise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Used</w:t>
      </w:r>
      <w:r>
        <w:rPr>
          <w:rFonts w:ascii="Google Sans" w:eastAsia="Google Sans" w:hAnsi="Google Sans" w:cs="Google Sans"/>
          <w:color w:val="1F1F1F"/>
        </w:rPr>
        <w:t>. Pfeiffer.</w:t>
      </w:r>
    </w:p>
    <w:p w14:paraId="00000051" w14:textId="77777777" w:rsidR="00DF60A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Kubr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M. (2012). </w:t>
      </w:r>
      <w:r>
        <w:rPr>
          <w:rFonts w:ascii="Google Sans" w:eastAsia="Google Sans" w:hAnsi="Google Sans" w:cs="Google Sans"/>
          <w:i/>
          <w:iCs/>
          <w:color w:val="1F1F1F"/>
        </w:rPr>
        <w:t>Consultoría de Empresas: Guía para la Profesión</w:t>
      </w:r>
      <w:r>
        <w:rPr>
          <w:rFonts w:ascii="Google Sans" w:eastAsia="Google Sans" w:hAnsi="Google Sans" w:cs="Google Sans"/>
          <w:color w:val="1F1F1F"/>
        </w:rPr>
        <w:t>. OIT.</w:t>
      </w:r>
    </w:p>
    <w:p w14:paraId="00000052" w14:textId="77777777" w:rsidR="00DF60A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Academia </w:t>
      </w:r>
      <w:proofErr w:type="spellStart"/>
      <w:r>
        <w:rPr>
          <w:rFonts w:ascii="Google Sans" w:eastAsia="Google Sans" w:hAnsi="Google Sans" w:cs="Google Sans"/>
          <w:color w:val="1F1F1F"/>
        </w:rPr>
        <w:t>Journals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(2020). </w:t>
      </w:r>
      <w:r>
        <w:rPr>
          <w:rFonts w:ascii="Google Sans" w:eastAsia="Google Sans" w:hAnsi="Google Sans" w:cs="Google Sans"/>
          <w:i/>
          <w:iCs/>
          <w:color w:val="1F1F1F"/>
        </w:rPr>
        <w:t>Habilidades y Competencias del Consultor Empresarial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A" w14:textId="0DFFB666" w:rsidR="00DF60AA" w:rsidRDefault="00000000" w:rsidP="007A21E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Universidad ISEP. (2024). </w:t>
      </w:r>
      <w:r>
        <w:rPr>
          <w:rFonts w:ascii="Google Sans" w:eastAsia="Google Sans" w:hAnsi="Google Sans" w:cs="Google Sans"/>
          <w:i/>
          <w:iCs/>
          <w:color w:val="1F1F1F"/>
        </w:rPr>
        <w:t>Competencias Esenciales del Consultor Organizacional</w:t>
      </w:r>
      <w:r>
        <w:rPr>
          <w:rFonts w:ascii="Google Sans" w:eastAsia="Google Sans" w:hAnsi="Google Sans" w:cs="Google Sans"/>
          <w:color w:val="1F1F1F"/>
        </w:rPr>
        <w:t>.</w:t>
      </w:r>
    </w:p>
    <w:sectPr w:rsidR="00DF60A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559BF5-EB14-48D7-A24F-3F697CC234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E7E495-A4D4-4D18-B774-866EC4005C8A}"/>
    <w:embedBold r:id="rId3" w:fontKey="{B2C984D7-E145-4FD4-B1A4-22EE21DD3FD3}"/>
  </w:font>
  <w:font w:name="Google Sans">
    <w:charset w:val="00"/>
    <w:family w:val="auto"/>
    <w:pitch w:val="default"/>
    <w:embedRegular r:id="rId4" w:fontKey="{DBAC6C40-8951-463F-B663-04B7CED43A2C}"/>
    <w:embedBold r:id="rId5" w:fontKey="{E961C9A5-E5E0-4138-9473-052AFF0799F7}"/>
    <w:embedItalic r:id="rId6" w:fontKey="{C5258873-FA0A-4141-B707-7732C812B3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4381989-DDC0-43E1-B375-95B6FDB89C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4BA"/>
    <w:multiLevelType w:val="multilevel"/>
    <w:tmpl w:val="142E6AB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D331E2"/>
    <w:multiLevelType w:val="multilevel"/>
    <w:tmpl w:val="ACC0AC6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D049F8"/>
    <w:multiLevelType w:val="multilevel"/>
    <w:tmpl w:val="F72E5AF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D361A5"/>
    <w:multiLevelType w:val="multilevel"/>
    <w:tmpl w:val="78BAEFD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9632421"/>
    <w:multiLevelType w:val="multilevel"/>
    <w:tmpl w:val="5E2E734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D9A606E"/>
    <w:multiLevelType w:val="multilevel"/>
    <w:tmpl w:val="44C809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C36AAB"/>
    <w:multiLevelType w:val="multilevel"/>
    <w:tmpl w:val="6C80DC3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FDD0F91"/>
    <w:multiLevelType w:val="multilevel"/>
    <w:tmpl w:val="C87820A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9FE3634"/>
    <w:multiLevelType w:val="multilevel"/>
    <w:tmpl w:val="6A44094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E0F4012"/>
    <w:multiLevelType w:val="multilevel"/>
    <w:tmpl w:val="8210193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F62777F"/>
    <w:multiLevelType w:val="multilevel"/>
    <w:tmpl w:val="3FE4A17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530459"/>
    <w:multiLevelType w:val="multilevel"/>
    <w:tmpl w:val="18500DC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FC93502"/>
    <w:multiLevelType w:val="multilevel"/>
    <w:tmpl w:val="B07C343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DD5C97"/>
    <w:multiLevelType w:val="multilevel"/>
    <w:tmpl w:val="B5DEB81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E720DF3"/>
    <w:multiLevelType w:val="multilevel"/>
    <w:tmpl w:val="C5EEDF0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47043CA"/>
    <w:multiLevelType w:val="multilevel"/>
    <w:tmpl w:val="DF3818E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87937522">
    <w:abstractNumId w:val="6"/>
  </w:num>
  <w:num w:numId="2" w16cid:durableId="652298046">
    <w:abstractNumId w:val="10"/>
  </w:num>
  <w:num w:numId="3" w16cid:durableId="117573694">
    <w:abstractNumId w:val="0"/>
  </w:num>
  <w:num w:numId="4" w16cid:durableId="1745452223">
    <w:abstractNumId w:val="15"/>
  </w:num>
  <w:num w:numId="5" w16cid:durableId="1532764350">
    <w:abstractNumId w:val="7"/>
  </w:num>
  <w:num w:numId="6" w16cid:durableId="1050610894">
    <w:abstractNumId w:val="9"/>
  </w:num>
  <w:num w:numId="7" w16cid:durableId="1123353781">
    <w:abstractNumId w:val="8"/>
  </w:num>
  <w:num w:numId="8" w16cid:durableId="1464470032">
    <w:abstractNumId w:val="13"/>
  </w:num>
  <w:num w:numId="9" w16cid:durableId="499388830">
    <w:abstractNumId w:val="2"/>
  </w:num>
  <w:num w:numId="10" w16cid:durableId="412745933">
    <w:abstractNumId w:val="4"/>
  </w:num>
  <w:num w:numId="11" w16cid:durableId="1210263656">
    <w:abstractNumId w:val="5"/>
  </w:num>
  <w:num w:numId="12" w16cid:durableId="677930923">
    <w:abstractNumId w:val="1"/>
  </w:num>
  <w:num w:numId="13" w16cid:durableId="1533955450">
    <w:abstractNumId w:val="12"/>
  </w:num>
  <w:num w:numId="14" w16cid:durableId="107361305">
    <w:abstractNumId w:val="3"/>
  </w:num>
  <w:num w:numId="15" w16cid:durableId="244070297">
    <w:abstractNumId w:val="11"/>
  </w:num>
  <w:num w:numId="16" w16cid:durableId="1342732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0AA"/>
    <w:rsid w:val="007A21E6"/>
    <w:rsid w:val="00A86662"/>
    <w:rsid w:val="00D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3009"/>
  <w15:docId w15:val="{D311A7FD-00AA-4F09-AB87-E1EF49F2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2026-06-24T16:02:00Z</dcterms:created>
  <dcterms:modified xsi:type="dcterms:W3CDTF">2026-06-24T16:02:00Z</dcterms:modified>
</cp:coreProperties>
</file>